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8AE7E" w14:textId="58A7FF6D" w:rsidR="00FE774C" w:rsidRPr="0086360F" w:rsidRDefault="00975ACA" w:rsidP="00975ACA">
      <w:pPr>
        <w:spacing w:after="0" w:line="240" w:lineRule="auto"/>
        <w:jc w:val="center"/>
        <w:rPr>
          <w:rFonts w:ascii="Arial" w:hAnsi="Arial" w:cs="Arial"/>
          <w:b/>
          <w:bCs/>
          <w:sz w:val="56"/>
          <w:szCs w:val="56"/>
        </w:rPr>
      </w:pPr>
      <w:r w:rsidRPr="0086360F">
        <w:rPr>
          <w:rFonts w:ascii="Arial" w:hAnsi="Arial" w:cs="Arial"/>
          <w:b/>
          <w:bCs/>
          <w:sz w:val="56"/>
          <w:szCs w:val="56"/>
        </w:rPr>
        <w:t>Private Rented Sector and Housing Standards Enforcement Policy</w:t>
      </w:r>
    </w:p>
    <w:p w14:paraId="1727260F" w14:textId="77777777" w:rsidR="00DE2676" w:rsidRPr="0086360F" w:rsidRDefault="00DE2676" w:rsidP="0085070B">
      <w:pPr>
        <w:spacing w:after="0" w:line="240" w:lineRule="auto"/>
        <w:textAlignment w:val="baseline"/>
        <w:rPr>
          <w:rFonts w:ascii="Segoe UI" w:eastAsia="Times New Roman" w:hAnsi="Segoe UI" w:cs="Segoe UI"/>
          <w:b/>
          <w:bCs/>
          <w:color w:val="000000"/>
          <w:sz w:val="28"/>
          <w:szCs w:val="28"/>
          <w:u w:val="single"/>
          <w:lang w:eastAsia="en-GB"/>
        </w:rPr>
      </w:pPr>
    </w:p>
    <w:p w14:paraId="7DA22314" w14:textId="7315F0EA" w:rsidR="00DD7CAE" w:rsidRPr="0086360F" w:rsidRDefault="00DD7CAE" w:rsidP="00DD7CAE">
      <w:pPr>
        <w:spacing w:after="0" w:line="240" w:lineRule="auto"/>
        <w:jc w:val="center"/>
        <w:textAlignment w:val="baseline"/>
        <w:rPr>
          <w:rFonts w:ascii="Segoe UI" w:eastAsia="Times New Roman" w:hAnsi="Segoe UI" w:cs="Segoe UI"/>
          <w:b/>
          <w:bCs/>
          <w:color w:val="000000"/>
          <w:sz w:val="28"/>
          <w:szCs w:val="28"/>
          <w:u w:val="single"/>
          <w:lang w:eastAsia="en-GB"/>
        </w:rPr>
      </w:pPr>
      <w:r w:rsidRPr="0086360F">
        <w:rPr>
          <w:noProof/>
          <w:sz w:val="28"/>
          <w:szCs w:val="28"/>
        </w:rPr>
        <w:drawing>
          <wp:inline distT="0" distB="0" distL="0" distR="0" wp14:anchorId="2BC8299C" wp14:editId="3A74CF6D">
            <wp:extent cx="5398088" cy="14414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8" cy="1449773"/>
                    </a:xfrm>
                    <a:prstGeom prst="rect">
                      <a:avLst/>
                    </a:prstGeom>
                    <a:noFill/>
                  </pic:spPr>
                </pic:pic>
              </a:graphicData>
            </a:graphic>
          </wp:inline>
        </w:drawing>
      </w:r>
    </w:p>
    <w:p w14:paraId="248C6CB3" w14:textId="77777777" w:rsidR="00272A5C" w:rsidRDefault="00272A5C" w:rsidP="0085070B">
      <w:pPr>
        <w:spacing w:after="0" w:line="240" w:lineRule="auto"/>
        <w:textAlignment w:val="baseline"/>
        <w:rPr>
          <w:rFonts w:ascii="Segoe UI" w:eastAsia="Times New Roman" w:hAnsi="Segoe UI" w:cs="Segoe UI"/>
          <w:color w:val="000000"/>
          <w:sz w:val="28"/>
          <w:szCs w:val="28"/>
          <w:lang w:eastAsia="en-GB"/>
        </w:rPr>
      </w:pPr>
    </w:p>
    <w:p w14:paraId="49C6D03D" w14:textId="77777777" w:rsidR="00272A5C" w:rsidRPr="005908B3" w:rsidRDefault="00272A5C" w:rsidP="0085070B">
      <w:pPr>
        <w:spacing w:after="0" w:line="240" w:lineRule="auto"/>
        <w:textAlignment w:val="baseline"/>
        <w:rPr>
          <w:rFonts w:ascii="Arial" w:eastAsia="Times New Roman" w:hAnsi="Arial" w:cs="Arial"/>
          <w:color w:val="000000"/>
          <w:sz w:val="28"/>
          <w:szCs w:val="28"/>
          <w:lang w:eastAsia="en-GB"/>
        </w:rPr>
      </w:pPr>
    </w:p>
    <w:tbl>
      <w:tblPr>
        <w:tblW w:w="921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2703"/>
        <w:gridCol w:w="2160"/>
        <w:gridCol w:w="2224"/>
      </w:tblGrid>
      <w:tr w:rsidR="00272A5C" w:rsidRPr="005908B3" w14:paraId="25479222" w14:textId="77777777" w:rsidTr="005908B3">
        <w:trPr>
          <w:trHeight w:val="420"/>
        </w:trPr>
        <w:tc>
          <w:tcPr>
            <w:tcW w:w="2127" w:type="dxa"/>
            <w:tcBorders>
              <w:top w:val="single" w:sz="6" w:space="0" w:color="000000"/>
              <w:left w:val="single" w:sz="6" w:space="0" w:color="000000"/>
              <w:bottom w:val="single" w:sz="6" w:space="0" w:color="000000"/>
              <w:right w:val="single" w:sz="6" w:space="0" w:color="000000"/>
            </w:tcBorders>
            <w:shd w:val="clear" w:color="auto" w:fill="C5E0B3"/>
            <w:hideMark/>
          </w:tcPr>
          <w:p w14:paraId="7679C232" w14:textId="77777777" w:rsidR="00272A5C" w:rsidRPr="005908B3" w:rsidRDefault="00272A5C" w:rsidP="00272A5C">
            <w:pPr>
              <w:spacing w:after="0" w:line="240" w:lineRule="auto"/>
              <w:ind w:left="132"/>
              <w:textAlignment w:val="baseline"/>
              <w:rPr>
                <w:rFonts w:ascii="Arial" w:eastAsia="Times New Roman" w:hAnsi="Arial" w:cs="Arial"/>
                <w:color w:val="000000"/>
                <w:sz w:val="28"/>
                <w:szCs w:val="28"/>
                <w:lang w:eastAsia="en-GB"/>
              </w:rPr>
            </w:pPr>
            <w:r w:rsidRPr="005908B3">
              <w:rPr>
                <w:rFonts w:ascii="Arial" w:eastAsia="Times New Roman" w:hAnsi="Arial" w:cs="Arial"/>
                <w:color w:val="000000"/>
                <w:sz w:val="28"/>
                <w:szCs w:val="28"/>
                <w:lang w:eastAsia="en-GB"/>
              </w:rPr>
              <w:t>Document title   </w:t>
            </w:r>
          </w:p>
        </w:tc>
        <w:tc>
          <w:tcPr>
            <w:tcW w:w="7087" w:type="dxa"/>
            <w:gridSpan w:val="3"/>
            <w:tcBorders>
              <w:top w:val="single" w:sz="6" w:space="0" w:color="000000"/>
              <w:left w:val="single" w:sz="6" w:space="0" w:color="000000"/>
              <w:bottom w:val="single" w:sz="6" w:space="0" w:color="000000"/>
              <w:right w:val="single" w:sz="6" w:space="0" w:color="000000"/>
            </w:tcBorders>
            <w:hideMark/>
          </w:tcPr>
          <w:p w14:paraId="381C0062" w14:textId="5001C484" w:rsidR="00272A5C" w:rsidRPr="005908B3" w:rsidRDefault="00272A5C" w:rsidP="00272A5C">
            <w:pPr>
              <w:spacing w:after="0" w:line="240" w:lineRule="auto"/>
              <w:ind w:left="98"/>
              <w:textAlignment w:val="baseline"/>
              <w:rPr>
                <w:rFonts w:ascii="Arial" w:eastAsia="Times New Roman" w:hAnsi="Arial" w:cs="Arial"/>
                <w:i/>
                <w:iCs/>
                <w:color w:val="000000"/>
                <w:sz w:val="28"/>
                <w:szCs w:val="28"/>
                <w:lang w:eastAsia="en-GB"/>
              </w:rPr>
            </w:pPr>
            <w:r w:rsidRPr="005908B3">
              <w:rPr>
                <w:rFonts w:ascii="Arial" w:hAnsi="Arial" w:cs="Arial"/>
                <w:sz w:val="28"/>
                <w:szCs w:val="28"/>
              </w:rPr>
              <w:t>Private Rented Sector and Housing Standards Enforcement Policy</w:t>
            </w:r>
          </w:p>
        </w:tc>
      </w:tr>
      <w:tr w:rsidR="00272A5C" w:rsidRPr="005908B3" w14:paraId="06AA8A55" w14:textId="77777777" w:rsidTr="005908B3">
        <w:trPr>
          <w:trHeight w:val="420"/>
        </w:trPr>
        <w:tc>
          <w:tcPr>
            <w:tcW w:w="2127" w:type="dxa"/>
            <w:tcBorders>
              <w:top w:val="single" w:sz="6" w:space="0" w:color="000000"/>
              <w:left w:val="single" w:sz="6" w:space="0" w:color="000000"/>
              <w:bottom w:val="single" w:sz="6" w:space="0" w:color="000000"/>
              <w:right w:val="single" w:sz="6" w:space="0" w:color="000000"/>
            </w:tcBorders>
            <w:shd w:val="clear" w:color="auto" w:fill="C5E0B3"/>
            <w:hideMark/>
          </w:tcPr>
          <w:p w14:paraId="45BDF6B9" w14:textId="77777777" w:rsidR="00272A5C" w:rsidRPr="005908B3" w:rsidRDefault="00272A5C" w:rsidP="00272A5C">
            <w:pPr>
              <w:spacing w:after="0" w:line="240" w:lineRule="auto"/>
              <w:ind w:firstLine="132"/>
              <w:textAlignment w:val="baseline"/>
              <w:rPr>
                <w:rFonts w:ascii="Arial" w:eastAsia="Times New Roman" w:hAnsi="Arial" w:cs="Arial"/>
                <w:color w:val="000000"/>
                <w:sz w:val="28"/>
                <w:szCs w:val="28"/>
                <w:lang w:eastAsia="en-GB"/>
              </w:rPr>
            </w:pPr>
            <w:r w:rsidRPr="005908B3">
              <w:rPr>
                <w:rFonts w:ascii="Arial" w:eastAsia="Times New Roman" w:hAnsi="Arial" w:cs="Arial"/>
                <w:color w:val="000000"/>
                <w:sz w:val="28"/>
                <w:szCs w:val="28"/>
                <w:lang w:eastAsia="en-GB"/>
              </w:rPr>
              <w:t>Owner   </w:t>
            </w:r>
          </w:p>
        </w:tc>
        <w:tc>
          <w:tcPr>
            <w:tcW w:w="7087" w:type="dxa"/>
            <w:gridSpan w:val="3"/>
            <w:tcBorders>
              <w:top w:val="single" w:sz="6" w:space="0" w:color="000000"/>
              <w:left w:val="single" w:sz="6" w:space="0" w:color="000000"/>
              <w:bottom w:val="single" w:sz="6" w:space="0" w:color="000000"/>
              <w:right w:val="single" w:sz="6" w:space="0" w:color="000000"/>
            </w:tcBorders>
            <w:hideMark/>
          </w:tcPr>
          <w:p w14:paraId="23AEDEEA" w14:textId="274DB214" w:rsidR="00272A5C" w:rsidRPr="005908B3" w:rsidRDefault="00272A5C" w:rsidP="00272A5C">
            <w:pPr>
              <w:spacing w:after="0" w:line="240" w:lineRule="auto"/>
              <w:ind w:left="98"/>
              <w:textAlignment w:val="baseline"/>
              <w:rPr>
                <w:rFonts w:ascii="Arial" w:eastAsia="Times New Roman" w:hAnsi="Arial" w:cs="Arial"/>
                <w:i/>
                <w:iCs/>
                <w:color w:val="000000"/>
                <w:sz w:val="28"/>
                <w:szCs w:val="28"/>
                <w:lang w:eastAsia="en-GB"/>
              </w:rPr>
            </w:pPr>
            <w:r w:rsidRPr="005908B3">
              <w:rPr>
                <w:rFonts w:ascii="Arial" w:eastAsia="Times New Roman" w:hAnsi="Arial" w:cs="Arial"/>
                <w:color w:val="000000"/>
                <w:sz w:val="28"/>
                <w:szCs w:val="28"/>
                <w:lang w:eastAsia="en-GB"/>
              </w:rPr>
              <w:t>Private Rental Sector and Housing Standards Team</w:t>
            </w:r>
          </w:p>
        </w:tc>
      </w:tr>
      <w:tr w:rsidR="00272A5C" w:rsidRPr="005908B3" w14:paraId="28975633" w14:textId="77777777" w:rsidTr="005908B3">
        <w:trPr>
          <w:trHeight w:val="420"/>
        </w:trPr>
        <w:tc>
          <w:tcPr>
            <w:tcW w:w="2127" w:type="dxa"/>
            <w:tcBorders>
              <w:top w:val="single" w:sz="6" w:space="0" w:color="000000"/>
              <w:left w:val="single" w:sz="6" w:space="0" w:color="000000"/>
              <w:bottom w:val="single" w:sz="6" w:space="0" w:color="000000"/>
              <w:right w:val="single" w:sz="6" w:space="0" w:color="000000"/>
            </w:tcBorders>
            <w:shd w:val="clear" w:color="auto" w:fill="C5E0B3"/>
            <w:hideMark/>
          </w:tcPr>
          <w:p w14:paraId="578991C1" w14:textId="77777777" w:rsidR="00272A5C" w:rsidRPr="005908B3" w:rsidRDefault="00272A5C" w:rsidP="00272A5C">
            <w:pPr>
              <w:spacing w:after="0" w:line="240" w:lineRule="auto"/>
              <w:ind w:firstLine="132"/>
              <w:textAlignment w:val="baseline"/>
              <w:rPr>
                <w:rFonts w:ascii="Arial" w:eastAsia="Times New Roman" w:hAnsi="Arial" w:cs="Arial"/>
                <w:color w:val="000000"/>
                <w:sz w:val="28"/>
                <w:szCs w:val="28"/>
                <w:lang w:eastAsia="en-GB"/>
              </w:rPr>
            </w:pPr>
            <w:r w:rsidRPr="005908B3">
              <w:rPr>
                <w:rFonts w:ascii="Arial" w:eastAsia="Times New Roman" w:hAnsi="Arial" w:cs="Arial"/>
                <w:color w:val="000000"/>
                <w:sz w:val="28"/>
                <w:szCs w:val="28"/>
                <w:lang w:eastAsia="en-GB"/>
              </w:rPr>
              <w:t>Approved by</w:t>
            </w:r>
          </w:p>
        </w:tc>
        <w:tc>
          <w:tcPr>
            <w:tcW w:w="7087" w:type="dxa"/>
            <w:gridSpan w:val="3"/>
            <w:tcBorders>
              <w:top w:val="single" w:sz="6" w:space="0" w:color="000000"/>
              <w:left w:val="single" w:sz="6" w:space="0" w:color="000000"/>
              <w:bottom w:val="single" w:sz="6" w:space="0" w:color="000000"/>
              <w:right w:val="single" w:sz="6" w:space="0" w:color="000000"/>
            </w:tcBorders>
            <w:hideMark/>
          </w:tcPr>
          <w:p w14:paraId="53A97FC4" w14:textId="46D2C8A8" w:rsidR="00272A5C" w:rsidRPr="005908B3" w:rsidRDefault="00F21691" w:rsidP="00272A5C">
            <w:pPr>
              <w:spacing w:after="0" w:line="240" w:lineRule="auto"/>
              <w:ind w:left="-15" w:firstLine="98"/>
              <w:textAlignment w:val="baseline"/>
              <w:rPr>
                <w:rFonts w:ascii="Arial" w:eastAsia="Times New Roman" w:hAnsi="Arial" w:cs="Arial"/>
                <w:color w:val="000000"/>
                <w:sz w:val="28"/>
                <w:szCs w:val="28"/>
                <w:lang w:eastAsia="en-GB"/>
              </w:rPr>
            </w:pPr>
            <w:r>
              <w:rPr>
                <w:rFonts w:ascii="Arial" w:eastAsia="Times New Roman" w:hAnsi="Arial" w:cs="Arial"/>
                <w:i/>
                <w:iCs/>
                <w:color w:val="000000"/>
                <w:sz w:val="28"/>
                <w:szCs w:val="28"/>
                <w:lang w:eastAsia="en-GB"/>
              </w:rPr>
              <w:t>Cabinet</w:t>
            </w:r>
          </w:p>
        </w:tc>
      </w:tr>
      <w:tr w:rsidR="00272A5C" w:rsidRPr="005908B3" w14:paraId="6465DC7C" w14:textId="77777777" w:rsidTr="005908B3">
        <w:trPr>
          <w:trHeight w:val="420"/>
        </w:trPr>
        <w:tc>
          <w:tcPr>
            <w:tcW w:w="2127" w:type="dxa"/>
            <w:tcBorders>
              <w:top w:val="single" w:sz="6" w:space="0" w:color="000000"/>
              <w:left w:val="single" w:sz="6" w:space="0" w:color="000000"/>
              <w:bottom w:val="single" w:sz="6" w:space="0" w:color="000000"/>
              <w:right w:val="single" w:sz="6" w:space="0" w:color="000000"/>
            </w:tcBorders>
            <w:shd w:val="clear" w:color="auto" w:fill="C5E0B3"/>
            <w:hideMark/>
          </w:tcPr>
          <w:p w14:paraId="50D2ADC1" w14:textId="77777777" w:rsidR="00272A5C" w:rsidRPr="005908B3" w:rsidRDefault="00272A5C" w:rsidP="00272A5C">
            <w:pPr>
              <w:spacing w:after="0" w:line="240" w:lineRule="auto"/>
              <w:ind w:firstLine="132"/>
              <w:textAlignment w:val="baseline"/>
              <w:rPr>
                <w:rFonts w:ascii="Arial" w:eastAsia="Times New Roman" w:hAnsi="Arial" w:cs="Arial"/>
                <w:color w:val="000000"/>
                <w:sz w:val="28"/>
                <w:szCs w:val="28"/>
                <w:lang w:eastAsia="en-GB"/>
              </w:rPr>
            </w:pPr>
            <w:r w:rsidRPr="005908B3">
              <w:rPr>
                <w:rFonts w:ascii="Arial" w:eastAsia="Times New Roman" w:hAnsi="Arial" w:cs="Arial"/>
                <w:color w:val="000000"/>
                <w:sz w:val="28"/>
                <w:szCs w:val="28"/>
                <w:lang w:eastAsia="en-GB"/>
              </w:rPr>
              <w:t>Status   </w:t>
            </w:r>
          </w:p>
        </w:tc>
        <w:tc>
          <w:tcPr>
            <w:tcW w:w="2703" w:type="dxa"/>
            <w:tcBorders>
              <w:top w:val="single" w:sz="6" w:space="0" w:color="000000"/>
              <w:left w:val="single" w:sz="6" w:space="0" w:color="000000"/>
              <w:bottom w:val="single" w:sz="6" w:space="0" w:color="000000"/>
              <w:right w:val="single" w:sz="6" w:space="0" w:color="000000"/>
            </w:tcBorders>
            <w:hideMark/>
          </w:tcPr>
          <w:p w14:paraId="3D60AD0A" w14:textId="7AECC868" w:rsidR="00272A5C" w:rsidRPr="005908B3" w:rsidRDefault="00F21691" w:rsidP="00272A5C">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Final</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0DB3000" w14:textId="77777777" w:rsidR="00272A5C" w:rsidRPr="005908B3" w:rsidRDefault="00272A5C" w:rsidP="00272A5C">
            <w:pPr>
              <w:spacing w:after="0" w:line="240" w:lineRule="auto"/>
              <w:ind w:firstLine="98"/>
              <w:textAlignment w:val="baseline"/>
              <w:rPr>
                <w:rFonts w:ascii="Arial" w:eastAsia="Times New Roman" w:hAnsi="Arial" w:cs="Arial"/>
                <w:color w:val="000000"/>
                <w:sz w:val="28"/>
                <w:szCs w:val="28"/>
                <w:lang w:eastAsia="en-GB"/>
              </w:rPr>
            </w:pPr>
            <w:r w:rsidRPr="005908B3">
              <w:rPr>
                <w:rFonts w:ascii="Arial" w:eastAsia="Times New Roman" w:hAnsi="Arial" w:cs="Arial"/>
                <w:color w:val="000000"/>
                <w:sz w:val="28"/>
                <w:szCs w:val="28"/>
                <w:lang w:eastAsia="en-GB"/>
              </w:rPr>
              <w:t>Version   </w:t>
            </w:r>
          </w:p>
        </w:tc>
        <w:tc>
          <w:tcPr>
            <w:tcW w:w="2224" w:type="dxa"/>
            <w:tcBorders>
              <w:top w:val="single" w:sz="6" w:space="0" w:color="000000"/>
              <w:left w:val="single" w:sz="6" w:space="0" w:color="000000"/>
              <w:bottom w:val="single" w:sz="6" w:space="0" w:color="000000"/>
              <w:right w:val="single" w:sz="6" w:space="0" w:color="000000"/>
            </w:tcBorders>
            <w:hideMark/>
          </w:tcPr>
          <w:p w14:paraId="33CD41E6" w14:textId="4897D786" w:rsidR="00272A5C" w:rsidRPr="005908B3" w:rsidRDefault="00F21691" w:rsidP="00272A5C">
            <w:pPr>
              <w:spacing w:after="0" w:line="240" w:lineRule="auto"/>
              <w:ind w:left="96" w:firstLine="2"/>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1.0</w:t>
            </w:r>
          </w:p>
        </w:tc>
      </w:tr>
      <w:tr w:rsidR="00272A5C" w:rsidRPr="005908B3" w14:paraId="40F95DDF" w14:textId="77777777" w:rsidTr="005908B3">
        <w:trPr>
          <w:trHeight w:val="420"/>
        </w:trPr>
        <w:tc>
          <w:tcPr>
            <w:tcW w:w="2127" w:type="dxa"/>
            <w:tcBorders>
              <w:top w:val="single" w:sz="6" w:space="0" w:color="000000"/>
              <w:left w:val="single" w:sz="6" w:space="0" w:color="000000"/>
              <w:bottom w:val="single" w:sz="6" w:space="0" w:color="000000"/>
              <w:right w:val="single" w:sz="6" w:space="0" w:color="000000"/>
            </w:tcBorders>
            <w:shd w:val="clear" w:color="auto" w:fill="C5E0B3"/>
            <w:hideMark/>
          </w:tcPr>
          <w:p w14:paraId="32C86946" w14:textId="77777777" w:rsidR="00272A5C" w:rsidRPr="005908B3" w:rsidRDefault="00272A5C" w:rsidP="00272A5C">
            <w:pPr>
              <w:spacing w:after="0" w:line="240" w:lineRule="auto"/>
              <w:ind w:left="129"/>
              <w:textAlignment w:val="baseline"/>
              <w:rPr>
                <w:rFonts w:ascii="Arial" w:eastAsia="Times New Roman" w:hAnsi="Arial" w:cs="Arial"/>
                <w:color w:val="000000"/>
                <w:sz w:val="28"/>
                <w:szCs w:val="28"/>
                <w:lang w:eastAsia="en-GB"/>
              </w:rPr>
            </w:pPr>
            <w:r w:rsidRPr="005908B3">
              <w:rPr>
                <w:rFonts w:ascii="Arial" w:eastAsia="Times New Roman" w:hAnsi="Arial" w:cs="Arial"/>
                <w:color w:val="000000"/>
                <w:sz w:val="28"/>
                <w:szCs w:val="28"/>
                <w:lang w:eastAsia="en-GB"/>
              </w:rPr>
              <w:t>Effective from   </w:t>
            </w:r>
          </w:p>
        </w:tc>
        <w:tc>
          <w:tcPr>
            <w:tcW w:w="2703" w:type="dxa"/>
            <w:tcBorders>
              <w:top w:val="single" w:sz="6" w:space="0" w:color="000000"/>
              <w:left w:val="single" w:sz="6" w:space="0" w:color="000000"/>
              <w:bottom w:val="single" w:sz="6" w:space="0" w:color="000000"/>
              <w:right w:val="single" w:sz="6" w:space="0" w:color="000000"/>
            </w:tcBorders>
            <w:hideMark/>
          </w:tcPr>
          <w:p w14:paraId="4D7B6F4E" w14:textId="023EE2D6" w:rsidR="00272A5C" w:rsidRPr="005908B3" w:rsidRDefault="00B379E8" w:rsidP="00272A5C">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1</w:t>
            </w:r>
            <w:r w:rsidR="00F21691">
              <w:rPr>
                <w:rFonts w:ascii="Arial" w:eastAsia="Times New Roman" w:hAnsi="Arial" w:cs="Arial"/>
                <w:i/>
                <w:iCs/>
                <w:color w:val="000000"/>
                <w:sz w:val="28"/>
                <w:szCs w:val="28"/>
                <w:lang w:eastAsia="en-GB"/>
              </w:rPr>
              <w:t>7.07.2026</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1369EB1D" w14:textId="77777777" w:rsidR="00272A5C" w:rsidRPr="005908B3" w:rsidRDefault="00272A5C" w:rsidP="00272A5C">
            <w:pPr>
              <w:spacing w:after="0" w:line="240" w:lineRule="auto"/>
              <w:ind w:left="137"/>
              <w:textAlignment w:val="baseline"/>
              <w:rPr>
                <w:rFonts w:ascii="Arial" w:eastAsia="Times New Roman" w:hAnsi="Arial" w:cs="Arial"/>
                <w:color w:val="000000"/>
                <w:sz w:val="28"/>
                <w:szCs w:val="28"/>
                <w:lang w:eastAsia="en-GB"/>
              </w:rPr>
            </w:pPr>
            <w:r w:rsidRPr="005908B3">
              <w:rPr>
                <w:rFonts w:ascii="Arial" w:eastAsia="Times New Roman" w:hAnsi="Arial" w:cs="Arial"/>
                <w:color w:val="000000"/>
                <w:sz w:val="28"/>
                <w:szCs w:val="28"/>
                <w:lang w:eastAsia="en-GB"/>
              </w:rPr>
              <w:t>Approved   on   </w:t>
            </w:r>
          </w:p>
        </w:tc>
        <w:tc>
          <w:tcPr>
            <w:tcW w:w="2224" w:type="dxa"/>
            <w:tcBorders>
              <w:top w:val="single" w:sz="6" w:space="0" w:color="000000"/>
              <w:left w:val="single" w:sz="6" w:space="0" w:color="000000"/>
              <w:bottom w:val="single" w:sz="6" w:space="0" w:color="000000"/>
              <w:right w:val="single" w:sz="6" w:space="0" w:color="000000"/>
            </w:tcBorders>
            <w:hideMark/>
          </w:tcPr>
          <w:p w14:paraId="616D80F7" w14:textId="294543CF" w:rsidR="00272A5C" w:rsidRPr="005908B3" w:rsidRDefault="00F21691" w:rsidP="00272A5C">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15.07.2026</w:t>
            </w:r>
          </w:p>
        </w:tc>
      </w:tr>
      <w:tr w:rsidR="00272A5C" w:rsidRPr="005908B3" w14:paraId="71C3D8DE" w14:textId="77777777" w:rsidTr="005908B3">
        <w:trPr>
          <w:trHeight w:val="420"/>
        </w:trPr>
        <w:tc>
          <w:tcPr>
            <w:tcW w:w="2127" w:type="dxa"/>
            <w:tcBorders>
              <w:top w:val="single" w:sz="6" w:space="0" w:color="000000"/>
              <w:left w:val="single" w:sz="6" w:space="0" w:color="000000"/>
              <w:bottom w:val="single" w:sz="6" w:space="0" w:color="000000"/>
              <w:right w:val="single" w:sz="6" w:space="0" w:color="000000"/>
            </w:tcBorders>
            <w:shd w:val="clear" w:color="auto" w:fill="C5E0B3"/>
            <w:hideMark/>
          </w:tcPr>
          <w:p w14:paraId="3992FB32" w14:textId="77777777" w:rsidR="00272A5C" w:rsidRPr="005908B3" w:rsidRDefault="00272A5C" w:rsidP="00272A5C">
            <w:pPr>
              <w:spacing w:after="0" w:line="240" w:lineRule="auto"/>
              <w:ind w:left="129"/>
              <w:textAlignment w:val="baseline"/>
              <w:rPr>
                <w:rFonts w:ascii="Arial" w:eastAsia="Times New Roman" w:hAnsi="Arial" w:cs="Arial"/>
                <w:color w:val="000000"/>
                <w:sz w:val="28"/>
                <w:szCs w:val="28"/>
                <w:lang w:eastAsia="en-GB"/>
              </w:rPr>
            </w:pPr>
            <w:r w:rsidRPr="005908B3">
              <w:rPr>
                <w:rFonts w:ascii="Arial" w:eastAsia="Times New Roman" w:hAnsi="Arial" w:cs="Arial"/>
                <w:color w:val="000000"/>
                <w:sz w:val="28"/>
                <w:szCs w:val="28"/>
                <w:lang w:eastAsia="en-GB"/>
              </w:rPr>
              <w:t>Last updated   </w:t>
            </w:r>
          </w:p>
        </w:tc>
        <w:tc>
          <w:tcPr>
            <w:tcW w:w="2703" w:type="dxa"/>
            <w:tcBorders>
              <w:top w:val="single" w:sz="6" w:space="0" w:color="000000"/>
              <w:left w:val="single" w:sz="6" w:space="0" w:color="000000"/>
              <w:bottom w:val="single" w:sz="6" w:space="0" w:color="000000"/>
              <w:right w:val="single" w:sz="6" w:space="0" w:color="000000"/>
            </w:tcBorders>
            <w:hideMark/>
          </w:tcPr>
          <w:p w14:paraId="56BB7611" w14:textId="33114451" w:rsidR="00272A5C" w:rsidRPr="005908B3" w:rsidRDefault="00CE3528" w:rsidP="00272A5C">
            <w:pPr>
              <w:spacing w:after="0" w:line="240" w:lineRule="auto"/>
              <w:ind w:firstLine="98"/>
              <w:textAlignment w:val="baseline"/>
              <w:rPr>
                <w:rFonts w:ascii="Arial" w:eastAsia="Times New Roman" w:hAnsi="Arial" w:cs="Arial"/>
                <w:color w:val="000000"/>
                <w:sz w:val="28"/>
                <w:szCs w:val="28"/>
                <w:lang w:eastAsia="en-GB"/>
              </w:rPr>
            </w:pPr>
            <w:r>
              <w:rPr>
                <w:rFonts w:ascii="Arial" w:eastAsia="Times New Roman" w:hAnsi="Arial" w:cs="Arial"/>
                <w:i/>
                <w:iCs/>
                <w:color w:val="000000"/>
                <w:sz w:val="28"/>
                <w:szCs w:val="28"/>
                <w:lang w:eastAsia="en-GB"/>
              </w:rPr>
              <w:t>26.05.2026</w:t>
            </w:r>
            <w:r w:rsidR="00272A5C" w:rsidRPr="005908B3">
              <w:rPr>
                <w:rFonts w:ascii="Arial" w:eastAsia="Times New Roman" w:hAnsi="Arial" w:cs="Arial"/>
                <w:i/>
                <w:iCs/>
                <w:color w:val="000000"/>
                <w:sz w:val="28"/>
                <w:szCs w:val="28"/>
                <w:lang w:eastAsia="en-GB"/>
              </w:rPr>
              <w:t xml:space="preserve">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0AD6043" w14:textId="77777777" w:rsidR="00272A5C" w:rsidRPr="005908B3" w:rsidRDefault="00272A5C" w:rsidP="00272A5C">
            <w:pPr>
              <w:spacing w:after="0" w:line="240" w:lineRule="auto"/>
              <w:ind w:left="130"/>
              <w:textAlignment w:val="baseline"/>
              <w:rPr>
                <w:rFonts w:ascii="Arial" w:eastAsia="Times New Roman" w:hAnsi="Arial" w:cs="Arial"/>
                <w:color w:val="000000"/>
                <w:sz w:val="28"/>
                <w:szCs w:val="28"/>
                <w:lang w:eastAsia="en-GB"/>
              </w:rPr>
            </w:pPr>
            <w:r w:rsidRPr="005908B3">
              <w:rPr>
                <w:rFonts w:ascii="Arial" w:eastAsia="Times New Roman" w:hAnsi="Arial" w:cs="Arial"/>
                <w:color w:val="000000"/>
                <w:sz w:val="28"/>
                <w:szCs w:val="28"/>
                <w:lang w:eastAsia="en-GB"/>
              </w:rPr>
              <w:t>Last updated by  </w:t>
            </w:r>
          </w:p>
        </w:tc>
        <w:tc>
          <w:tcPr>
            <w:tcW w:w="2224" w:type="dxa"/>
            <w:tcBorders>
              <w:top w:val="single" w:sz="6" w:space="0" w:color="000000"/>
              <w:left w:val="single" w:sz="6" w:space="0" w:color="000000"/>
              <w:bottom w:val="single" w:sz="6" w:space="0" w:color="000000"/>
              <w:right w:val="single" w:sz="6" w:space="0" w:color="000000"/>
            </w:tcBorders>
            <w:hideMark/>
          </w:tcPr>
          <w:p w14:paraId="4652CE5E" w14:textId="77777777" w:rsidR="00272A5C" w:rsidRPr="005908B3" w:rsidRDefault="00272A5C" w:rsidP="00272A5C">
            <w:pPr>
              <w:spacing w:after="0" w:line="240" w:lineRule="auto"/>
              <w:ind w:firstLine="98"/>
              <w:textAlignment w:val="baseline"/>
              <w:rPr>
                <w:rFonts w:ascii="Arial" w:eastAsia="Times New Roman" w:hAnsi="Arial" w:cs="Arial"/>
                <w:i/>
                <w:iCs/>
                <w:color w:val="000000"/>
                <w:sz w:val="28"/>
                <w:szCs w:val="28"/>
                <w:lang w:eastAsia="en-GB"/>
              </w:rPr>
            </w:pPr>
            <w:r w:rsidRPr="005908B3">
              <w:rPr>
                <w:rFonts w:ascii="Arial" w:eastAsia="Times New Roman" w:hAnsi="Arial" w:cs="Arial"/>
                <w:i/>
                <w:iCs/>
                <w:color w:val="000000"/>
                <w:sz w:val="28"/>
                <w:szCs w:val="28"/>
                <w:lang w:eastAsia="en-GB"/>
              </w:rPr>
              <w:t xml:space="preserve">Louis Bebb </w:t>
            </w:r>
          </w:p>
        </w:tc>
      </w:tr>
      <w:tr w:rsidR="00272A5C" w:rsidRPr="005908B3" w14:paraId="4C597461" w14:textId="77777777" w:rsidTr="005908B3">
        <w:trPr>
          <w:trHeight w:val="420"/>
        </w:trPr>
        <w:tc>
          <w:tcPr>
            <w:tcW w:w="2127" w:type="dxa"/>
            <w:tcBorders>
              <w:top w:val="single" w:sz="6" w:space="0" w:color="000000"/>
              <w:left w:val="single" w:sz="6" w:space="0" w:color="000000"/>
              <w:bottom w:val="single" w:sz="6" w:space="0" w:color="000000"/>
              <w:right w:val="single" w:sz="6" w:space="0" w:color="000000"/>
            </w:tcBorders>
            <w:shd w:val="clear" w:color="auto" w:fill="C5E0B3"/>
            <w:hideMark/>
          </w:tcPr>
          <w:p w14:paraId="0163ABFF" w14:textId="77777777" w:rsidR="00272A5C" w:rsidRPr="005908B3" w:rsidRDefault="00272A5C" w:rsidP="00272A5C">
            <w:pPr>
              <w:spacing w:after="0" w:line="240" w:lineRule="auto"/>
              <w:ind w:firstLine="132"/>
              <w:textAlignment w:val="baseline"/>
              <w:rPr>
                <w:rFonts w:ascii="Arial" w:eastAsia="Times New Roman" w:hAnsi="Arial" w:cs="Arial"/>
                <w:color w:val="000000"/>
                <w:sz w:val="28"/>
                <w:szCs w:val="28"/>
                <w:lang w:eastAsia="en-GB"/>
              </w:rPr>
            </w:pPr>
            <w:r w:rsidRPr="005908B3">
              <w:rPr>
                <w:rFonts w:ascii="Arial" w:eastAsia="Times New Roman" w:hAnsi="Arial" w:cs="Arial"/>
                <w:color w:val="000000"/>
                <w:sz w:val="28"/>
                <w:szCs w:val="28"/>
                <w:lang w:eastAsia="en-GB"/>
              </w:rPr>
              <w:t>Review date  </w:t>
            </w:r>
          </w:p>
        </w:tc>
        <w:tc>
          <w:tcPr>
            <w:tcW w:w="7087" w:type="dxa"/>
            <w:gridSpan w:val="3"/>
            <w:tcBorders>
              <w:top w:val="single" w:sz="6" w:space="0" w:color="000000"/>
              <w:left w:val="single" w:sz="6" w:space="0" w:color="000000"/>
              <w:bottom w:val="single" w:sz="6" w:space="0" w:color="000000"/>
              <w:right w:val="single" w:sz="6" w:space="0" w:color="000000"/>
            </w:tcBorders>
            <w:hideMark/>
          </w:tcPr>
          <w:p w14:paraId="67CA061D" w14:textId="60B3FCB4" w:rsidR="00272A5C" w:rsidRPr="005908B3" w:rsidRDefault="00F21691" w:rsidP="00272A5C">
            <w:pPr>
              <w:spacing w:after="0" w:line="240" w:lineRule="auto"/>
              <w:ind w:left="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15.07.202</w:t>
            </w:r>
            <w:r>
              <w:rPr>
                <w:rFonts w:ascii="Arial" w:eastAsia="Times New Roman" w:hAnsi="Arial" w:cs="Arial"/>
                <w:i/>
                <w:iCs/>
                <w:color w:val="000000"/>
                <w:sz w:val="28"/>
                <w:szCs w:val="28"/>
                <w:lang w:eastAsia="en-GB"/>
              </w:rPr>
              <w:t>8</w:t>
            </w:r>
          </w:p>
        </w:tc>
      </w:tr>
      <w:tr w:rsidR="00272A5C" w:rsidRPr="005908B3" w14:paraId="6F040CE2" w14:textId="77777777" w:rsidTr="005908B3">
        <w:trPr>
          <w:trHeight w:val="1080"/>
        </w:trPr>
        <w:tc>
          <w:tcPr>
            <w:tcW w:w="2127" w:type="dxa"/>
            <w:tcBorders>
              <w:top w:val="single" w:sz="6" w:space="0" w:color="000000"/>
              <w:left w:val="single" w:sz="6" w:space="0" w:color="000000"/>
              <w:bottom w:val="single" w:sz="6" w:space="0" w:color="000000"/>
              <w:right w:val="single" w:sz="6" w:space="0" w:color="000000"/>
            </w:tcBorders>
            <w:shd w:val="clear" w:color="auto" w:fill="C5E0B3"/>
            <w:hideMark/>
          </w:tcPr>
          <w:p w14:paraId="1ED29D7C" w14:textId="77777777" w:rsidR="00272A5C" w:rsidRPr="005908B3" w:rsidRDefault="00272A5C" w:rsidP="00272A5C">
            <w:pPr>
              <w:spacing w:after="0" w:line="240" w:lineRule="auto"/>
              <w:ind w:firstLine="132"/>
              <w:textAlignment w:val="baseline"/>
              <w:rPr>
                <w:rFonts w:ascii="Arial" w:eastAsia="Times New Roman" w:hAnsi="Arial" w:cs="Arial"/>
                <w:color w:val="000000"/>
                <w:sz w:val="28"/>
                <w:szCs w:val="28"/>
                <w:lang w:eastAsia="en-GB"/>
              </w:rPr>
            </w:pPr>
            <w:r w:rsidRPr="005908B3">
              <w:rPr>
                <w:rFonts w:ascii="Arial" w:eastAsia="Times New Roman" w:hAnsi="Arial" w:cs="Arial"/>
                <w:color w:val="000000"/>
                <w:sz w:val="28"/>
                <w:szCs w:val="28"/>
                <w:lang w:eastAsia="en-GB"/>
              </w:rPr>
              <w:t>Purpose  </w:t>
            </w:r>
          </w:p>
        </w:tc>
        <w:tc>
          <w:tcPr>
            <w:tcW w:w="7087" w:type="dxa"/>
            <w:gridSpan w:val="3"/>
            <w:tcBorders>
              <w:top w:val="single" w:sz="6" w:space="0" w:color="000000"/>
              <w:left w:val="single" w:sz="6" w:space="0" w:color="000000"/>
              <w:bottom w:val="single" w:sz="6" w:space="0" w:color="000000"/>
              <w:right w:val="single" w:sz="6" w:space="0" w:color="000000"/>
            </w:tcBorders>
          </w:tcPr>
          <w:p w14:paraId="6EB0EA35" w14:textId="77777777" w:rsidR="005908B3" w:rsidRPr="005908B3" w:rsidRDefault="005908B3" w:rsidP="005908B3">
            <w:pPr>
              <w:spacing w:after="0" w:line="240" w:lineRule="auto"/>
              <w:ind w:left="98"/>
              <w:textAlignment w:val="baseline"/>
              <w:rPr>
                <w:rFonts w:ascii="Arial" w:eastAsia="Times New Roman" w:hAnsi="Arial" w:cs="Arial"/>
                <w:i/>
                <w:iCs/>
                <w:color w:val="000000"/>
                <w:sz w:val="28"/>
                <w:szCs w:val="28"/>
                <w:lang w:eastAsia="en-GB"/>
              </w:rPr>
            </w:pPr>
            <w:r w:rsidRPr="005908B3">
              <w:rPr>
                <w:rFonts w:ascii="Arial" w:eastAsia="Times New Roman" w:hAnsi="Arial" w:cs="Arial"/>
                <w:i/>
                <w:iCs/>
                <w:color w:val="000000"/>
                <w:sz w:val="28"/>
                <w:szCs w:val="28"/>
                <w:lang w:eastAsia="en-GB"/>
              </w:rPr>
              <w:t>The purpose of this policy is to set out Sandwell Council’s approach to enforcing housing standards in the private rented sector. It explains how the Council will exercise its statutory enforcement powers, including new powers introduced under the Renters’ Rights Act, and how civil financial penalties will be applied, calculated and governed to ensure enforcement action is lawful, proportionate, consistent and transparent.</w:t>
            </w:r>
          </w:p>
          <w:p w14:paraId="1415D929" w14:textId="77777777" w:rsidR="005908B3" w:rsidRPr="005908B3" w:rsidRDefault="005908B3" w:rsidP="005908B3">
            <w:pPr>
              <w:spacing w:after="0" w:line="240" w:lineRule="auto"/>
              <w:ind w:left="98"/>
              <w:textAlignment w:val="baseline"/>
              <w:rPr>
                <w:rFonts w:ascii="Arial" w:eastAsia="Times New Roman" w:hAnsi="Arial" w:cs="Arial"/>
                <w:i/>
                <w:iCs/>
                <w:color w:val="000000"/>
                <w:sz w:val="28"/>
                <w:szCs w:val="28"/>
                <w:lang w:eastAsia="en-GB"/>
              </w:rPr>
            </w:pPr>
          </w:p>
          <w:p w14:paraId="10F05546" w14:textId="1D07B341" w:rsidR="00272A5C" w:rsidRPr="005908B3" w:rsidRDefault="005908B3" w:rsidP="00D702C7">
            <w:pPr>
              <w:spacing w:after="0" w:line="240" w:lineRule="auto"/>
              <w:ind w:left="98"/>
              <w:textAlignment w:val="baseline"/>
              <w:rPr>
                <w:rFonts w:ascii="Arial" w:eastAsia="Times New Roman" w:hAnsi="Arial" w:cs="Arial"/>
                <w:i/>
                <w:iCs/>
                <w:color w:val="000000"/>
                <w:sz w:val="28"/>
                <w:szCs w:val="28"/>
                <w:lang w:eastAsia="en-GB"/>
              </w:rPr>
            </w:pPr>
            <w:r w:rsidRPr="005908B3">
              <w:rPr>
                <w:rFonts w:ascii="Arial" w:eastAsia="Times New Roman" w:hAnsi="Arial" w:cs="Arial"/>
                <w:i/>
                <w:iCs/>
                <w:color w:val="000000"/>
                <w:sz w:val="28"/>
                <w:szCs w:val="28"/>
                <w:lang w:eastAsia="en-GB"/>
              </w:rPr>
              <w:t>The policy confirms revised and new civil penalty levels for offences under the Housing Act 2004, the Management of Houses in Multiple Occupation (England) Regulations 2006, the Renters’ Rights Act 2025 and other relevant housing legislation.</w:t>
            </w:r>
          </w:p>
        </w:tc>
      </w:tr>
    </w:tbl>
    <w:sdt>
      <w:sdtPr>
        <w:rPr>
          <w:rFonts w:asciiTheme="minorHAnsi" w:eastAsiaTheme="minorHAnsi" w:hAnsiTheme="minorHAnsi" w:cstheme="minorBidi"/>
          <w:color w:val="auto"/>
          <w:sz w:val="22"/>
          <w:szCs w:val="22"/>
          <w:lang w:val="en-GB"/>
        </w:rPr>
        <w:id w:val="1128674916"/>
        <w:docPartObj>
          <w:docPartGallery w:val="Table of Contents"/>
          <w:docPartUnique/>
        </w:docPartObj>
      </w:sdtPr>
      <w:sdtEndPr>
        <w:rPr>
          <w:b/>
          <w:bCs/>
        </w:rPr>
      </w:sdtEndPr>
      <w:sdtContent>
        <w:p w14:paraId="34F98414" w14:textId="02EB8D97" w:rsidR="003A1AF0" w:rsidRPr="0086360F" w:rsidRDefault="003A1AF0" w:rsidP="00205209">
          <w:pPr>
            <w:pStyle w:val="TOCHeading"/>
            <w:jc w:val="center"/>
            <w:rPr>
              <w:rFonts w:ascii="Arial" w:hAnsi="Arial" w:cs="Arial"/>
              <w:b/>
              <w:bCs/>
              <w:sz w:val="28"/>
              <w:szCs w:val="28"/>
              <w:u w:val="single"/>
            </w:rPr>
          </w:pPr>
          <w:r w:rsidRPr="0086360F">
            <w:rPr>
              <w:rFonts w:ascii="Arial" w:hAnsi="Arial" w:cs="Arial"/>
              <w:b/>
              <w:bCs/>
              <w:sz w:val="28"/>
              <w:szCs w:val="28"/>
              <w:u w:val="single"/>
              <w:lang w:val="en-GB"/>
            </w:rPr>
            <w:t>Contents</w:t>
          </w:r>
        </w:p>
        <w:p w14:paraId="3E9AEC53" w14:textId="099E9803" w:rsidR="00205209" w:rsidRPr="0086360F" w:rsidRDefault="003A1AF0" w:rsidP="00205209">
          <w:pPr>
            <w:pStyle w:val="TOC1"/>
            <w:rPr>
              <w:rFonts w:eastAsiaTheme="minorEastAsia"/>
              <w:b w:val="0"/>
              <w:bCs w:val="0"/>
              <w:kern w:val="2"/>
              <w:lang w:eastAsia="en-GB"/>
              <w14:ligatures w14:val="standardContextual"/>
            </w:rPr>
          </w:pPr>
          <w:r w:rsidRPr="0086360F">
            <w:fldChar w:fldCharType="begin"/>
          </w:r>
          <w:r w:rsidRPr="0086360F">
            <w:instrText xml:space="preserve"> TOC \o "1-3" \h \z \u </w:instrText>
          </w:r>
          <w:r w:rsidRPr="0086360F">
            <w:fldChar w:fldCharType="separate"/>
          </w:r>
          <w:hyperlink w:anchor="_Toc228453353" w:history="1">
            <w:r w:rsidR="00205209" w:rsidRPr="0086360F">
              <w:rPr>
                <w:rStyle w:val="Hyperlink"/>
                <w:rFonts w:eastAsiaTheme="majorEastAsia"/>
                <w:b w:val="0"/>
                <w:bCs w:val="0"/>
              </w:rPr>
              <w:t>1.</w:t>
            </w:r>
            <w:r w:rsidR="00205209" w:rsidRPr="0086360F">
              <w:rPr>
                <w:rFonts w:eastAsiaTheme="minorEastAsia"/>
                <w:b w:val="0"/>
                <w:bCs w:val="0"/>
                <w:kern w:val="2"/>
                <w:lang w:eastAsia="en-GB"/>
                <w14:ligatures w14:val="standardContextual"/>
              </w:rPr>
              <w:tab/>
            </w:r>
            <w:r w:rsidR="00205209" w:rsidRPr="0086360F">
              <w:rPr>
                <w:rStyle w:val="Hyperlink"/>
                <w:rFonts w:eastAsiaTheme="majorEastAsia"/>
                <w:b w:val="0"/>
                <w:bCs w:val="0"/>
              </w:rPr>
              <w:t>Purpose</w:t>
            </w:r>
            <w:r w:rsidR="00205209" w:rsidRPr="0086360F">
              <w:rPr>
                <w:b w:val="0"/>
                <w:bCs w:val="0"/>
                <w:webHidden/>
              </w:rPr>
              <w:tab/>
            </w:r>
            <w:r w:rsidR="00205209" w:rsidRPr="0086360F">
              <w:rPr>
                <w:b w:val="0"/>
                <w:bCs w:val="0"/>
                <w:webHidden/>
              </w:rPr>
              <w:fldChar w:fldCharType="begin"/>
            </w:r>
            <w:r w:rsidR="00205209" w:rsidRPr="0086360F">
              <w:rPr>
                <w:b w:val="0"/>
                <w:bCs w:val="0"/>
                <w:webHidden/>
              </w:rPr>
              <w:instrText xml:space="preserve"> PAGEREF _Toc228453353 \h </w:instrText>
            </w:r>
            <w:r w:rsidR="00205209" w:rsidRPr="0086360F">
              <w:rPr>
                <w:b w:val="0"/>
                <w:bCs w:val="0"/>
                <w:webHidden/>
              </w:rPr>
            </w:r>
            <w:r w:rsidR="00205209" w:rsidRPr="0086360F">
              <w:rPr>
                <w:b w:val="0"/>
                <w:bCs w:val="0"/>
                <w:webHidden/>
              </w:rPr>
              <w:fldChar w:fldCharType="separate"/>
            </w:r>
            <w:r w:rsidR="00D702C7">
              <w:rPr>
                <w:b w:val="0"/>
                <w:bCs w:val="0"/>
                <w:webHidden/>
              </w:rPr>
              <w:t>3</w:t>
            </w:r>
            <w:r w:rsidR="00205209" w:rsidRPr="0086360F">
              <w:rPr>
                <w:b w:val="0"/>
                <w:bCs w:val="0"/>
                <w:webHidden/>
              </w:rPr>
              <w:fldChar w:fldCharType="end"/>
            </w:r>
          </w:hyperlink>
        </w:p>
        <w:p w14:paraId="586903E4" w14:textId="20BF1874" w:rsidR="00205209" w:rsidRPr="0086360F" w:rsidRDefault="00205209" w:rsidP="00205209">
          <w:pPr>
            <w:pStyle w:val="TOC1"/>
            <w:rPr>
              <w:rFonts w:eastAsiaTheme="minorEastAsia"/>
              <w:b w:val="0"/>
              <w:bCs w:val="0"/>
              <w:kern w:val="2"/>
              <w:lang w:eastAsia="en-GB"/>
              <w14:ligatures w14:val="standardContextual"/>
            </w:rPr>
          </w:pPr>
          <w:hyperlink w:anchor="_Toc228453354" w:history="1">
            <w:r w:rsidRPr="0086360F">
              <w:rPr>
                <w:rStyle w:val="Hyperlink"/>
                <w:rFonts w:eastAsiaTheme="majorEastAsia"/>
                <w:b w:val="0"/>
                <w:bCs w:val="0"/>
              </w:rPr>
              <w:t>2.</w:t>
            </w:r>
            <w:r w:rsidRPr="0086360F">
              <w:rPr>
                <w:rFonts w:eastAsiaTheme="minorEastAsia"/>
                <w:b w:val="0"/>
                <w:bCs w:val="0"/>
                <w:kern w:val="2"/>
                <w:lang w:eastAsia="en-GB"/>
                <w14:ligatures w14:val="standardContextual"/>
              </w:rPr>
              <w:tab/>
            </w:r>
            <w:r w:rsidRPr="0086360F">
              <w:rPr>
                <w:rStyle w:val="Hyperlink"/>
                <w:rFonts w:eastAsiaTheme="majorEastAsia"/>
                <w:b w:val="0"/>
                <w:bCs w:val="0"/>
              </w:rPr>
              <w:t>Scope</w:t>
            </w:r>
            <w:r w:rsidRPr="0086360F">
              <w:rPr>
                <w:b w:val="0"/>
                <w:bCs w:val="0"/>
                <w:webHidden/>
              </w:rPr>
              <w:tab/>
            </w:r>
            <w:r w:rsidRPr="0086360F">
              <w:rPr>
                <w:b w:val="0"/>
                <w:bCs w:val="0"/>
                <w:webHidden/>
              </w:rPr>
              <w:fldChar w:fldCharType="begin"/>
            </w:r>
            <w:r w:rsidRPr="0086360F">
              <w:rPr>
                <w:b w:val="0"/>
                <w:bCs w:val="0"/>
                <w:webHidden/>
              </w:rPr>
              <w:instrText xml:space="preserve"> PAGEREF _Toc228453354 \h </w:instrText>
            </w:r>
            <w:r w:rsidRPr="0086360F">
              <w:rPr>
                <w:b w:val="0"/>
                <w:bCs w:val="0"/>
                <w:webHidden/>
              </w:rPr>
            </w:r>
            <w:r w:rsidRPr="0086360F">
              <w:rPr>
                <w:b w:val="0"/>
                <w:bCs w:val="0"/>
                <w:webHidden/>
              </w:rPr>
              <w:fldChar w:fldCharType="separate"/>
            </w:r>
            <w:r w:rsidR="00D702C7">
              <w:rPr>
                <w:b w:val="0"/>
                <w:bCs w:val="0"/>
                <w:webHidden/>
              </w:rPr>
              <w:t>4</w:t>
            </w:r>
            <w:r w:rsidRPr="0086360F">
              <w:rPr>
                <w:b w:val="0"/>
                <w:bCs w:val="0"/>
                <w:webHidden/>
              </w:rPr>
              <w:fldChar w:fldCharType="end"/>
            </w:r>
          </w:hyperlink>
        </w:p>
        <w:p w14:paraId="4FC73691" w14:textId="00D00336" w:rsidR="00205209" w:rsidRPr="0086360F" w:rsidRDefault="00205209" w:rsidP="00205209">
          <w:pPr>
            <w:pStyle w:val="TOC1"/>
            <w:rPr>
              <w:rFonts w:eastAsiaTheme="minorEastAsia"/>
              <w:b w:val="0"/>
              <w:bCs w:val="0"/>
              <w:kern w:val="2"/>
              <w:lang w:eastAsia="en-GB"/>
              <w14:ligatures w14:val="standardContextual"/>
            </w:rPr>
          </w:pPr>
          <w:hyperlink w:anchor="_Toc228453355" w:history="1">
            <w:r w:rsidRPr="0086360F">
              <w:rPr>
                <w:rStyle w:val="Hyperlink"/>
                <w:rFonts w:eastAsiaTheme="majorEastAsia"/>
                <w:b w:val="0"/>
                <w:bCs w:val="0"/>
              </w:rPr>
              <w:t>3.</w:t>
            </w:r>
            <w:r w:rsidRPr="0086360F">
              <w:rPr>
                <w:rFonts w:eastAsiaTheme="minorEastAsia"/>
                <w:b w:val="0"/>
                <w:bCs w:val="0"/>
                <w:kern w:val="2"/>
                <w:lang w:eastAsia="en-GB"/>
                <w14:ligatures w14:val="standardContextual"/>
              </w:rPr>
              <w:tab/>
            </w:r>
            <w:r w:rsidRPr="0086360F">
              <w:rPr>
                <w:rStyle w:val="Hyperlink"/>
                <w:rFonts w:eastAsiaTheme="majorEastAsia"/>
                <w:b w:val="0"/>
                <w:bCs w:val="0"/>
              </w:rPr>
              <w:t>What is Private Sector Housing Standards Enforcement to Sandwell Council?</w:t>
            </w:r>
            <w:r w:rsidRPr="0086360F">
              <w:rPr>
                <w:b w:val="0"/>
                <w:bCs w:val="0"/>
                <w:webHidden/>
              </w:rPr>
              <w:tab/>
            </w:r>
            <w:r w:rsidRPr="0086360F">
              <w:rPr>
                <w:b w:val="0"/>
                <w:bCs w:val="0"/>
                <w:webHidden/>
              </w:rPr>
              <w:fldChar w:fldCharType="begin"/>
            </w:r>
            <w:r w:rsidRPr="0086360F">
              <w:rPr>
                <w:b w:val="0"/>
                <w:bCs w:val="0"/>
                <w:webHidden/>
              </w:rPr>
              <w:instrText xml:space="preserve"> PAGEREF _Toc228453355 \h </w:instrText>
            </w:r>
            <w:r w:rsidRPr="0086360F">
              <w:rPr>
                <w:b w:val="0"/>
                <w:bCs w:val="0"/>
                <w:webHidden/>
              </w:rPr>
            </w:r>
            <w:r w:rsidRPr="0086360F">
              <w:rPr>
                <w:b w:val="0"/>
                <w:bCs w:val="0"/>
                <w:webHidden/>
              </w:rPr>
              <w:fldChar w:fldCharType="separate"/>
            </w:r>
            <w:r w:rsidR="00D702C7">
              <w:rPr>
                <w:b w:val="0"/>
                <w:bCs w:val="0"/>
                <w:webHidden/>
              </w:rPr>
              <w:t>4</w:t>
            </w:r>
            <w:r w:rsidRPr="0086360F">
              <w:rPr>
                <w:b w:val="0"/>
                <w:bCs w:val="0"/>
                <w:webHidden/>
              </w:rPr>
              <w:fldChar w:fldCharType="end"/>
            </w:r>
          </w:hyperlink>
        </w:p>
        <w:p w14:paraId="2885325E" w14:textId="4A9D890C" w:rsidR="00205209" w:rsidRPr="0086360F" w:rsidRDefault="00205209" w:rsidP="00205209">
          <w:pPr>
            <w:pStyle w:val="TOC1"/>
            <w:rPr>
              <w:rFonts w:eastAsiaTheme="minorEastAsia"/>
              <w:b w:val="0"/>
              <w:bCs w:val="0"/>
              <w:kern w:val="2"/>
              <w:lang w:eastAsia="en-GB"/>
              <w14:ligatures w14:val="standardContextual"/>
            </w:rPr>
          </w:pPr>
          <w:hyperlink w:anchor="_Toc228453356" w:history="1">
            <w:r w:rsidRPr="0086360F">
              <w:rPr>
                <w:rStyle w:val="Hyperlink"/>
                <w:b w:val="0"/>
                <w:bCs w:val="0"/>
                <w:color w:val="000000" w:themeColor="text1"/>
              </w:rPr>
              <w:t>4.</w:t>
            </w:r>
            <w:r w:rsidRPr="0086360F">
              <w:rPr>
                <w:rFonts w:eastAsiaTheme="minorEastAsia"/>
                <w:b w:val="0"/>
                <w:bCs w:val="0"/>
                <w:kern w:val="2"/>
                <w:lang w:eastAsia="en-GB"/>
                <w14:ligatures w14:val="standardContextual"/>
              </w:rPr>
              <w:tab/>
            </w:r>
            <w:r w:rsidRPr="0086360F">
              <w:rPr>
                <w:rStyle w:val="Hyperlink"/>
                <w:b w:val="0"/>
                <w:bCs w:val="0"/>
                <w:color w:val="000000" w:themeColor="text1"/>
              </w:rPr>
              <w:t>Policy Statement</w:t>
            </w:r>
            <w:r w:rsidRPr="0086360F">
              <w:rPr>
                <w:b w:val="0"/>
                <w:bCs w:val="0"/>
                <w:webHidden/>
              </w:rPr>
              <w:tab/>
            </w:r>
            <w:r w:rsidRPr="0086360F">
              <w:rPr>
                <w:b w:val="0"/>
                <w:bCs w:val="0"/>
                <w:webHidden/>
              </w:rPr>
              <w:fldChar w:fldCharType="begin"/>
            </w:r>
            <w:r w:rsidRPr="0086360F">
              <w:rPr>
                <w:b w:val="0"/>
                <w:bCs w:val="0"/>
                <w:webHidden/>
              </w:rPr>
              <w:instrText xml:space="preserve"> PAGEREF _Toc228453356 \h </w:instrText>
            </w:r>
            <w:r w:rsidRPr="0086360F">
              <w:rPr>
                <w:b w:val="0"/>
                <w:bCs w:val="0"/>
                <w:webHidden/>
              </w:rPr>
            </w:r>
            <w:r w:rsidRPr="0086360F">
              <w:rPr>
                <w:b w:val="0"/>
                <w:bCs w:val="0"/>
                <w:webHidden/>
              </w:rPr>
              <w:fldChar w:fldCharType="separate"/>
            </w:r>
            <w:r w:rsidR="00D702C7">
              <w:rPr>
                <w:b w:val="0"/>
                <w:bCs w:val="0"/>
                <w:webHidden/>
              </w:rPr>
              <w:t>5</w:t>
            </w:r>
            <w:r w:rsidRPr="0086360F">
              <w:rPr>
                <w:b w:val="0"/>
                <w:bCs w:val="0"/>
                <w:webHidden/>
              </w:rPr>
              <w:fldChar w:fldCharType="end"/>
            </w:r>
          </w:hyperlink>
        </w:p>
        <w:p w14:paraId="18EA03E3" w14:textId="6A6F3FE4" w:rsidR="00205209" w:rsidRPr="0086360F" w:rsidRDefault="00205209" w:rsidP="00205209">
          <w:pPr>
            <w:pStyle w:val="TOC1"/>
            <w:rPr>
              <w:rFonts w:eastAsiaTheme="minorEastAsia"/>
              <w:b w:val="0"/>
              <w:bCs w:val="0"/>
              <w:kern w:val="2"/>
              <w:lang w:eastAsia="en-GB"/>
              <w14:ligatures w14:val="standardContextual"/>
            </w:rPr>
          </w:pPr>
          <w:hyperlink w:anchor="_Toc228453357" w:history="1">
            <w:r w:rsidRPr="0086360F">
              <w:rPr>
                <w:rStyle w:val="Hyperlink"/>
                <w:b w:val="0"/>
                <w:bCs w:val="0"/>
                <w:color w:val="000000" w:themeColor="text1"/>
              </w:rPr>
              <w:t>5.</w:t>
            </w:r>
            <w:r w:rsidRPr="0086360F">
              <w:rPr>
                <w:rFonts w:eastAsiaTheme="minorEastAsia"/>
                <w:b w:val="0"/>
                <w:bCs w:val="0"/>
                <w:kern w:val="2"/>
                <w:lang w:eastAsia="en-GB"/>
                <w14:ligatures w14:val="standardContextual"/>
              </w:rPr>
              <w:tab/>
            </w:r>
            <w:r w:rsidRPr="0086360F">
              <w:rPr>
                <w:rStyle w:val="Hyperlink"/>
                <w:b w:val="0"/>
                <w:bCs w:val="0"/>
                <w:color w:val="000000" w:themeColor="text1"/>
              </w:rPr>
              <w:t>Development of Policy</w:t>
            </w:r>
            <w:r w:rsidRPr="0086360F">
              <w:rPr>
                <w:b w:val="0"/>
                <w:bCs w:val="0"/>
                <w:webHidden/>
              </w:rPr>
              <w:tab/>
            </w:r>
            <w:r w:rsidRPr="0086360F">
              <w:rPr>
                <w:b w:val="0"/>
                <w:bCs w:val="0"/>
                <w:webHidden/>
              </w:rPr>
              <w:fldChar w:fldCharType="begin"/>
            </w:r>
            <w:r w:rsidRPr="0086360F">
              <w:rPr>
                <w:b w:val="0"/>
                <w:bCs w:val="0"/>
                <w:webHidden/>
              </w:rPr>
              <w:instrText xml:space="preserve"> PAGEREF _Toc228453357 \h </w:instrText>
            </w:r>
            <w:r w:rsidRPr="0086360F">
              <w:rPr>
                <w:b w:val="0"/>
                <w:bCs w:val="0"/>
                <w:webHidden/>
              </w:rPr>
            </w:r>
            <w:r w:rsidRPr="0086360F">
              <w:rPr>
                <w:b w:val="0"/>
                <w:bCs w:val="0"/>
                <w:webHidden/>
              </w:rPr>
              <w:fldChar w:fldCharType="separate"/>
            </w:r>
            <w:r w:rsidR="00D702C7">
              <w:rPr>
                <w:b w:val="0"/>
                <w:bCs w:val="0"/>
                <w:webHidden/>
              </w:rPr>
              <w:t>11</w:t>
            </w:r>
            <w:r w:rsidRPr="0086360F">
              <w:rPr>
                <w:b w:val="0"/>
                <w:bCs w:val="0"/>
                <w:webHidden/>
              </w:rPr>
              <w:fldChar w:fldCharType="end"/>
            </w:r>
          </w:hyperlink>
        </w:p>
        <w:p w14:paraId="64A3D6BB" w14:textId="54DAEF07" w:rsidR="00205209" w:rsidRPr="0086360F" w:rsidRDefault="00205209" w:rsidP="00205209">
          <w:pPr>
            <w:pStyle w:val="TOC1"/>
            <w:rPr>
              <w:rFonts w:eastAsiaTheme="minorEastAsia"/>
              <w:b w:val="0"/>
              <w:bCs w:val="0"/>
              <w:kern w:val="2"/>
              <w:lang w:eastAsia="en-GB"/>
              <w14:ligatures w14:val="standardContextual"/>
            </w:rPr>
          </w:pPr>
          <w:hyperlink w:anchor="_Toc228453358" w:history="1">
            <w:r w:rsidRPr="0086360F">
              <w:rPr>
                <w:rStyle w:val="Hyperlink"/>
                <w:rFonts w:eastAsiaTheme="majorEastAsia"/>
                <w:b w:val="0"/>
                <w:bCs w:val="0"/>
              </w:rPr>
              <w:t>6.</w:t>
            </w:r>
            <w:r w:rsidRPr="0086360F">
              <w:rPr>
                <w:rFonts w:eastAsiaTheme="minorEastAsia"/>
                <w:b w:val="0"/>
                <w:bCs w:val="0"/>
                <w:kern w:val="2"/>
                <w:lang w:eastAsia="en-GB"/>
                <w14:ligatures w14:val="standardContextual"/>
              </w:rPr>
              <w:tab/>
            </w:r>
            <w:r w:rsidRPr="0086360F">
              <w:rPr>
                <w:rStyle w:val="Hyperlink"/>
                <w:rFonts w:eastAsiaTheme="majorEastAsia"/>
                <w:b w:val="0"/>
                <w:bCs w:val="0"/>
              </w:rPr>
              <w:t>Related Documents</w:t>
            </w:r>
            <w:r w:rsidRPr="0086360F">
              <w:rPr>
                <w:b w:val="0"/>
                <w:bCs w:val="0"/>
                <w:webHidden/>
              </w:rPr>
              <w:tab/>
            </w:r>
            <w:r w:rsidRPr="0086360F">
              <w:rPr>
                <w:b w:val="0"/>
                <w:bCs w:val="0"/>
                <w:webHidden/>
              </w:rPr>
              <w:fldChar w:fldCharType="begin"/>
            </w:r>
            <w:r w:rsidRPr="0086360F">
              <w:rPr>
                <w:b w:val="0"/>
                <w:bCs w:val="0"/>
                <w:webHidden/>
              </w:rPr>
              <w:instrText xml:space="preserve"> PAGEREF _Toc228453358 \h </w:instrText>
            </w:r>
            <w:r w:rsidRPr="0086360F">
              <w:rPr>
                <w:b w:val="0"/>
                <w:bCs w:val="0"/>
                <w:webHidden/>
              </w:rPr>
            </w:r>
            <w:r w:rsidRPr="0086360F">
              <w:rPr>
                <w:b w:val="0"/>
                <w:bCs w:val="0"/>
                <w:webHidden/>
              </w:rPr>
              <w:fldChar w:fldCharType="separate"/>
            </w:r>
            <w:r w:rsidR="00D702C7">
              <w:rPr>
                <w:b w:val="0"/>
                <w:bCs w:val="0"/>
                <w:webHidden/>
              </w:rPr>
              <w:t>12</w:t>
            </w:r>
            <w:r w:rsidRPr="0086360F">
              <w:rPr>
                <w:b w:val="0"/>
                <w:bCs w:val="0"/>
                <w:webHidden/>
              </w:rPr>
              <w:fldChar w:fldCharType="end"/>
            </w:r>
          </w:hyperlink>
        </w:p>
        <w:p w14:paraId="7C71B7C5" w14:textId="023EF32E" w:rsidR="00205209" w:rsidRPr="0086360F" w:rsidRDefault="00205209" w:rsidP="00205209">
          <w:pPr>
            <w:pStyle w:val="TOC1"/>
            <w:rPr>
              <w:rFonts w:eastAsiaTheme="minorEastAsia"/>
              <w:b w:val="0"/>
              <w:bCs w:val="0"/>
              <w:kern w:val="2"/>
              <w:lang w:eastAsia="en-GB"/>
              <w14:ligatures w14:val="standardContextual"/>
            </w:rPr>
          </w:pPr>
          <w:hyperlink w:anchor="_Toc228453359" w:history="1">
            <w:r w:rsidRPr="0086360F">
              <w:rPr>
                <w:rStyle w:val="Hyperlink"/>
                <w:rFonts w:eastAsiaTheme="majorEastAsia"/>
                <w:b w:val="0"/>
                <w:bCs w:val="0"/>
              </w:rPr>
              <w:t>7.</w:t>
            </w:r>
            <w:r w:rsidRPr="0086360F">
              <w:rPr>
                <w:rFonts w:eastAsiaTheme="minorEastAsia"/>
                <w:b w:val="0"/>
                <w:bCs w:val="0"/>
                <w:kern w:val="2"/>
                <w:lang w:eastAsia="en-GB"/>
                <w14:ligatures w14:val="standardContextual"/>
              </w:rPr>
              <w:tab/>
            </w:r>
            <w:r w:rsidRPr="0086360F">
              <w:rPr>
                <w:rStyle w:val="Hyperlink"/>
                <w:rFonts w:eastAsiaTheme="majorEastAsia"/>
                <w:b w:val="0"/>
                <w:bCs w:val="0"/>
              </w:rPr>
              <w:t>Legal Framework</w:t>
            </w:r>
            <w:r w:rsidRPr="0086360F">
              <w:rPr>
                <w:b w:val="0"/>
                <w:bCs w:val="0"/>
                <w:webHidden/>
              </w:rPr>
              <w:tab/>
            </w:r>
            <w:r w:rsidRPr="0086360F">
              <w:rPr>
                <w:b w:val="0"/>
                <w:bCs w:val="0"/>
                <w:webHidden/>
              </w:rPr>
              <w:fldChar w:fldCharType="begin"/>
            </w:r>
            <w:r w:rsidRPr="0086360F">
              <w:rPr>
                <w:b w:val="0"/>
                <w:bCs w:val="0"/>
                <w:webHidden/>
              </w:rPr>
              <w:instrText xml:space="preserve"> PAGEREF _Toc228453359 \h </w:instrText>
            </w:r>
            <w:r w:rsidRPr="0086360F">
              <w:rPr>
                <w:b w:val="0"/>
                <w:bCs w:val="0"/>
                <w:webHidden/>
              </w:rPr>
            </w:r>
            <w:r w:rsidRPr="0086360F">
              <w:rPr>
                <w:b w:val="0"/>
                <w:bCs w:val="0"/>
                <w:webHidden/>
              </w:rPr>
              <w:fldChar w:fldCharType="separate"/>
            </w:r>
            <w:r w:rsidR="00D702C7">
              <w:rPr>
                <w:b w:val="0"/>
                <w:bCs w:val="0"/>
                <w:webHidden/>
              </w:rPr>
              <w:t>13</w:t>
            </w:r>
            <w:r w:rsidRPr="0086360F">
              <w:rPr>
                <w:b w:val="0"/>
                <w:bCs w:val="0"/>
                <w:webHidden/>
              </w:rPr>
              <w:fldChar w:fldCharType="end"/>
            </w:r>
          </w:hyperlink>
        </w:p>
        <w:p w14:paraId="31A3F9BA" w14:textId="6875572B" w:rsidR="00205209" w:rsidRPr="0086360F" w:rsidRDefault="00205209" w:rsidP="00205209">
          <w:pPr>
            <w:pStyle w:val="TOC1"/>
            <w:rPr>
              <w:rFonts w:eastAsiaTheme="minorEastAsia"/>
              <w:b w:val="0"/>
              <w:bCs w:val="0"/>
              <w:kern w:val="2"/>
              <w:lang w:eastAsia="en-GB"/>
              <w14:ligatures w14:val="standardContextual"/>
            </w:rPr>
          </w:pPr>
          <w:hyperlink w:anchor="_Toc228453360" w:history="1">
            <w:r w:rsidRPr="0086360F">
              <w:rPr>
                <w:rStyle w:val="Hyperlink"/>
                <w:rFonts w:eastAsiaTheme="majorEastAsia"/>
                <w:b w:val="0"/>
                <w:bCs w:val="0"/>
              </w:rPr>
              <w:t>8.</w:t>
            </w:r>
            <w:r w:rsidRPr="0086360F">
              <w:rPr>
                <w:rFonts w:eastAsiaTheme="minorEastAsia"/>
                <w:b w:val="0"/>
                <w:bCs w:val="0"/>
                <w:kern w:val="2"/>
                <w:lang w:eastAsia="en-GB"/>
                <w14:ligatures w14:val="standardContextual"/>
              </w:rPr>
              <w:tab/>
            </w:r>
            <w:r w:rsidRPr="0086360F">
              <w:rPr>
                <w:rStyle w:val="Hyperlink"/>
                <w:rFonts w:eastAsiaTheme="majorEastAsia"/>
                <w:b w:val="0"/>
                <w:bCs w:val="0"/>
              </w:rPr>
              <w:t>Equality and Diversity</w:t>
            </w:r>
            <w:r w:rsidRPr="0086360F">
              <w:rPr>
                <w:b w:val="0"/>
                <w:bCs w:val="0"/>
                <w:webHidden/>
              </w:rPr>
              <w:tab/>
            </w:r>
            <w:r w:rsidRPr="0086360F">
              <w:rPr>
                <w:b w:val="0"/>
                <w:bCs w:val="0"/>
                <w:webHidden/>
              </w:rPr>
              <w:fldChar w:fldCharType="begin"/>
            </w:r>
            <w:r w:rsidRPr="0086360F">
              <w:rPr>
                <w:b w:val="0"/>
                <w:bCs w:val="0"/>
                <w:webHidden/>
              </w:rPr>
              <w:instrText xml:space="preserve"> PAGEREF _Toc228453360 \h </w:instrText>
            </w:r>
            <w:r w:rsidRPr="0086360F">
              <w:rPr>
                <w:b w:val="0"/>
                <w:bCs w:val="0"/>
                <w:webHidden/>
              </w:rPr>
            </w:r>
            <w:r w:rsidRPr="0086360F">
              <w:rPr>
                <w:b w:val="0"/>
                <w:bCs w:val="0"/>
                <w:webHidden/>
              </w:rPr>
              <w:fldChar w:fldCharType="separate"/>
            </w:r>
            <w:r w:rsidR="00D702C7">
              <w:rPr>
                <w:b w:val="0"/>
                <w:bCs w:val="0"/>
                <w:webHidden/>
              </w:rPr>
              <w:t>14</w:t>
            </w:r>
            <w:r w:rsidRPr="0086360F">
              <w:rPr>
                <w:b w:val="0"/>
                <w:bCs w:val="0"/>
                <w:webHidden/>
              </w:rPr>
              <w:fldChar w:fldCharType="end"/>
            </w:r>
          </w:hyperlink>
        </w:p>
        <w:p w14:paraId="7AB02377" w14:textId="1CA77393" w:rsidR="00205209" w:rsidRPr="0086360F" w:rsidRDefault="00205209" w:rsidP="00205209">
          <w:pPr>
            <w:pStyle w:val="TOC1"/>
            <w:rPr>
              <w:rFonts w:eastAsiaTheme="minorEastAsia"/>
              <w:b w:val="0"/>
              <w:bCs w:val="0"/>
              <w:kern w:val="2"/>
              <w:lang w:eastAsia="en-GB"/>
              <w14:ligatures w14:val="standardContextual"/>
            </w:rPr>
          </w:pPr>
          <w:hyperlink w:anchor="_Toc228453361" w:history="1">
            <w:r w:rsidRPr="0086360F">
              <w:rPr>
                <w:rStyle w:val="Hyperlink"/>
                <w:rFonts w:eastAsiaTheme="majorEastAsia"/>
                <w:b w:val="0"/>
                <w:bCs w:val="0"/>
              </w:rPr>
              <w:t>9.</w:t>
            </w:r>
            <w:r w:rsidRPr="0086360F">
              <w:rPr>
                <w:rFonts w:eastAsiaTheme="minorEastAsia"/>
                <w:b w:val="0"/>
                <w:bCs w:val="0"/>
                <w:kern w:val="2"/>
                <w:lang w:eastAsia="en-GB"/>
                <w14:ligatures w14:val="standardContextual"/>
              </w:rPr>
              <w:tab/>
            </w:r>
            <w:r w:rsidRPr="0086360F">
              <w:rPr>
                <w:rStyle w:val="Hyperlink"/>
                <w:rFonts w:eastAsiaTheme="majorEastAsia"/>
                <w:b w:val="0"/>
                <w:bCs w:val="0"/>
              </w:rPr>
              <w:t>Policy Document Version Control</w:t>
            </w:r>
            <w:r w:rsidRPr="0086360F">
              <w:rPr>
                <w:b w:val="0"/>
                <w:bCs w:val="0"/>
                <w:webHidden/>
              </w:rPr>
              <w:tab/>
            </w:r>
            <w:r w:rsidRPr="0086360F">
              <w:rPr>
                <w:b w:val="0"/>
                <w:bCs w:val="0"/>
                <w:webHidden/>
              </w:rPr>
              <w:fldChar w:fldCharType="begin"/>
            </w:r>
            <w:r w:rsidRPr="0086360F">
              <w:rPr>
                <w:b w:val="0"/>
                <w:bCs w:val="0"/>
                <w:webHidden/>
              </w:rPr>
              <w:instrText xml:space="preserve"> PAGEREF _Toc228453361 \h </w:instrText>
            </w:r>
            <w:r w:rsidRPr="0086360F">
              <w:rPr>
                <w:b w:val="0"/>
                <w:bCs w:val="0"/>
                <w:webHidden/>
              </w:rPr>
            </w:r>
            <w:r w:rsidRPr="0086360F">
              <w:rPr>
                <w:b w:val="0"/>
                <w:bCs w:val="0"/>
                <w:webHidden/>
              </w:rPr>
              <w:fldChar w:fldCharType="separate"/>
            </w:r>
            <w:r w:rsidR="00D702C7">
              <w:rPr>
                <w:b w:val="0"/>
                <w:bCs w:val="0"/>
                <w:webHidden/>
              </w:rPr>
              <w:t>16</w:t>
            </w:r>
            <w:r w:rsidRPr="0086360F">
              <w:rPr>
                <w:b w:val="0"/>
                <w:bCs w:val="0"/>
                <w:webHidden/>
              </w:rPr>
              <w:fldChar w:fldCharType="end"/>
            </w:r>
          </w:hyperlink>
        </w:p>
        <w:p w14:paraId="524D96B2" w14:textId="57EC3DB2" w:rsidR="00205209" w:rsidRPr="0086360F" w:rsidRDefault="00205209" w:rsidP="00205209">
          <w:pPr>
            <w:pStyle w:val="TOC1"/>
            <w:rPr>
              <w:rFonts w:eastAsiaTheme="minorEastAsia"/>
              <w:b w:val="0"/>
              <w:bCs w:val="0"/>
              <w:kern w:val="2"/>
              <w:lang w:eastAsia="en-GB"/>
              <w14:ligatures w14:val="standardContextual"/>
            </w:rPr>
          </w:pPr>
          <w:hyperlink w:anchor="_Toc228453362" w:history="1">
            <w:r w:rsidRPr="0086360F">
              <w:rPr>
                <w:rStyle w:val="Hyperlink"/>
                <w:rFonts w:eastAsiaTheme="majorEastAsia"/>
                <w:b w:val="0"/>
                <w:bCs w:val="0"/>
              </w:rPr>
              <w:t>10.</w:t>
            </w:r>
            <w:r w:rsidRPr="0086360F">
              <w:rPr>
                <w:rFonts w:eastAsiaTheme="minorEastAsia"/>
                <w:b w:val="0"/>
                <w:bCs w:val="0"/>
                <w:kern w:val="2"/>
                <w:lang w:eastAsia="en-GB"/>
                <w14:ligatures w14:val="standardContextual"/>
              </w:rPr>
              <w:tab/>
            </w:r>
            <w:r w:rsidRPr="0086360F">
              <w:rPr>
                <w:rStyle w:val="Hyperlink"/>
                <w:rFonts w:eastAsiaTheme="majorEastAsia"/>
                <w:b w:val="0"/>
                <w:bCs w:val="0"/>
              </w:rPr>
              <w:t>Appendices</w:t>
            </w:r>
            <w:r w:rsidRPr="0086360F">
              <w:rPr>
                <w:b w:val="0"/>
                <w:bCs w:val="0"/>
                <w:webHidden/>
              </w:rPr>
              <w:tab/>
            </w:r>
            <w:r w:rsidRPr="0086360F">
              <w:rPr>
                <w:b w:val="0"/>
                <w:bCs w:val="0"/>
                <w:webHidden/>
              </w:rPr>
              <w:fldChar w:fldCharType="begin"/>
            </w:r>
            <w:r w:rsidRPr="0086360F">
              <w:rPr>
                <w:b w:val="0"/>
                <w:bCs w:val="0"/>
                <w:webHidden/>
              </w:rPr>
              <w:instrText xml:space="preserve"> PAGEREF _Toc228453362 \h </w:instrText>
            </w:r>
            <w:r w:rsidRPr="0086360F">
              <w:rPr>
                <w:b w:val="0"/>
                <w:bCs w:val="0"/>
                <w:webHidden/>
              </w:rPr>
            </w:r>
            <w:r w:rsidRPr="0086360F">
              <w:rPr>
                <w:b w:val="0"/>
                <w:bCs w:val="0"/>
                <w:webHidden/>
              </w:rPr>
              <w:fldChar w:fldCharType="separate"/>
            </w:r>
            <w:r w:rsidR="00D702C7">
              <w:rPr>
                <w:b w:val="0"/>
                <w:bCs w:val="0"/>
                <w:webHidden/>
              </w:rPr>
              <w:t>17</w:t>
            </w:r>
            <w:r w:rsidRPr="0086360F">
              <w:rPr>
                <w:b w:val="0"/>
                <w:bCs w:val="0"/>
                <w:webHidden/>
              </w:rPr>
              <w:fldChar w:fldCharType="end"/>
            </w:r>
          </w:hyperlink>
        </w:p>
        <w:p w14:paraId="634CC83C" w14:textId="059B1E48" w:rsidR="003A1AF0" w:rsidRPr="0086360F" w:rsidRDefault="003A1AF0">
          <w:r w:rsidRPr="0086360F">
            <w:rPr>
              <w:rFonts w:ascii="Arial" w:hAnsi="Arial" w:cs="Arial"/>
              <w:b/>
              <w:bCs/>
              <w:sz w:val="28"/>
              <w:szCs w:val="28"/>
            </w:rPr>
            <w:fldChar w:fldCharType="end"/>
          </w:r>
        </w:p>
      </w:sdtContent>
    </w:sdt>
    <w:p w14:paraId="171291F6" w14:textId="77777777" w:rsidR="002A5E13" w:rsidRPr="0086360F" w:rsidRDefault="002A5E13">
      <w:pPr>
        <w:rPr>
          <w:rFonts w:ascii="Arial" w:hAnsi="Arial" w:cs="Arial"/>
          <w:sz w:val="28"/>
          <w:szCs w:val="28"/>
        </w:rPr>
      </w:pPr>
      <w:r w:rsidRPr="0086360F">
        <w:rPr>
          <w:rFonts w:ascii="Arial" w:hAnsi="Arial" w:cs="Arial"/>
          <w:sz w:val="28"/>
          <w:szCs w:val="28"/>
        </w:rPr>
        <w:br w:type="page"/>
      </w:r>
    </w:p>
    <w:p w14:paraId="23D54469" w14:textId="74BA1F58" w:rsidR="00775A60" w:rsidRPr="0086360F" w:rsidRDefault="00A00C18" w:rsidP="00775A60">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0" w:name="_Toc225521575"/>
      <w:bookmarkStart w:id="1" w:name="_Toc228453353"/>
      <w:bookmarkStart w:id="2" w:name="_Hlk165643217"/>
      <w:r w:rsidRPr="0086360F">
        <w:rPr>
          <w:rFonts w:ascii="Arial" w:eastAsiaTheme="majorEastAsia" w:hAnsi="Arial" w:cs="Arial"/>
          <w:b/>
          <w:bCs/>
          <w:color w:val="2F5496" w:themeColor="accent1" w:themeShade="BF"/>
          <w:sz w:val="28"/>
          <w:szCs w:val="28"/>
        </w:rPr>
        <w:lastRenderedPageBreak/>
        <w:t>Purpose</w:t>
      </w:r>
      <w:bookmarkEnd w:id="0"/>
      <w:bookmarkEnd w:id="1"/>
    </w:p>
    <w:bookmarkEnd w:id="2"/>
    <w:p w14:paraId="2A2F41BA" w14:textId="77777777" w:rsidR="00AB57CA" w:rsidRPr="0086360F" w:rsidRDefault="00AB57CA" w:rsidP="00AB57CA">
      <w:pPr>
        <w:spacing w:after="0"/>
        <w:rPr>
          <w:sz w:val="28"/>
          <w:szCs w:val="28"/>
        </w:rPr>
      </w:pPr>
    </w:p>
    <w:p w14:paraId="709F4004" w14:textId="637CF77C" w:rsidR="003A1AF0" w:rsidRPr="0086360F" w:rsidRDefault="003A1AF0" w:rsidP="003A1AF0">
      <w:pPr>
        <w:pStyle w:val="ListParagraph"/>
        <w:numPr>
          <w:ilvl w:val="1"/>
          <w:numId w:val="1"/>
        </w:numPr>
        <w:ind w:left="567" w:hanging="567"/>
        <w:rPr>
          <w:rFonts w:ascii="Arial" w:hAnsi="Arial" w:cs="Arial"/>
          <w:sz w:val="28"/>
          <w:szCs w:val="28"/>
        </w:rPr>
      </w:pPr>
      <w:r w:rsidRPr="0086360F">
        <w:rPr>
          <w:rFonts w:ascii="Arial" w:hAnsi="Arial" w:cs="Arial"/>
          <w:sz w:val="28"/>
          <w:szCs w:val="28"/>
        </w:rPr>
        <w:t>The purpose of this Enforcement Policy is to set out Sandwell Council’s approach to the use of civil financial penalties as an enforcement tool in the private rented sector.</w:t>
      </w:r>
    </w:p>
    <w:p w14:paraId="5EDC562D" w14:textId="77777777" w:rsidR="003A1AF0" w:rsidRPr="0086360F" w:rsidRDefault="003A1AF0" w:rsidP="003A1AF0">
      <w:pPr>
        <w:pStyle w:val="ListParagraph"/>
        <w:ind w:left="567"/>
        <w:rPr>
          <w:rFonts w:ascii="Arial" w:hAnsi="Arial" w:cs="Arial"/>
          <w:sz w:val="28"/>
          <w:szCs w:val="28"/>
        </w:rPr>
      </w:pPr>
    </w:p>
    <w:p w14:paraId="29CFA628" w14:textId="253EA6F2" w:rsidR="003A1AF0" w:rsidRPr="0086360F" w:rsidRDefault="003A1AF0" w:rsidP="003A1AF0">
      <w:pPr>
        <w:pStyle w:val="ListParagraph"/>
        <w:numPr>
          <w:ilvl w:val="1"/>
          <w:numId w:val="1"/>
        </w:numPr>
        <w:ind w:left="567" w:hanging="567"/>
        <w:rPr>
          <w:rFonts w:ascii="Arial" w:hAnsi="Arial" w:cs="Arial"/>
          <w:sz w:val="28"/>
          <w:szCs w:val="28"/>
        </w:rPr>
      </w:pPr>
      <w:r w:rsidRPr="0086360F">
        <w:rPr>
          <w:rFonts w:ascii="Arial" w:hAnsi="Arial" w:cs="Arial"/>
          <w:sz w:val="28"/>
          <w:szCs w:val="28"/>
        </w:rPr>
        <w:t>This policy explains how and when civil penalties will be used, how penalty levels are calculated, and the governance arrangements that apply.</w:t>
      </w:r>
    </w:p>
    <w:p w14:paraId="2F2AFCFF" w14:textId="77777777" w:rsidR="003A1AF0" w:rsidRPr="0086360F" w:rsidRDefault="003A1AF0" w:rsidP="003A1AF0">
      <w:pPr>
        <w:pStyle w:val="ListParagraph"/>
        <w:rPr>
          <w:rFonts w:ascii="Arial" w:hAnsi="Arial" w:cs="Arial"/>
          <w:sz w:val="28"/>
          <w:szCs w:val="28"/>
        </w:rPr>
      </w:pPr>
    </w:p>
    <w:p w14:paraId="31C582FC" w14:textId="48903570" w:rsidR="003A1AF0" w:rsidRPr="0086360F" w:rsidRDefault="003A1AF0" w:rsidP="003A1AF0">
      <w:pPr>
        <w:pStyle w:val="ListParagraph"/>
        <w:numPr>
          <w:ilvl w:val="1"/>
          <w:numId w:val="1"/>
        </w:numPr>
        <w:ind w:left="567" w:hanging="567"/>
        <w:rPr>
          <w:rFonts w:ascii="Arial" w:hAnsi="Arial" w:cs="Arial"/>
          <w:sz w:val="28"/>
          <w:szCs w:val="28"/>
        </w:rPr>
      </w:pPr>
      <w:r w:rsidRPr="0086360F">
        <w:rPr>
          <w:rFonts w:ascii="Arial" w:hAnsi="Arial" w:cs="Arial"/>
          <w:sz w:val="28"/>
          <w:szCs w:val="28"/>
        </w:rPr>
        <w:t>The intended audience for this document includes elected members, senior managers, enforcement officers, partner agencies, landlords, managing agents, tenants, occupiers and members of the public who may be affected by enforcement action.</w:t>
      </w:r>
    </w:p>
    <w:p w14:paraId="087C94B8" w14:textId="77777777" w:rsidR="003A1AF0" w:rsidRPr="0086360F" w:rsidRDefault="003A1AF0" w:rsidP="003A1AF0">
      <w:pPr>
        <w:pStyle w:val="ListParagraph"/>
        <w:rPr>
          <w:rFonts w:ascii="Arial" w:hAnsi="Arial" w:cs="Arial"/>
          <w:sz w:val="28"/>
          <w:szCs w:val="28"/>
        </w:rPr>
      </w:pPr>
    </w:p>
    <w:p w14:paraId="013ED451" w14:textId="7A2CB3F0" w:rsidR="003A1AF0" w:rsidRPr="0086360F" w:rsidRDefault="003A1AF0" w:rsidP="003A1AF0">
      <w:pPr>
        <w:pStyle w:val="ListParagraph"/>
        <w:numPr>
          <w:ilvl w:val="1"/>
          <w:numId w:val="1"/>
        </w:numPr>
        <w:ind w:left="567" w:hanging="567"/>
        <w:rPr>
          <w:rFonts w:ascii="Arial" w:hAnsi="Arial" w:cs="Arial"/>
          <w:sz w:val="28"/>
          <w:szCs w:val="28"/>
        </w:rPr>
      </w:pPr>
      <w:r w:rsidRPr="0086360F">
        <w:rPr>
          <w:rFonts w:ascii="Arial" w:hAnsi="Arial" w:cs="Arial"/>
          <w:sz w:val="28"/>
          <w:szCs w:val="28"/>
        </w:rPr>
        <w:t>This policy has been produced to provide clarity, transparency and consistency in the Council’s enforcement activity, particularly following the expansion of enforcement duties and civil penalty powers, including increases in penalty levels for certain offences introduced under the Renters’ Rights Act 2025.</w:t>
      </w:r>
    </w:p>
    <w:p w14:paraId="2D6832CB" w14:textId="77777777" w:rsidR="003A1AF0" w:rsidRPr="0086360F" w:rsidRDefault="003A1AF0" w:rsidP="003A1AF0">
      <w:pPr>
        <w:pStyle w:val="ListParagraph"/>
        <w:rPr>
          <w:rFonts w:ascii="Arial" w:hAnsi="Arial" w:cs="Arial"/>
          <w:sz w:val="28"/>
          <w:szCs w:val="28"/>
        </w:rPr>
      </w:pPr>
    </w:p>
    <w:p w14:paraId="6263E7F0" w14:textId="4AAC9B44" w:rsidR="003A1AF0" w:rsidRPr="0086360F" w:rsidRDefault="003A1AF0" w:rsidP="003A1AF0">
      <w:pPr>
        <w:pStyle w:val="ListParagraph"/>
        <w:numPr>
          <w:ilvl w:val="1"/>
          <w:numId w:val="1"/>
        </w:numPr>
        <w:ind w:left="567" w:hanging="567"/>
        <w:rPr>
          <w:rFonts w:ascii="Arial" w:hAnsi="Arial" w:cs="Arial"/>
          <w:sz w:val="28"/>
          <w:szCs w:val="28"/>
        </w:rPr>
      </w:pPr>
      <w:r w:rsidRPr="0086360F">
        <w:rPr>
          <w:rFonts w:ascii="Arial" w:hAnsi="Arial" w:cs="Arial"/>
          <w:sz w:val="28"/>
          <w:szCs w:val="28"/>
        </w:rPr>
        <w:t>The context for this policy is the Council’s statutory duty to enforce housing legislation, protect tenants from poor or unsafe housing conditions and unlawful practices, and regulate the private rented sector in a fair, proportionate and effective manner.</w:t>
      </w:r>
    </w:p>
    <w:p w14:paraId="4F8E0DC7" w14:textId="77777777" w:rsidR="003A1AF0" w:rsidRPr="0086360F" w:rsidRDefault="003A1AF0" w:rsidP="003A1AF0">
      <w:pPr>
        <w:pStyle w:val="ListParagraph"/>
        <w:rPr>
          <w:rFonts w:ascii="Arial" w:hAnsi="Arial" w:cs="Arial"/>
          <w:sz w:val="28"/>
          <w:szCs w:val="28"/>
        </w:rPr>
      </w:pPr>
    </w:p>
    <w:p w14:paraId="2DC5CB17" w14:textId="332BD043" w:rsidR="003A1AF0" w:rsidRPr="0086360F" w:rsidRDefault="003A1AF0" w:rsidP="003A1AF0">
      <w:pPr>
        <w:pStyle w:val="ListParagraph"/>
        <w:numPr>
          <w:ilvl w:val="1"/>
          <w:numId w:val="1"/>
        </w:numPr>
        <w:ind w:left="567" w:hanging="567"/>
        <w:rPr>
          <w:rFonts w:ascii="Arial" w:hAnsi="Arial" w:cs="Arial"/>
          <w:sz w:val="28"/>
          <w:szCs w:val="28"/>
        </w:rPr>
      </w:pPr>
      <w:r w:rsidRPr="0086360F">
        <w:rPr>
          <w:rFonts w:ascii="Arial" w:hAnsi="Arial" w:cs="Arial"/>
          <w:sz w:val="28"/>
          <w:szCs w:val="28"/>
        </w:rPr>
        <w:t>This policy sets out the principles that underpin enforcement decision</w:t>
      </w:r>
      <w:r w:rsidRPr="0086360F">
        <w:rPr>
          <w:rFonts w:ascii="Arial" w:hAnsi="Arial" w:cs="Arial"/>
          <w:sz w:val="28"/>
          <w:szCs w:val="28"/>
        </w:rPr>
        <w:noBreakHyphen/>
        <w:t>making and explains how civil penalties fit within the Council’s wider enforcement framework, ensuring that enforcement action is lawful, evidence</w:t>
      </w:r>
      <w:r w:rsidRPr="0086360F">
        <w:rPr>
          <w:rFonts w:ascii="Arial" w:hAnsi="Arial" w:cs="Arial"/>
          <w:sz w:val="28"/>
          <w:szCs w:val="28"/>
        </w:rPr>
        <w:noBreakHyphen/>
        <w:t>based, transparent and defensible.</w:t>
      </w:r>
    </w:p>
    <w:p w14:paraId="1978A623" w14:textId="77777777" w:rsidR="003A1AF0" w:rsidRPr="0086360F" w:rsidRDefault="003A1AF0" w:rsidP="003A1AF0">
      <w:pPr>
        <w:pStyle w:val="ListParagraph"/>
        <w:rPr>
          <w:rFonts w:ascii="Arial" w:hAnsi="Arial" w:cs="Arial"/>
          <w:sz w:val="28"/>
          <w:szCs w:val="28"/>
        </w:rPr>
      </w:pPr>
    </w:p>
    <w:p w14:paraId="180CFBB0" w14:textId="33EF7637" w:rsidR="003A1AF0" w:rsidRPr="0086360F" w:rsidRDefault="003A1AF0" w:rsidP="003A1AF0">
      <w:pPr>
        <w:pStyle w:val="ListParagraph"/>
        <w:numPr>
          <w:ilvl w:val="1"/>
          <w:numId w:val="1"/>
        </w:numPr>
        <w:ind w:left="567" w:hanging="567"/>
        <w:rPr>
          <w:rFonts w:ascii="Arial" w:hAnsi="Arial" w:cs="Arial"/>
          <w:sz w:val="28"/>
          <w:szCs w:val="28"/>
        </w:rPr>
      </w:pPr>
      <w:r w:rsidRPr="0086360F">
        <w:rPr>
          <w:rFonts w:ascii="Arial" w:hAnsi="Arial" w:cs="Arial"/>
          <w:sz w:val="28"/>
          <w:szCs w:val="28"/>
        </w:rPr>
        <w:t>The outcomes of this policy are to:</w:t>
      </w:r>
    </w:p>
    <w:p w14:paraId="4520499B" w14:textId="77777777" w:rsidR="003A1AF0" w:rsidRPr="0086360F" w:rsidRDefault="003A1AF0" w:rsidP="009D7A7A">
      <w:pPr>
        <w:pStyle w:val="ListParagraph"/>
        <w:numPr>
          <w:ilvl w:val="0"/>
          <w:numId w:val="8"/>
        </w:numPr>
        <w:rPr>
          <w:rFonts w:ascii="Arial" w:hAnsi="Arial" w:cs="Arial"/>
          <w:sz w:val="28"/>
          <w:szCs w:val="28"/>
        </w:rPr>
      </w:pPr>
      <w:r w:rsidRPr="0086360F">
        <w:rPr>
          <w:rFonts w:ascii="Arial" w:hAnsi="Arial" w:cs="Arial"/>
          <w:sz w:val="28"/>
          <w:szCs w:val="28"/>
        </w:rPr>
        <w:t>ensure civil penalties are applied consistently and in line with statutory guidance;</w:t>
      </w:r>
    </w:p>
    <w:p w14:paraId="02B4A1C5" w14:textId="77777777" w:rsidR="003A1AF0" w:rsidRPr="0086360F" w:rsidRDefault="003A1AF0" w:rsidP="009D7A7A">
      <w:pPr>
        <w:pStyle w:val="ListParagraph"/>
        <w:numPr>
          <w:ilvl w:val="0"/>
          <w:numId w:val="8"/>
        </w:numPr>
        <w:rPr>
          <w:rFonts w:ascii="Arial" w:hAnsi="Arial" w:cs="Arial"/>
          <w:sz w:val="28"/>
          <w:szCs w:val="28"/>
        </w:rPr>
      </w:pPr>
      <w:r w:rsidRPr="0086360F">
        <w:rPr>
          <w:rFonts w:ascii="Arial" w:hAnsi="Arial" w:cs="Arial"/>
          <w:sz w:val="28"/>
          <w:szCs w:val="28"/>
        </w:rPr>
        <w:t>provide a clear framework for calculating penalty levels, including starting points, adjustments and statutory limits;</w:t>
      </w:r>
    </w:p>
    <w:p w14:paraId="66AEA99A" w14:textId="77777777" w:rsidR="003A1AF0" w:rsidRPr="0086360F" w:rsidRDefault="003A1AF0" w:rsidP="009D7A7A">
      <w:pPr>
        <w:pStyle w:val="ListParagraph"/>
        <w:numPr>
          <w:ilvl w:val="0"/>
          <w:numId w:val="8"/>
        </w:numPr>
        <w:rPr>
          <w:rFonts w:ascii="Arial" w:hAnsi="Arial" w:cs="Arial"/>
          <w:sz w:val="28"/>
          <w:szCs w:val="28"/>
        </w:rPr>
      </w:pPr>
      <w:r w:rsidRPr="0086360F">
        <w:rPr>
          <w:rFonts w:ascii="Arial" w:hAnsi="Arial" w:cs="Arial"/>
          <w:sz w:val="28"/>
          <w:szCs w:val="28"/>
        </w:rPr>
        <w:t>support effective deterrence against non</w:t>
      </w:r>
      <w:r w:rsidRPr="0086360F">
        <w:rPr>
          <w:rFonts w:ascii="Arial" w:hAnsi="Arial" w:cs="Arial"/>
          <w:sz w:val="28"/>
          <w:szCs w:val="28"/>
        </w:rPr>
        <w:noBreakHyphen/>
        <w:t>compliance and repeat offending;</w:t>
      </w:r>
    </w:p>
    <w:p w14:paraId="55AD6B23" w14:textId="77777777" w:rsidR="003A1AF0" w:rsidRPr="0086360F" w:rsidRDefault="003A1AF0" w:rsidP="009D7A7A">
      <w:pPr>
        <w:pStyle w:val="ListParagraph"/>
        <w:numPr>
          <w:ilvl w:val="0"/>
          <w:numId w:val="8"/>
        </w:numPr>
        <w:rPr>
          <w:rFonts w:ascii="Arial" w:hAnsi="Arial" w:cs="Arial"/>
          <w:sz w:val="28"/>
          <w:szCs w:val="28"/>
        </w:rPr>
      </w:pPr>
      <w:r w:rsidRPr="0086360F">
        <w:rPr>
          <w:rFonts w:ascii="Arial" w:hAnsi="Arial" w:cs="Arial"/>
          <w:sz w:val="28"/>
          <w:szCs w:val="28"/>
        </w:rPr>
        <w:lastRenderedPageBreak/>
        <w:t>ensure enforcement decisions are transparent, proportionate and appropriately governed.</w:t>
      </w:r>
    </w:p>
    <w:p w14:paraId="7A966277" w14:textId="77777777" w:rsidR="003A1AF0" w:rsidRPr="0086360F" w:rsidRDefault="003A1AF0" w:rsidP="003A1AF0">
      <w:pPr>
        <w:pStyle w:val="ListParagraph"/>
        <w:ind w:left="927"/>
        <w:rPr>
          <w:rFonts w:ascii="Arial" w:hAnsi="Arial" w:cs="Arial"/>
          <w:sz w:val="28"/>
          <w:szCs w:val="28"/>
        </w:rPr>
      </w:pPr>
    </w:p>
    <w:p w14:paraId="78F407A9" w14:textId="0ECB5116" w:rsidR="003A1AF0" w:rsidRPr="0086360F" w:rsidRDefault="003A1AF0" w:rsidP="003A1AF0">
      <w:pPr>
        <w:pStyle w:val="ListParagraph"/>
        <w:numPr>
          <w:ilvl w:val="1"/>
          <w:numId w:val="1"/>
        </w:numPr>
        <w:ind w:left="567" w:hanging="567"/>
        <w:rPr>
          <w:rFonts w:ascii="Arial" w:hAnsi="Arial" w:cs="Arial"/>
          <w:sz w:val="28"/>
          <w:szCs w:val="28"/>
        </w:rPr>
      </w:pPr>
      <w:r w:rsidRPr="0086360F">
        <w:rPr>
          <w:rFonts w:ascii="Arial" w:hAnsi="Arial" w:cs="Arial"/>
          <w:sz w:val="28"/>
          <w:szCs w:val="28"/>
        </w:rPr>
        <w:t>These outcomes will be measured through:</w:t>
      </w:r>
    </w:p>
    <w:p w14:paraId="44D6D874" w14:textId="77777777" w:rsidR="003A1AF0" w:rsidRPr="0086360F" w:rsidRDefault="003A1AF0" w:rsidP="009D7A7A">
      <w:pPr>
        <w:pStyle w:val="ListParagraph"/>
        <w:numPr>
          <w:ilvl w:val="0"/>
          <w:numId w:val="9"/>
        </w:numPr>
        <w:rPr>
          <w:rFonts w:ascii="Arial" w:hAnsi="Arial" w:cs="Arial"/>
          <w:sz w:val="28"/>
          <w:szCs w:val="28"/>
        </w:rPr>
      </w:pPr>
      <w:r w:rsidRPr="0086360F">
        <w:rPr>
          <w:rFonts w:ascii="Arial" w:hAnsi="Arial" w:cs="Arial"/>
          <w:sz w:val="28"/>
          <w:szCs w:val="28"/>
        </w:rPr>
        <w:t>consistency of enforcement decisions across cases;</w:t>
      </w:r>
    </w:p>
    <w:p w14:paraId="013AAFF0" w14:textId="77777777" w:rsidR="003A1AF0" w:rsidRPr="0086360F" w:rsidRDefault="003A1AF0" w:rsidP="009D7A7A">
      <w:pPr>
        <w:pStyle w:val="ListParagraph"/>
        <w:numPr>
          <w:ilvl w:val="0"/>
          <w:numId w:val="9"/>
        </w:numPr>
        <w:rPr>
          <w:rFonts w:ascii="Arial" w:hAnsi="Arial" w:cs="Arial"/>
          <w:sz w:val="28"/>
          <w:szCs w:val="28"/>
        </w:rPr>
      </w:pPr>
      <w:r w:rsidRPr="0086360F">
        <w:rPr>
          <w:rFonts w:ascii="Arial" w:hAnsi="Arial" w:cs="Arial"/>
          <w:sz w:val="28"/>
          <w:szCs w:val="28"/>
        </w:rPr>
        <w:t>compliance with statutory guidance and legal requirements;</w:t>
      </w:r>
    </w:p>
    <w:p w14:paraId="437C3CD7" w14:textId="77777777" w:rsidR="003A1AF0" w:rsidRPr="0086360F" w:rsidRDefault="003A1AF0" w:rsidP="009D7A7A">
      <w:pPr>
        <w:pStyle w:val="ListParagraph"/>
        <w:numPr>
          <w:ilvl w:val="0"/>
          <w:numId w:val="9"/>
        </w:numPr>
        <w:rPr>
          <w:rFonts w:ascii="Arial" w:hAnsi="Arial" w:cs="Arial"/>
          <w:sz w:val="28"/>
          <w:szCs w:val="28"/>
        </w:rPr>
      </w:pPr>
      <w:r w:rsidRPr="0086360F">
        <w:rPr>
          <w:rFonts w:ascii="Arial" w:hAnsi="Arial" w:cs="Arial"/>
          <w:sz w:val="28"/>
          <w:szCs w:val="28"/>
        </w:rPr>
        <w:t>monitoring of appeal outcomes and challenges;</w:t>
      </w:r>
    </w:p>
    <w:p w14:paraId="085EDC08" w14:textId="160CF8E9" w:rsidR="003A1AF0" w:rsidRPr="0086360F" w:rsidRDefault="003A1AF0" w:rsidP="009D7A7A">
      <w:pPr>
        <w:pStyle w:val="ListParagraph"/>
        <w:numPr>
          <w:ilvl w:val="0"/>
          <w:numId w:val="9"/>
        </w:numPr>
        <w:rPr>
          <w:rFonts w:ascii="Arial" w:hAnsi="Arial" w:cs="Arial"/>
          <w:sz w:val="28"/>
          <w:szCs w:val="28"/>
        </w:rPr>
      </w:pPr>
      <w:r w:rsidRPr="0086360F">
        <w:rPr>
          <w:rFonts w:ascii="Arial" w:hAnsi="Arial" w:cs="Arial"/>
          <w:sz w:val="28"/>
          <w:szCs w:val="28"/>
        </w:rPr>
        <w:t>review of enforcement performance and effectiveness in improving compliance within the private rented sector.</w:t>
      </w:r>
    </w:p>
    <w:p w14:paraId="72D60DB7" w14:textId="77777777" w:rsidR="003A1AF0" w:rsidRPr="0086360F" w:rsidRDefault="003A1AF0" w:rsidP="00AB57CA">
      <w:pPr>
        <w:spacing w:after="0"/>
        <w:rPr>
          <w:rFonts w:ascii="Arial" w:hAnsi="Arial" w:cs="Arial"/>
          <w:sz w:val="28"/>
          <w:szCs w:val="28"/>
        </w:rPr>
      </w:pPr>
    </w:p>
    <w:p w14:paraId="76974F70" w14:textId="0712FDCC" w:rsidR="00775A60" w:rsidRPr="0086360F" w:rsidRDefault="00DC3EDD" w:rsidP="00A00C18">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3" w:name="_Toc225521576"/>
      <w:bookmarkStart w:id="4" w:name="_Toc228453354"/>
      <w:bookmarkStart w:id="5" w:name="_Hlk164762292"/>
      <w:r w:rsidRPr="0086360F">
        <w:rPr>
          <w:rFonts w:ascii="Arial" w:eastAsiaTheme="majorEastAsia" w:hAnsi="Arial" w:cs="Arial"/>
          <w:b/>
          <w:bCs/>
          <w:color w:val="2F5496" w:themeColor="accent1" w:themeShade="BF"/>
          <w:sz w:val="28"/>
          <w:szCs w:val="28"/>
        </w:rPr>
        <w:t>Scope</w:t>
      </w:r>
      <w:bookmarkEnd w:id="3"/>
      <w:bookmarkEnd w:id="4"/>
    </w:p>
    <w:bookmarkEnd w:id="5"/>
    <w:p w14:paraId="3B6C266F" w14:textId="77777777" w:rsidR="00DC3EDD" w:rsidRPr="0086360F" w:rsidRDefault="00DC3EDD" w:rsidP="00DC3EDD">
      <w:pPr>
        <w:keepNext/>
        <w:keepLines/>
        <w:spacing w:after="0"/>
        <w:outlineLvl w:val="0"/>
        <w:rPr>
          <w:rFonts w:ascii="Arial" w:eastAsiaTheme="majorEastAsia" w:hAnsi="Arial" w:cs="Arial"/>
          <w:b/>
          <w:bCs/>
          <w:color w:val="2F5496" w:themeColor="accent1" w:themeShade="BF"/>
          <w:sz w:val="28"/>
          <w:szCs w:val="28"/>
        </w:rPr>
      </w:pPr>
    </w:p>
    <w:p w14:paraId="3232CCC7" w14:textId="77777777" w:rsidR="003A1AF0" w:rsidRPr="0086360F" w:rsidRDefault="003A1AF0" w:rsidP="003A1AF0">
      <w:pPr>
        <w:pStyle w:val="ListParagraph"/>
        <w:numPr>
          <w:ilvl w:val="1"/>
          <w:numId w:val="1"/>
        </w:numPr>
        <w:ind w:left="567" w:hanging="567"/>
        <w:rPr>
          <w:rFonts w:ascii="Arial" w:hAnsi="Arial" w:cs="Arial"/>
          <w:sz w:val="28"/>
          <w:szCs w:val="28"/>
        </w:rPr>
      </w:pPr>
      <w:r w:rsidRPr="0086360F">
        <w:rPr>
          <w:rFonts w:ascii="Arial" w:hAnsi="Arial" w:cs="Arial"/>
          <w:sz w:val="28"/>
          <w:szCs w:val="28"/>
        </w:rPr>
        <w:t>This policy applies to all enforcement activity undertaken by Sandwell Council in relation to the private rented sector.</w:t>
      </w:r>
    </w:p>
    <w:p w14:paraId="4E99EA02" w14:textId="77777777" w:rsidR="003A1AF0" w:rsidRPr="0086360F" w:rsidRDefault="003A1AF0" w:rsidP="003A1AF0">
      <w:pPr>
        <w:pStyle w:val="ListParagraph"/>
        <w:ind w:left="567"/>
        <w:rPr>
          <w:rFonts w:ascii="Arial" w:hAnsi="Arial" w:cs="Arial"/>
          <w:sz w:val="28"/>
          <w:szCs w:val="28"/>
        </w:rPr>
      </w:pPr>
    </w:p>
    <w:p w14:paraId="05506053" w14:textId="77777777" w:rsidR="003A1AF0" w:rsidRPr="0086360F" w:rsidRDefault="003A1AF0" w:rsidP="003A1AF0">
      <w:pPr>
        <w:pStyle w:val="ListParagraph"/>
        <w:numPr>
          <w:ilvl w:val="1"/>
          <w:numId w:val="1"/>
        </w:numPr>
        <w:ind w:left="567" w:hanging="567"/>
        <w:rPr>
          <w:rFonts w:ascii="Arial" w:hAnsi="Arial" w:cs="Arial"/>
          <w:sz w:val="28"/>
          <w:szCs w:val="28"/>
        </w:rPr>
      </w:pPr>
      <w:r w:rsidRPr="0086360F">
        <w:rPr>
          <w:rFonts w:ascii="Arial" w:hAnsi="Arial" w:cs="Arial"/>
          <w:sz w:val="28"/>
          <w:szCs w:val="28"/>
        </w:rPr>
        <w:t>It applies to landlords, property owners, managing agents, tenants, occupiers, and any other persons or organisations subject to housing enforcement action.</w:t>
      </w:r>
    </w:p>
    <w:p w14:paraId="58235C6A" w14:textId="77777777" w:rsidR="003A1AF0" w:rsidRPr="0086360F" w:rsidRDefault="003A1AF0" w:rsidP="003A1AF0">
      <w:pPr>
        <w:pStyle w:val="ListParagraph"/>
        <w:rPr>
          <w:rFonts w:ascii="Arial" w:hAnsi="Arial" w:cs="Arial"/>
          <w:sz w:val="28"/>
          <w:szCs w:val="28"/>
        </w:rPr>
      </w:pPr>
    </w:p>
    <w:p w14:paraId="0E5BF6AA" w14:textId="177DB88B" w:rsidR="003A1AF0" w:rsidRPr="0086360F" w:rsidRDefault="003A1AF0" w:rsidP="003A1AF0">
      <w:pPr>
        <w:pStyle w:val="ListParagraph"/>
        <w:numPr>
          <w:ilvl w:val="1"/>
          <w:numId w:val="1"/>
        </w:numPr>
        <w:ind w:left="567" w:hanging="567"/>
        <w:rPr>
          <w:rFonts w:ascii="Arial" w:hAnsi="Arial" w:cs="Arial"/>
          <w:sz w:val="28"/>
          <w:szCs w:val="28"/>
        </w:rPr>
      </w:pPr>
      <w:r w:rsidRPr="0086360F">
        <w:rPr>
          <w:rFonts w:ascii="Arial" w:hAnsi="Arial" w:cs="Arial"/>
          <w:sz w:val="28"/>
          <w:szCs w:val="28"/>
        </w:rPr>
        <w:t>The policy covers enforcement activity and the use of civil financial penalties under housing legislation, associated regulations, and the Renters’ Rights Act 2025.</w:t>
      </w:r>
    </w:p>
    <w:p w14:paraId="26FC1615" w14:textId="77777777" w:rsidR="003A1AF0" w:rsidRPr="0086360F" w:rsidRDefault="003A1AF0" w:rsidP="003A1AF0">
      <w:pPr>
        <w:pStyle w:val="ListParagraph"/>
        <w:rPr>
          <w:rFonts w:ascii="Arial" w:hAnsi="Arial" w:cs="Arial"/>
          <w:sz w:val="28"/>
          <w:szCs w:val="28"/>
        </w:rPr>
      </w:pPr>
    </w:p>
    <w:p w14:paraId="58227565" w14:textId="7BAE5521" w:rsidR="003D2B21" w:rsidRPr="0086360F" w:rsidRDefault="00866512" w:rsidP="00AA61DE">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6" w:name="_Toc225521577"/>
      <w:bookmarkStart w:id="7" w:name="_Toc228453355"/>
      <w:r w:rsidRPr="0086360F">
        <w:rPr>
          <w:rFonts w:ascii="Arial" w:eastAsiaTheme="majorEastAsia" w:hAnsi="Arial" w:cs="Arial"/>
          <w:b/>
          <w:bCs/>
          <w:color w:val="2F5496" w:themeColor="accent1" w:themeShade="BF"/>
          <w:sz w:val="28"/>
          <w:szCs w:val="28"/>
        </w:rPr>
        <w:t xml:space="preserve">What is </w:t>
      </w:r>
      <w:r w:rsidR="007800AC" w:rsidRPr="0086360F">
        <w:rPr>
          <w:rFonts w:ascii="Arial" w:eastAsiaTheme="majorEastAsia" w:hAnsi="Arial" w:cs="Arial"/>
          <w:b/>
          <w:bCs/>
          <w:color w:val="2F5496" w:themeColor="accent1" w:themeShade="BF"/>
          <w:sz w:val="28"/>
          <w:szCs w:val="28"/>
        </w:rPr>
        <w:t>Private Sector Housing Standards Enforcement</w:t>
      </w:r>
      <w:r w:rsidRPr="0086360F">
        <w:rPr>
          <w:rFonts w:ascii="Arial" w:eastAsiaTheme="majorEastAsia" w:hAnsi="Arial" w:cs="Arial"/>
          <w:b/>
          <w:bCs/>
          <w:color w:val="2F5496" w:themeColor="accent1" w:themeShade="BF"/>
          <w:sz w:val="28"/>
          <w:szCs w:val="28"/>
        </w:rPr>
        <w:t xml:space="preserve"> to Sandwell Council?</w:t>
      </w:r>
      <w:bookmarkEnd w:id="6"/>
      <w:bookmarkEnd w:id="7"/>
    </w:p>
    <w:p w14:paraId="1C5C8804" w14:textId="77777777" w:rsidR="00AA61DE" w:rsidRPr="0086360F" w:rsidRDefault="00AA61DE" w:rsidP="00AA61DE">
      <w:pPr>
        <w:keepNext/>
        <w:keepLines/>
        <w:spacing w:after="0"/>
        <w:ind w:left="360"/>
        <w:outlineLvl w:val="0"/>
        <w:rPr>
          <w:rFonts w:ascii="Arial" w:eastAsiaTheme="majorEastAsia" w:hAnsi="Arial" w:cs="Arial"/>
          <w:b/>
          <w:bCs/>
          <w:color w:val="2F5496" w:themeColor="accent1" w:themeShade="BF"/>
          <w:sz w:val="28"/>
          <w:szCs w:val="28"/>
        </w:rPr>
      </w:pPr>
    </w:p>
    <w:p w14:paraId="1741A731" w14:textId="02F910F8" w:rsidR="00AB57CA" w:rsidRPr="0086360F" w:rsidRDefault="00AB57CA" w:rsidP="00AB57CA">
      <w:pPr>
        <w:pStyle w:val="ListParagraph"/>
        <w:numPr>
          <w:ilvl w:val="1"/>
          <w:numId w:val="1"/>
        </w:numPr>
        <w:ind w:left="567" w:hanging="567"/>
        <w:rPr>
          <w:rFonts w:ascii="Arial" w:hAnsi="Arial" w:cs="Arial"/>
          <w:sz w:val="28"/>
          <w:szCs w:val="28"/>
        </w:rPr>
      </w:pPr>
      <w:bookmarkStart w:id="8" w:name="_Hlk164766688"/>
      <w:r w:rsidRPr="0086360F">
        <w:rPr>
          <w:rFonts w:ascii="Arial" w:hAnsi="Arial" w:cs="Arial"/>
          <w:sz w:val="28"/>
          <w:szCs w:val="28"/>
        </w:rPr>
        <w:t>For the purposes of this policy, the following terms are used:</w:t>
      </w:r>
    </w:p>
    <w:p w14:paraId="0F1128B8" w14:textId="77777777" w:rsidR="00AB57CA" w:rsidRPr="0086360F" w:rsidRDefault="00AB57CA" w:rsidP="00AB57CA">
      <w:pPr>
        <w:pStyle w:val="ListParagraph"/>
        <w:ind w:left="567"/>
        <w:rPr>
          <w:rFonts w:ascii="Arial" w:hAnsi="Arial" w:cs="Arial"/>
          <w:sz w:val="28"/>
          <w:szCs w:val="28"/>
        </w:rPr>
      </w:pPr>
    </w:p>
    <w:p w14:paraId="4CB7B9CC" w14:textId="4AF36122" w:rsidR="00AB57CA" w:rsidRPr="0086360F" w:rsidRDefault="00AB57CA" w:rsidP="00AB57CA">
      <w:pPr>
        <w:pStyle w:val="ListParagraph"/>
        <w:numPr>
          <w:ilvl w:val="1"/>
          <w:numId w:val="1"/>
        </w:numPr>
        <w:ind w:left="567" w:hanging="567"/>
        <w:rPr>
          <w:rFonts w:ascii="Arial" w:hAnsi="Arial" w:cs="Arial"/>
          <w:sz w:val="28"/>
          <w:szCs w:val="28"/>
        </w:rPr>
      </w:pPr>
      <w:r w:rsidRPr="0086360F">
        <w:rPr>
          <w:rFonts w:ascii="Arial" w:hAnsi="Arial" w:cs="Arial"/>
          <w:b/>
          <w:bCs/>
          <w:sz w:val="28"/>
          <w:szCs w:val="28"/>
        </w:rPr>
        <w:t>Civil Financial Penalty</w:t>
      </w:r>
      <w:r w:rsidRPr="0086360F">
        <w:rPr>
          <w:rFonts w:ascii="Arial" w:hAnsi="Arial" w:cs="Arial"/>
          <w:sz w:val="28"/>
          <w:szCs w:val="28"/>
        </w:rPr>
        <w:br/>
        <w:t xml:space="preserve">A monetary penalty imposed by </w:t>
      </w:r>
      <w:r w:rsidR="00CA4080" w:rsidRPr="0086360F">
        <w:rPr>
          <w:rFonts w:ascii="Arial" w:hAnsi="Arial" w:cs="Arial"/>
          <w:sz w:val="28"/>
          <w:szCs w:val="28"/>
        </w:rPr>
        <w:t>the council</w:t>
      </w:r>
      <w:r w:rsidRPr="0086360F">
        <w:rPr>
          <w:rFonts w:ascii="Arial" w:hAnsi="Arial" w:cs="Arial"/>
          <w:sz w:val="28"/>
          <w:szCs w:val="28"/>
        </w:rPr>
        <w:t xml:space="preserve"> as an alternative to prosecution for specified housing offences, in accordance with statutory powers and guidance.</w:t>
      </w:r>
    </w:p>
    <w:p w14:paraId="0938D338" w14:textId="77777777" w:rsidR="007800AC" w:rsidRPr="0086360F" w:rsidRDefault="007800AC" w:rsidP="007800AC">
      <w:pPr>
        <w:pStyle w:val="ListParagraph"/>
        <w:rPr>
          <w:rFonts w:ascii="Arial" w:hAnsi="Arial" w:cs="Arial"/>
          <w:sz w:val="28"/>
          <w:szCs w:val="28"/>
        </w:rPr>
      </w:pPr>
    </w:p>
    <w:p w14:paraId="3F5FAD63" w14:textId="0089E45E" w:rsidR="00AB57CA" w:rsidRPr="0086360F" w:rsidRDefault="00AB57CA" w:rsidP="00AB57CA">
      <w:pPr>
        <w:pStyle w:val="ListParagraph"/>
        <w:numPr>
          <w:ilvl w:val="1"/>
          <w:numId w:val="1"/>
        </w:numPr>
        <w:ind w:left="567" w:hanging="567"/>
        <w:rPr>
          <w:rFonts w:ascii="Arial" w:hAnsi="Arial" w:cs="Arial"/>
          <w:sz w:val="28"/>
          <w:szCs w:val="28"/>
        </w:rPr>
      </w:pPr>
      <w:r w:rsidRPr="0086360F">
        <w:rPr>
          <w:rFonts w:ascii="Arial" w:hAnsi="Arial" w:cs="Arial"/>
          <w:b/>
          <w:bCs/>
          <w:sz w:val="28"/>
          <w:szCs w:val="28"/>
        </w:rPr>
        <w:t>Enforcement</w:t>
      </w:r>
      <w:r w:rsidRPr="0086360F">
        <w:rPr>
          <w:rFonts w:ascii="Arial" w:hAnsi="Arial" w:cs="Arial"/>
          <w:sz w:val="28"/>
          <w:szCs w:val="28"/>
        </w:rPr>
        <w:br/>
        <w:t xml:space="preserve">The use of legal powers available to </w:t>
      </w:r>
      <w:r w:rsidR="00CA4080" w:rsidRPr="0086360F">
        <w:rPr>
          <w:rFonts w:ascii="Arial" w:hAnsi="Arial" w:cs="Arial"/>
          <w:sz w:val="28"/>
          <w:szCs w:val="28"/>
        </w:rPr>
        <w:t>the council</w:t>
      </w:r>
      <w:r w:rsidRPr="0086360F">
        <w:rPr>
          <w:rFonts w:ascii="Arial" w:hAnsi="Arial" w:cs="Arial"/>
          <w:sz w:val="28"/>
          <w:szCs w:val="28"/>
        </w:rPr>
        <w:t xml:space="preserve"> to secure compliance with housing legislation, protect occupiers, and address unlawful or unsafe practices in the private rented sector.</w:t>
      </w:r>
    </w:p>
    <w:p w14:paraId="27F0E26F" w14:textId="77777777" w:rsidR="00AB57CA" w:rsidRPr="0086360F" w:rsidRDefault="00AB57CA" w:rsidP="00AB57CA">
      <w:pPr>
        <w:pStyle w:val="ListParagraph"/>
        <w:ind w:left="567"/>
        <w:rPr>
          <w:rFonts w:ascii="Arial" w:hAnsi="Arial" w:cs="Arial"/>
          <w:sz w:val="28"/>
          <w:szCs w:val="28"/>
        </w:rPr>
      </w:pPr>
    </w:p>
    <w:p w14:paraId="2121F500" w14:textId="02D0DFDB" w:rsidR="00AB57CA" w:rsidRPr="0086360F" w:rsidRDefault="00AB57CA" w:rsidP="00AB57CA">
      <w:pPr>
        <w:pStyle w:val="ListParagraph"/>
        <w:numPr>
          <w:ilvl w:val="1"/>
          <w:numId w:val="1"/>
        </w:numPr>
        <w:ind w:left="567" w:hanging="567"/>
        <w:rPr>
          <w:rFonts w:ascii="Arial" w:hAnsi="Arial" w:cs="Arial"/>
          <w:sz w:val="28"/>
          <w:szCs w:val="28"/>
        </w:rPr>
      </w:pPr>
      <w:r w:rsidRPr="0086360F">
        <w:rPr>
          <w:rFonts w:ascii="Arial" w:hAnsi="Arial" w:cs="Arial"/>
          <w:b/>
          <w:bCs/>
          <w:sz w:val="28"/>
          <w:szCs w:val="28"/>
        </w:rPr>
        <w:lastRenderedPageBreak/>
        <w:t>Starting Point</w:t>
      </w:r>
      <w:r w:rsidRPr="0086360F">
        <w:rPr>
          <w:rFonts w:ascii="Arial" w:hAnsi="Arial" w:cs="Arial"/>
          <w:sz w:val="28"/>
          <w:szCs w:val="28"/>
        </w:rPr>
        <w:br/>
        <w:t>The base financial amount applied when calculating a civil penalty, determined by the type and seriousness of the offence and, where applicable, previous relevant offences, before any adjustments are made.</w:t>
      </w:r>
      <w:r w:rsidR="003946A1" w:rsidRPr="0086360F">
        <w:rPr>
          <w:rFonts w:ascii="Arial" w:hAnsi="Arial" w:cs="Arial"/>
          <w:sz w:val="28"/>
          <w:szCs w:val="28"/>
        </w:rPr>
        <w:t xml:space="preserve"> </w:t>
      </w:r>
    </w:p>
    <w:p w14:paraId="78F2C5CB" w14:textId="77777777" w:rsidR="00AB57CA" w:rsidRPr="0086360F" w:rsidRDefault="00AB57CA" w:rsidP="00AB57CA">
      <w:pPr>
        <w:pStyle w:val="ListParagraph"/>
        <w:rPr>
          <w:rFonts w:ascii="Arial" w:hAnsi="Arial" w:cs="Arial"/>
          <w:sz w:val="28"/>
          <w:szCs w:val="28"/>
        </w:rPr>
      </w:pPr>
    </w:p>
    <w:p w14:paraId="07B2FC85" w14:textId="77777777" w:rsidR="00AB57CA" w:rsidRPr="0086360F" w:rsidRDefault="00AB57CA" w:rsidP="00AB57CA">
      <w:pPr>
        <w:pStyle w:val="ListParagraph"/>
        <w:numPr>
          <w:ilvl w:val="1"/>
          <w:numId w:val="1"/>
        </w:numPr>
        <w:ind w:left="567" w:hanging="567"/>
        <w:rPr>
          <w:rFonts w:ascii="Arial" w:hAnsi="Arial" w:cs="Arial"/>
          <w:sz w:val="28"/>
          <w:szCs w:val="28"/>
        </w:rPr>
      </w:pPr>
      <w:r w:rsidRPr="0086360F">
        <w:rPr>
          <w:rFonts w:ascii="Arial" w:hAnsi="Arial" w:cs="Arial"/>
          <w:b/>
          <w:bCs/>
          <w:sz w:val="28"/>
          <w:szCs w:val="28"/>
        </w:rPr>
        <w:t>Aggravating Factors</w:t>
      </w:r>
      <w:r w:rsidRPr="0086360F">
        <w:rPr>
          <w:rFonts w:ascii="Arial" w:hAnsi="Arial" w:cs="Arial"/>
          <w:sz w:val="28"/>
          <w:szCs w:val="28"/>
        </w:rPr>
        <w:br/>
      </w:r>
      <w:proofErr w:type="spellStart"/>
      <w:r w:rsidRPr="0086360F">
        <w:rPr>
          <w:rFonts w:ascii="Arial" w:hAnsi="Arial" w:cs="Arial"/>
          <w:sz w:val="28"/>
          <w:szCs w:val="28"/>
        </w:rPr>
        <w:t>Factors</w:t>
      </w:r>
      <w:proofErr w:type="spellEnd"/>
      <w:r w:rsidRPr="0086360F">
        <w:rPr>
          <w:rFonts w:ascii="Arial" w:hAnsi="Arial" w:cs="Arial"/>
          <w:sz w:val="28"/>
          <w:szCs w:val="28"/>
        </w:rPr>
        <w:t xml:space="preserve"> that increase the seriousness of an offence and justify an increase in the penalty amount, such as deliberate non</w:t>
      </w:r>
      <w:r w:rsidRPr="0086360F">
        <w:rPr>
          <w:rFonts w:ascii="Arial" w:hAnsi="Arial" w:cs="Arial"/>
          <w:sz w:val="28"/>
          <w:szCs w:val="28"/>
        </w:rPr>
        <w:noBreakHyphen/>
        <w:t>compliance, repeat offending, risk of harm, or vulnerable occupants.</w:t>
      </w:r>
    </w:p>
    <w:p w14:paraId="28FEF421" w14:textId="77777777" w:rsidR="00AB57CA" w:rsidRPr="0086360F" w:rsidRDefault="00AB57CA" w:rsidP="00AB57CA">
      <w:pPr>
        <w:pStyle w:val="ListParagraph"/>
        <w:rPr>
          <w:rFonts w:ascii="Arial" w:hAnsi="Arial" w:cs="Arial"/>
          <w:sz w:val="28"/>
          <w:szCs w:val="28"/>
        </w:rPr>
      </w:pPr>
    </w:p>
    <w:p w14:paraId="788E3A01" w14:textId="77777777" w:rsidR="00AB57CA" w:rsidRPr="0086360F" w:rsidRDefault="00AB57CA" w:rsidP="00AB57CA">
      <w:pPr>
        <w:pStyle w:val="ListParagraph"/>
        <w:numPr>
          <w:ilvl w:val="1"/>
          <w:numId w:val="1"/>
        </w:numPr>
        <w:ind w:left="567" w:hanging="567"/>
        <w:rPr>
          <w:rFonts w:ascii="Arial" w:hAnsi="Arial" w:cs="Arial"/>
          <w:sz w:val="28"/>
          <w:szCs w:val="28"/>
        </w:rPr>
      </w:pPr>
      <w:r w:rsidRPr="0086360F">
        <w:rPr>
          <w:rFonts w:ascii="Arial" w:hAnsi="Arial" w:cs="Arial"/>
          <w:b/>
          <w:bCs/>
          <w:sz w:val="28"/>
          <w:szCs w:val="28"/>
        </w:rPr>
        <w:t>Mitigating Factors</w:t>
      </w:r>
      <w:r w:rsidRPr="0086360F">
        <w:rPr>
          <w:rFonts w:ascii="Arial" w:hAnsi="Arial" w:cs="Arial"/>
          <w:sz w:val="28"/>
          <w:szCs w:val="28"/>
        </w:rPr>
        <w:br/>
      </w:r>
      <w:proofErr w:type="spellStart"/>
      <w:r w:rsidRPr="0086360F">
        <w:rPr>
          <w:rFonts w:ascii="Arial" w:hAnsi="Arial" w:cs="Arial"/>
          <w:sz w:val="28"/>
          <w:szCs w:val="28"/>
        </w:rPr>
        <w:t>Factors</w:t>
      </w:r>
      <w:proofErr w:type="spellEnd"/>
      <w:r w:rsidRPr="0086360F">
        <w:rPr>
          <w:rFonts w:ascii="Arial" w:hAnsi="Arial" w:cs="Arial"/>
          <w:sz w:val="28"/>
          <w:szCs w:val="28"/>
        </w:rPr>
        <w:t xml:space="preserve"> that may justify a reduction in the penalty amount, including evidence of genuine financial hardship or prompt remedial action, provided the deterrent effect is not undermined.</w:t>
      </w:r>
    </w:p>
    <w:p w14:paraId="2CAAC83B" w14:textId="77777777" w:rsidR="00AB57CA" w:rsidRPr="0086360F" w:rsidRDefault="00AB57CA" w:rsidP="00AB57CA">
      <w:pPr>
        <w:pStyle w:val="ListParagraph"/>
        <w:rPr>
          <w:rFonts w:ascii="Arial" w:hAnsi="Arial" w:cs="Arial"/>
          <w:sz w:val="28"/>
          <w:szCs w:val="28"/>
        </w:rPr>
      </w:pPr>
    </w:p>
    <w:p w14:paraId="03542158" w14:textId="77777777" w:rsidR="00AB57CA" w:rsidRPr="0086360F" w:rsidRDefault="00AB57CA" w:rsidP="00AB57CA">
      <w:pPr>
        <w:pStyle w:val="ListParagraph"/>
        <w:numPr>
          <w:ilvl w:val="1"/>
          <w:numId w:val="1"/>
        </w:numPr>
        <w:ind w:left="567" w:hanging="567"/>
        <w:rPr>
          <w:rFonts w:ascii="Arial" w:hAnsi="Arial" w:cs="Arial"/>
          <w:sz w:val="28"/>
          <w:szCs w:val="28"/>
        </w:rPr>
      </w:pPr>
      <w:r w:rsidRPr="0086360F">
        <w:rPr>
          <w:rFonts w:ascii="Arial" w:hAnsi="Arial" w:cs="Arial"/>
          <w:b/>
          <w:bCs/>
          <w:sz w:val="28"/>
          <w:szCs w:val="28"/>
        </w:rPr>
        <w:t>Statutory Maximum</w:t>
      </w:r>
      <w:r w:rsidRPr="0086360F">
        <w:rPr>
          <w:rFonts w:ascii="Arial" w:hAnsi="Arial" w:cs="Arial"/>
          <w:sz w:val="28"/>
          <w:szCs w:val="28"/>
        </w:rPr>
        <w:br/>
        <w:t>The maximum financial penalty that may be imposed for a single offence, as set out in legislation.</w:t>
      </w:r>
    </w:p>
    <w:p w14:paraId="5F3D78FF" w14:textId="77777777" w:rsidR="00AB57CA" w:rsidRPr="0086360F" w:rsidRDefault="00AB57CA" w:rsidP="00AB57CA">
      <w:pPr>
        <w:pStyle w:val="ListParagraph"/>
        <w:rPr>
          <w:rFonts w:ascii="Arial" w:hAnsi="Arial" w:cs="Arial"/>
          <w:sz w:val="28"/>
          <w:szCs w:val="28"/>
        </w:rPr>
      </w:pPr>
    </w:p>
    <w:p w14:paraId="4D8FCC83" w14:textId="40AD330F" w:rsidR="00AB57CA" w:rsidRPr="0086360F" w:rsidRDefault="00AB57CA" w:rsidP="00AB57CA">
      <w:pPr>
        <w:pStyle w:val="ListParagraph"/>
        <w:numPr>
          <w:ilvl w:val="1"/>
          <w:numId w:val="1"/>
        </w:numPr>
        <w:ind w:left="567" w:hanging="567"/>
        <w:rPr>
          <w:rFonts w:ascii="Arial" w:hAnsi="Arial" w:cs="Arial"/>
          <w:sz w:val="28"/>
          <w:szCs w:val="28"/>
        </w:rPr>
      </w:pPr>
      <w:r w:rsidRPr="0086360F">
        <w:rPr>
          <w:rFonts w:ascii="Arial" w:hAnsi="Arial" w:cs="Arial"/>
          <w:b/>
          <w:bCs/>
          <w:sz w:val="28"/>
          <w:szCs w:val="28"/>
        </w:rPr>
        <w:t>Renters’ Rights Act Offence</w:t>
      </w:r>
      <w:r w:rsidRPr="0086360F">
        <w:rPr>
          <w:rFonts w:ascii="Arial" w:hAnsi="Arial" w:cs="Arial"/>
          <w:sz w:val="28"/>
          <w:szCs w:val="28"/>
        </w:rPr>
        <w:br/>
        <w:t xml:space="preserve">A breach of duties or requirements introduced under the Renters’ Rights Act for which </w:t>
      </w:r>
      <w:r w:rsidR="00CA4080" w:rsidRPr="0086360F">
        <w:rPr>
          <w:rFonts w:ascii="Arial" w:hAnsi="Arial" w:cs="Arial"/>
          <w:sz w:val="28"/>
          <w:szCs w:val="28"/>
        </w:rPr>
        <w:t>the council</w:t>
      </w:r>
      <w:r w:rsidRPr="0086360F">
        <w:rPr>
          <w:rFonts w:ascii="Arial" w:hAnsi="Arial" w:cs="Arial"/>
          <w:sz w:val="28"/>
          <w:szCs w:val="28"/>
        </w:rPr>
        <w:t xml:space="preserve"> has a statutory duty or power to take enforcement action, including the imposition of civil penalties.</w:t>
      </w:r>
    </w:p>
    <w:p w14:paraId="4B5F8DCE" w14:textId="77777777" w:rsidR="00AB57CA" w:rsidRPr="0086360F" w:rsidRDefault="00AB57CA" w:rsidP="00AB57CA">
      <w:pPr>
        <w:pStyle w:val="ListParagraph"/>
        <w:rPr>
          <w:rFonts w:ascii="Arial" w:hAnsi="Arial" w:cs="Arial"/>
          <w:sz w:val="28"/>
          <w:szCs w:val="28"/>
        </w:rPr>
      </w:pPr>
    </w:p>
    <w:p w14:paraId="026746F2" w14:textId="1D3D115A" w:rsidR="00AB57CA" w:rsidRPr="0086360F" w:rsidRDefault="00AB57CA" w:rsidP="00AB57CA">
      <w:pPr>
        <w:pStyle w:val="ListParagraph"/>
        <w:numPr>
          <w:ilvl w:val="1"/>
          <w:numId w:val="1"/>
        </w:numPr>
        <w:ind w:left="567" w:hanging="567"/>
        <w:rPr>
          <w:rFonts w:ascii="Arial" w:hAnsi="Arial" w:cs="Arial"/>
          <w:sz w:val="28"/>
          <w:szCs w:val="28"/>
        </w:rPr>
      </w:pPr>
      <w:r w:rsidRPr="0086360F">
        <w:rPr>
          <w:rFonts w:ascii="Arial" w:hAnsi="Arial" w:cs="Arial"/>
          <w:b/>
          <w:bCs/>
          <w:sz w:val="28"/>
          <w:szCs w:val="28"/>
        </w:rPr>
        <w:t>Panel</w:t>
      </w:r>
      <w:r w:rsidRPr="0086360F">
        <w:rPr>
          <w:rFonts w:ascii="Arial" w:hAnsi="Arial" w:cs="Arial"/>
          <w:sz w:val="28"/>
          <w:szCs w:val="28"/>
        </w:rPr>
        <w:br/>
      </w:r>
      <w:r w:rsidR="00CA4080" w:rsidRPr="0086360F">
        <w:rPr>
          <w:rFonts w:ascii="Arial" w:hAnsi="Arial" w:cs="Arial"/>
          <w:sz w:val="28"/>
          <w:szCs w:val="28"/>
        </w:rPr>
        <w:t>The council</w:t>
      </w:r>
      <w:r w:rsidRPr="0086360F">
        <w:rPr>
          <w:rFonts w:ascii="Arial" w:hAnsi="Arial" w:cs="Arial"/>
          <w:sz w:val="28"/>
          <w:szCs w:val="28"/>
        </w:rPr>
        <w:t>’s internal decision</w:t>
      </w:r>
      <w:r w:rsidRPr="0086360F">
        <w:rPr>
          <w:rFonts w:ascii="Arial" w:hAnsi="Arial" w:cs="Arial"/>
          <w:sz w:val="28"/>
          <w:szCs w:val="28"/>
        </w:rPr>
        <w:noBreakHyphen/>
        <w:t>making body responsible for reviewing evidence, applying this policy, and determining whether a civil penalty should be imposed, varied or withdrawn.</w:t>
      </w:r>
      <w:bookmarkEnd w:id="8"/>
    </w:p>
    <w:p w14:paraId="41BA55D4" w14:textId="77777777" w:rsidR="003A1AF0" w:rsidRPr="0086360F" w:rsidRDefault="003A1AF0" w:rsidP="003A1AF0">
      <w:pPr>
        <w:pStyle w:val="ListParagraph"/>
        <w:rPr>
          <w:rFonts w:ascii="Arial" w:hAnsi="Arial" w:cs="Arial"/>
          <w:sz w:val="28"/>
          <w:szCs w:val="28"/>
        </w:rPr>
      </w:pPr>
    </w:p>
    <w:p w14:paraId="121C5554" w14:textId="77777777" w:rsidR="003A1AF0" w:rsidRPr="0086360F" w:rsidRDefault="003A1AF0" w:rsidP="003A1AF0">
      <w:pPr>
        <w:keepNext/>
        <w:keepLines/>
        <w:numPr>
          <w:ilvl w:val="0"/>
          <w:numId w:val="1"/>
        </w:numPr>
        <w:spacing w:after="0"/>
        <w:outlineLvl w:val="0"/>
        <w:rPr>
          <w:rFonts w:ascii="Arial" w:eastAsia="Times New Roman" w:hAnsi="Arial" w:cs="Arial"/>
          <w:b/>
          <w:bCs/>
          <w:color w:val="1F4E79" w:themeColor="accent5" w:themeShade="80"/>
          <w:kern w:val="2"/>
          <w:sz w:val="28"/>
          <w:szCs w:val="28"/>
          <w14:ligatures w14:val="standardContextual"/>
        </w:rPr>
      </w:pPr>
      <w:bookmarkStart w:id="9" w:name="_Toc225521578"/>
      <w:bookmarkStart w:id="10" w:name="_Toc228453356"/>
      <w:bookmarkStart w:id="11" w:name="_Hlk164766672"/>
      <w:r w:rsidRPr="0086360F">
        <w:rPr>
          <w:rFonts w:ascii="Arial" w:eastAsia="Times New Roman" w:hAnsi="Arial" w:cs="Arial"/>
          <w:b/>
          <w:bCs/>
          <w:color w:val="1F4E79" w:themeColor="accent5" w:themeShade="80"/>
          <w:kern w:val="2"/>
          <w:sz w:val="28"/>
          <w:szCs w:val="28"/>
          <w14:ligatures w14:val="standardContextual"/>
        </w:rPr>
        <w:t>Policy Statement</w:t>
      </w:r>
      <w:bookmarkEnd w:id="9"/>
      <w:bookmarkEnd w:id="10"/>
      <w:r w:rsidRPr="0086360F">
        <w:rPr>
          <w:rFonts w:ascii="Arial" w:eastAsia="Times New Roman" w:hAnsi="Arial" w:cs="Arial"/>
          <w:b/>
          <w:bCs/>
          <w:color w:val="1F4E79" w:themeColor="accent5" w:themeShade="80"/>
          <w:kern w:val="2"/>
          <w:sz w:val="28"/>
          <w:szCs w:val="28"/>
          <w14:ligatures w14:val="standardContextual"/>
        </w:rPr>
        <w:t xml:space="preserve"> </w:t>
      </w:r>
    </w:p>
    <w:p w14:paraId="64022CF0" w14:textId="77777777" w:rsidR="003A1AF0" w:rsidRPr="0086360F" w:rsidRDefault="003A1AF0" w:rsidP="003A1AF0">
      <w:pPr>
        <w:keepNext/>
        <w:keepLines/>
        <w:spacing w:after="0"/>
        <w:outlineLvl w:val="0"/>
        <w:rPr>
          <w:rFonts w:ascii="Arial" w:eastAsia="Times New Roman" w:hAnsi="Arial" w:cs="Arial"/>
          <w:b/>
          <w:bCs/>
          <w:color w:val="0F4761"/>
          <w:kern w:val="2"/>
          <w:sz w:val="28"/>
          <w:szCs w:val="28"/>
          <w14:ligatures w14:val="standardContextual"/>
        </w:rPr>
      </w:pPr>
    </w:p>
    <w:bookmarkEnd w:id="11"/>
    <w:p w14:paraId="312D9E19" w14:textId="77777777" w:rsidR="003A1AF0" w:rsidRPr="0086360F" w:rsidRDefault="003A1AF0" w:rsidP="003A1AF0">
      <w:pPr>
        <w:numPr>
          <w:ilvl w:val="1"/>
          <w:numId w:val="1"/>
        </w:numPr>
        <w:ind w:left="567" w:hanging="567"/>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Sandwell Council is committed to securing compliance with housing legislation through fair, proportionate and effective enforcement. Civil financial penalties will be used as an enforcement tool where this is lawful, appropriate and in the public interest.</w:t>
      </w:r>
    </w:p>
    <w:p w14:paraId="1013D9E1" w14:textId="77777777" w:rsidR="003A1AF0" w:rsidRPr="0086360F" w:rsidRDefault="003A1AF0" w:rsidP="003A1AF0">
      <w:pPr>
        <w:ind w:left="567"/>
        <w:contextualSpacing/>
        <w:rPr>
          <w:rFonts w:ascii="Arial" w:eastAsia="Aptos" w:hAnsi="Arial" w:cs="Arial"/>
          <w:kern w:val="2"/>
          <w:sz w:val="28"/>
          <w:szCs w:val="28"/>
          <w14:ligatures w14:val="standardContextual"/>
        </w:rPr>
      </w:pPr>
    </w:p>
    <w:p w14:paraId="28E8A7D6" w14:textId="3E16E9CB" w:rsidR="003A1AF0" w:rsidRPr="0086360F" w:rsidRDefault="003A1AF0" w:rsidP="003A1AF0">
      <w:pPr>
        <w:ind w:left="567"/>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Civil penalties will be applied to:</w:t>
      </w:r>
    </w:p>
    <w:p w14:paraId="007B79AA" w14:textId="77777777" w:rsidR="003A1AF0" w:rsidRPr="0086360F" w:rsidRDefault="003A1AF0" w:rsidP="009D7A7A">
      <w:pPr>
        <w:numPr>
          <w:ilvl w:val="0"/>
          <w:numId w:val="3"/>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address noncompliance with housing legislation;</w:t>
      </w:r>
    </w:p>
    <w:p w14:paraId="1BF715B9" w14:textId="77777777" w:rsidR="003A1AF0" w:rsidRPr="0086360F" w:rsidRDefault="003A1AF0" w:rsidP="009D7A7A">
      <w:pPr>
        <w:numPr>
          <w:ilvl w:val="0"/>
          <w:numId w:val="3"/>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lastRenderedPageBreak/>
        <w:t>deter repeat and deliberate offending;</w:t>
      </w:r>
    </w:p>
    <w:p w14:paraId="71091F11" w14:textId="77777777" w:rsidR="003A1AF0" w:rsidRPr="0086360F" w:rsidRDefault="003A1AF0" w:rsidP="009D7A7A">
      <w:pPr>
        <w:numPr>
          <w:ilvl w:val="0"/>
          <w:numId w:val="3"/>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remove financial benefit gained from unlawful activity;</w:t>
      </w:r>
    </w:p>
    <w:p w14:paraId="05F9B1BF" w14:textId="77777777" w:rsidR="003A1AF0" w:rsidRPr="0086360F" w:rsidRDefault="003A1AF0" w:rsidP="009D7A7A">
      <w:pPr>
        <w:numPr>
          <w:ilvl w:val="0"/>
          <w:numId w:val="3"/>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support the effective regulation of the private rented sector.</w:t>
      </w:r>
    </w:p>
    <w:p w14:paraId="5724B118" w14:textId="77777777" w:rsidR="003A1AF0" w:rsidRPr="0086360F" w:rsidRDefault="003A1AF0" w:rsidP="003A1AF0">
      <w:pPr>
        <w:ind w:left="567"/>
        <w:contextualSpacing/>
        <w:rPr>
          <w:rFonts w:ascii="Arial" w:eastAsia="Aptos" w:hAnsi="Arial" w:cs="Arial"/>
          <w:kern w:val="2"/>
          <w:sz w:val="28"/>
          <w:szCs w:val="28"/>
          <w14:ligatures w14:val="standardContextual"/>
        </w:rPr>
      </w:pPr>
    </w:p>
    <w:p w14:paraId="35AAD537" w14:textId="77777777" w:rsidR="003A1AF0" w:rsidRPr="0086360F" w:rsidRDefault="003A1AF0" w:rsidP="003A1AF0">
      <w:pPr>
        <w:numPr>
          <w:ilvl w:val="1"/>
          <w:numId w:val="1"/>
        </w:numPr>
        <w:ind w:left="567" w:hanging="567"/>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Civil financial penalties may be imposed as an alternative to prosecution for relevant housing offences where legislation allows.</w:t>
      </w:r>
    </w:p>
    <w:p w14:paraId="1855D17A" w14:textId="77777777" w:rsidR="003946A1" w:rsidRPr="0086360F" w:rsidRDefault="003946A1" w:rsidP="003946A1">
      <w:pPr>
        <w:ind w:left="567"/>
        <w:contextualSpacing/>
        <w:rPr>
          <w:rFonts w:ascii="Arial" w:eastAsia="Aptos" w:hAnsi="Arial" w:cs="Arial"/>
          <w:kern w:val="2"/>
          <w:sz w:val="28"/>
          <w:szCs w:val="28"/>
          <w14:ligatures w14:val="standardContextual"/>
        </w:rPr>
      </w:pPr>
    </w:p>
    <w:p w14:paraId="72038EF0" w14:textId="2D416F22" w:rsidR="003946A1" w:rsidRPr="0086360F" w:rsidRDefault="003946A1" w:rsidP="003946A1">
      <w:pPr>
        <w:numPr>
          <w:ilvl w:val="1"/>
          <w:numId w:val="1"/>
        </w:numPr>
        <w:ind w:left="567" w:hanging="567"/>
        <w:contextualSpacing/>
        <w:rPr>
          <w:rFonts w:ascii="Arial" w:hAnsi="Arial" w:cs="Arial"/>
          <w:sz w:val="28"/>
          <w:szCs w:val="28"/>
        </w:rPr>
      </w:pPr>
      <w:r w:rsidRPr="0086360F">
        <w:rPr>
          <w:rFonts w:ascii="Arial" w:hAnsi="Arial" w:cs="Arial"/>
          <w:sz w:val="28"/>
          <w:szCs w:val="28"/>
        </w:rPr>
        <w:t>A civil penalty is applied per responsible person or legal entity, not per property. Where an offence is committed by more than one responsible person (for example, where a property is jointly owned or managed), each person may be subject to a civil penalty for the full offence. Penalties are not reduced or divided between responsible persons, and joint responsibility does not result in a shared or apportioned penalty. This ensures that civil penalties remain an effective deterrent and that responsibility for compliance cannot be reduced by ownership or management arrangements.</w:t>
      </w:r>
    </w:p>
    <w:p w14:paraId="75C25D3E" w14:textId="77777777" w:rsidR="003A1AF0" w:rsidRPr="0086360F" w:rsidRDefault="003A1AF0" w:rsidP="003A1AF0">
      <w:pPr>
        <w:ind w:left="567"/>
        <w:contextualSpacing/>
        <w:rPr>
          <w:rFonts w:ascii="Arial" w:eastAsia="Aptos" w:hAnsi="Arial" w:cs="Arial"/>
          <w:kern w:val="2"/>
          <w:sz w:val="28"/>
          <w:szCs w:val="28"/>
          <w14:ligatures w14:val="standardContextual"/>
        </w:rPr>
      </w:pPr>
    </w:p>
    <w:p w14:paraId="182E3C25" w14:textId="797916B0" w:rsidR="003A1AF0" w:rsidRPr="0086360F" w:rsidRDefault="003A1AF0" w:rsidP="009B39CF">
      <w:pPr>
        <w:numPr>
          <w:ilvl w:val="1"/>
          <w:numId w:val="1"/>
        </w:numPr>
        <w:ind w:left="567" w:hanging="567"/>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This includes, but is not limited to, offences under:</w:t>
      </w:r>
    </w:p>
    <w:p w14:paraId="40C61CD3" w14:textId="77777777" w:rsidR="003A1AF0" w:rsidRPr="0086360F" w:rsidRDefault="003A1AF0" w:rsidP="009D7A7A">
      <w:pPr>
        <w:numPr>
          <w:ilvl w:val="0"/>
          <w:numId w:val="2"/>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the Housing Act 2004;</w:t>
      </w:r>
    </w:p>
    <w:p w14:paraId="0B4CAC23" w14:textId="77777777" w:rsidR="003A1AF0" w:rsidRPr="0086360F" w:rsidRDefault="003A1AF0" w:rsidP="009D7A7A">
      <w:pPr>
        <w:numPr>
          <w:ilvl w:val="0"/>
          <w:numId w:val="2"/>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the Housing and Planning Act 2016;</w:t>
      </w:r>
    </w:p>
    <w:p w14:paraId="17747A42" w14:textId="77777777" w:rsidR="003A1AF0" w:rsidRPr="0086360F" w:rsidRDefault="003A1AF0" w:rsidP="009D7A7A">
      <w:pPr>
        <w:numPr>
          <w:ilvl w:val="0"/>
          <w:numId w:val="2"/>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the Management of Houses in Multiple Occupation (England) Regulations 2006;</w:t>
      </w:r>
    </w:p>
    <w:p w14:paraId="6A82EAA6" w14:textId="77777777" w:rsidR="003A1AF0" w:rsidRPr="0086360F" w:rsidRDefault="003A1AF0" w:rsidP="009D7A7A">
      <w:pPr>
        <w:numPr>
          <w:ilvl w:val="0"/>
          <w:numId w:val="2"/>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the Smoke and Carbon Monoxide Alarm (England) Regulations;</w:t>
      </w:r>
    </w:p>
    <w:p w14:paraId="3B70D6BE" w14:textId="77777777" w:rsidR="003A1AF0" w:rsidRPr="0086360F" w:rsidRDefault="003A1AF0" w:rsidP="009D7A7A">
      <w:pPr>
        <w:numPr>
          <w:ilvl w:val="0"/>
          <w:numId w:val="2"/>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the Energy Efficiency (Private Rented Property) (England and Wales) Regulations;</w:t>
      </w:r>
    </w:p>
    <w:p w14:paraId="72EB1B33" w14:textId="77777777" w:rsidR="003A1AF0" w:rsidRPr="0086360F" w:rsidRDefault="003A1AF0" w:rsidP="009D7A7A">
      <w:pPr>
        <w:numPr>
          <w:ilvl w:val="0"/>
          <w:numId w:val="2"/>
        </w:numPr>
        <w:spacing w:after="0" w:line="300" w:lineRule="atLeast"/>
        <w:contextualSpacing/>
        <w:rPr>
          <w:rFonts w:ascii="Arial" w:eastAsia="Times New Roman" w:hAnsi="Arial" w:cs="Arial"/>
          <w:kern w:val="2"/>
          <w:sz w:val="28"/>
          <w:szCs w:val="28"/>
          <w:lang w:eastAsia="en-GB"/>
          <w14:ligatures w14:val="standardContextual"/>
        </w:rPr>
      </w:pPr>
      <w:r w:rsidRPr="0086360F">
        <w:rPr>
          <w:rFonts w:ascii="Arial" w:eastAsia="Times New Roman" w:hAnsi="Arial" w:cs="Arial"/>
          <w:kern w:val="2"/>
          <w:sz w:val="28"/>
          <w:szCs w:val="28"/>
          <w:lang w:eastAsia="en-GB"/>
          <w14:ligatures w14:val="standardContextual"/>
        </w:rPr>
        <w:t>The Electrical Safety Standards in the Private Rented Sector (England) Regulations 2020</w:t>
      </w:r>
    </w:p>
    <w:p w14:paraId="407F6E1C" w14:textId="77777777" w:rsidR="003A1AF0" w:rsidRPr="0086360F" w:rsidRDefault="003A1AF0" w:rsidP="009D7A7A">
      <w:pPr>
        <w:numPr>
          <w:ilvl w:val="0"/>
          <w:numId w:val="2"/>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the Renters’ Rights Act.</w:t>
      </w:r>
    </w:p>
    <w:p w14:paraId="73B0084D" w14:textId="77777777" w:rsidR="003A1AF0" w:rsidRPr="0086360F" w:rsidRDefault="003A1AF0" w:rsidP="003A1AF0">
      <w:pPr>
        <w:ind w:left="1287"/>
        <w:contextualSpacing/>
        <w:rPr>
          <w:rFonts w:ascii="Arial" w:eastAsia="Aptos" w:hAnsi="Arial" w:cs="Arial"/>
          <w:kern w:val="2"/>
          <w:sz w:val="28"/>
          <w:szCs w:val="28"/>
          <w14:ligatures w14:val="standardContextual"/>
        </w:rPr>
      </w:pPr>
    </w:p>
    <w:p w14:paraId="5ADA1732" w14:textId="56421A3E" w:rsidR="003A1AF0" w:rsidRPr="0086360F" w:rsidRDefault="003A1AF0" w:rsidP="009B39CF">
      <w:pPr>
        <w:numPr>
          <w:ilvl w:val="1"/>
          <w:numId w:val="1"/>
        </w:numPr>
        <w:ind w:left="567" w:hanging="567"/>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Civil penalties may be used in relation to:</w:t>
      </w:r>
    </w:p>
    <w:p w14:paraId="7BB8AE6E" w14:textId="77777777" w:rsidR="003A1AF0" w:rsidRPr="0086360F" w:rsidRDefault="003A1AF0" w:rsidP="009D7A7A">
      <w:pPr>
        <w:numPr>
          <w:ilvl w:val="0"/>
          <w:numId w:val="4"/>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operating an unlicensed HMO;</w:t>
      </w:r>
    </w:p>
    <w:p w14:paraId="7708A6EC" w14:textId="77777777" w:rsidR="003A1AF0" w:rsidRPr="0086360F" w:rsidRDefault="003A1AF0" w:rsidP="009D7A7A">
      <w:pPr>
        <w:numPr>
          <w:ilvl w:val="0"/>
          <w:numId w:val="4"/>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breaches of HMO licence conditions;</w:t>
      </w:r>
    </w:p>
    <w:p w14:paraId="21F89A68" w14:textId="77777777" w:rsidR="003A1AF0" w:rsidRPr="0086360F" w:rsidRDefault="003A1AF0" w:rsidP="009D7A7A">
      <w:pPr>
        <w:numPr>
          <w:ilvl w:val="0"/>
          <w:numId w:val="4"/>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failure to comply with Improvement Notices;</w:t>
      </w:r>
    </w:p>
    <w:p w14:paraId="59484632" w14:textId="77777777" w:rsidR="003A1AF0" w:rsidRPr="0086360F" w:rsidRDefault="003A1AF0" w:rsidP="009D7A7A">
      <w:pPr>
        <w:numPr>
          <w:ilvl w:val="0"/>
          <w:numId w:val="4"/>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failure to comply with the Management of Houses in Multiple Occupation (England) Regulations 2006, including duties relating to fire safety, maintenance of common parts, provision of amenities, management information, and overall standards of management;</w:t>
      </w:r>
    </w:p>
    <w:p w14:paraId="44B9D1C4" w14:textId="77777777" w:rsidR="003A1AF0" w:rsidRPr="0086360F" w:rsidRDefault="003A1AF0" w:rsidP="009D7A7A">
      <w:pPr>
        <w:numPr>
          <w:ilvl w:val="0"/>
          <w:numId w:val="4"/>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lastRenderedPageBreak/>
        <w:t>failure to comply with requirements relating to smoke alarms and carbon monoxide alarms, including failure to install, test or maintain required alarms;</w:t>
      </w:r>
    </w:p>
    <w:p w14:paraId="27B131BC" w14:textId="77777777" w:rsidR="003A1AF0" w:rsidRPr="0086360F" w:rsidRDefault="003A1AF0" w:rsidP="009D7A7A">
      <w:pPr>
        <w:numPr>
          <w:ilvl w:val="0"/>
          <w:numId w:val="4"/>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failure to comply with minimum energy efficiency standards, including letting a property with an Energy Performance Certificate rating below the legal minimum or failing to comply with compliance or exemption requirements;</w:t>
      </w:r>
    </w:p>
    <w:p w14:paraId="53CDB17E" w14:textId="77777777" w:rsidR="003A1AF0" w:rsidRPr="0086360F" w:rsidRDefault="003A1AF0" w:rsidP="009D7A7A">
      <w:pPr>
        <w:numPr>
          <w:ilvl w:val="0"/>
          <w:numId w:val="4"/>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failure to failure to ensure that electrical installations are inspected and tested at least every five years and failure to obtain or provide a valid Electrical Installation Condition Report (EICR).</w:t>
      </w:r>
    </w:p>
    <w:p w14:paraId="151F1175" w14:textId="77777777" w:rsidR="003A1AF0" w:rsidRPr="0086360F" w:rsidRDefault="003A1AF0" w:rsidP="009D7A7A">
      <w:pPr>
        <w:numPr>
          <w:ilvl w:val="0"/>
          <w:numId w:val="4"/>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failure to produce documents, information or records when lawfully required to do so under section 235 of the Housing Act 2004, including documents relating to ownership, management, occupation, tenancy arrangements, safety certification or compliance;</w:t>
      </w:r>
    </w:p>
    <w:p w14:paraId="63ED7172" w14:textId="77777777" w:rsidR="003A1AF0" w:rsidRPr="0086360F" w:rsidRDefault="003A1AF0" w:rsidP="009D7A7A">
      <w:pPr>
        <w:numPr>
          <w:ilvl w:val="0"/>
          <w:numId w:val="4"/>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offences arising under the Renters’ Rights Act, including unlawful eviction, harassment, discrimination, rental bidding and other prohibited practices.</w:t>
      </w:r>
    </w:p>
    <w:p w14:paraId="2726083E" w14:textId="77777777" w:rsidR="003A1AF0" w:rsidRPr="0086360F" w:rsidRDefault="003A1AF0" w:rsidP="003A1AF0">
      <w:pPr>
        <w:ind w:left="567"/>
        <w:contextualSpacing/>
        <w:rPr>
          <w:rFonts w:ascii="Arial" w:eastAsia="Aptos" w:hAnsi="Arial" w:cs="Arial"/>
          <w:kern w:val="2"/>
          <w:sz w:val="28"/>
          <w:szCs w:val="28"/>
          <w14:ligatures w14:val="standardContextual"/>
        </w:rPr>
      </w:pPr>
    </w:p>
    <w:p w14:paraId="0364C76B" w14:textId="19EDE325" w:rsidR="003A1AF0" w:rsidRPr="0086360F" w:rsidRDefault="003A1AF0" w:rsidP="009B39CF">
      <w:pPr>
        <w:numPr>
          <w:ilvl w:val="1"/>
          <w:numId w:val="1"/>
        </w:numPr>
        <w:ind w:left="567" w:hanging="567"/>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The decision to impose a civil financial penalty will be based on consideration of:</w:t>
      </w:r>
    </w:p>
    <w:p w14:paraId="4C431163" w14:textId="77777777" w:rsidR="003A1AF0" w:rsidRPr="0086360F" w:rsidRDefault="003A1AF0" w:rsidP="009D7A7A">
      <w:pPr>
        <w:numPr>
          <w:ilvl w:val="0"/>
          <w:numId w:val="5"/>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the seriousness of the offence;</w:t>
      </w:r>
    </w:p>
    <w:p w14:paraId="43FEE1AD" w14:textId="77777777" w:rsidR="003A1AF0" w:rsidRPr="0086360F" w:rsidRDefault="003A1AF0" w:rsidP="009D7A7A">
      <w:pPr>
        <w:numPr>
          <w:ilvl w:val="0"/>
          <w:numId w:val="5"/>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the level of harm or risk to occupiers or the wider community;</w:t>
      </w:r>
    </w:p>
    <w:p w14:paraId="2424741B" w14:textId="77777777" w:rsidR="003A1AF0" w:rsidRPr="0086360F" w:rsidRDefault="003A1AF0" w:rsidP="009D7A7A">
      <w:pPr>
        <w:numPr>
          <w:ilvl w:val="0"/>
          <w:numId w:val="5"/>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the conduct of the landlord or responsible person;</w:t>
      </w:r>
    </w:p>
    <w:p w14:paraId="2586E383" w14:textId="77777777" w:rsidR="003A1AF0" w:rsidRPr="0086360F" w:rsidRDefault="003A1AF0" w:rsidP="009D7A7A">
      <w:pPr>
        <w:numPr>
          <w:ilvl w:val="0"/>
          <w:numId w:val="5"/>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any history of non</w:t>
      </w:r>
      <w:r w:rsidRPr="0086360F">
        <w:rPr>
          <w:rFonts w:ascii="Arial" w:eastAsia="Aptos" w:hAnsi="Arial" w:cs="Arial"/>
          <w:kern w:val="2"/>
          <w:sz w:val="28"/>
          <w:szCs w:val="28"/>
          <w14:ligatures w14:val="standardContextual"/>
        </w:rPr>
        <w:noBreakHyphen/>
        <w:t>compliance or previous enforcement action;</w:t>
      </w:r>
    </w:p>
    <w:p w14:paraId="42D2D8CE" w14:textId="77777777" w:rsidR="003A1AF0" w:rsidRDefault="003A1AF0" w:rsidP="009D7A7A">
      <w:pPr>
        <w:numPr>
          <w:ilvl w:val="0"/>
          <w:numId w:val="5"/>
        </w:numPr>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the need for deterrence and the protection of tenants.</w:t>
      </w:r>
    </w:p>
    <w:p w14:paraId="2D793336" w14:textId="77777777" w:rsidR="002A3120" w:rsidRDefault="002A3120" w:rsidP="002A3120">
      <w:pPr>
        <w:contextualSpacing/>
        <w:rPr>
          <w:rFonts w:ascii="Arial" w:eastAsia="Aptos" w:hAnsi="Arial" w:cs="Arial"/>
          <w:kern w:val="2"/>
          <w:sz w:val="28"/>
          <w:szCs w:val="28"/>
          <w14:ligatures w14:val="standardContextual"/>
        </w:rPr>
      </w:pPr>
    </w:p>
    <w:p w14:paraId="642C6988" w14:textId="41145904" w:rsidR="002A3120" w:rsidRPr="00AD3313" w:rsidRDefault="002A3120" w:rsidP="002A3120">
      <w:pPr>
        <w:pStyle w:val="ListParagraph"/>
        <w:numPr>
          <w:ilvl w:val="1"/>
          <w:numId w:val="1"/>
        </w:numPr>
        <w:rPr>
          <w:rFonts w:ascii="Arial" w:eastAsia="Aptos" w:hAnsi="Arial" w:cs="Arial"/>
          <w:b/>
          <w:bCs/>
          <w:kern w:val="2"/>
          <w:sz w:val="28"/>
          <w:szCs w:val="28"/>
          <w14:ligatures w14:val="standardContextual"/>
        </w:rPr>
      </w:pPr>
      <w:r w:rsidRPr="00AD3313">
        <w:rPr>
          <w:rFonts w:ascii="Arial" w:eastAsia="Aptos" w:hAnsi="Arial" w:cs="Arial"/>
          <w:b/>
          <w:bCs/>
          <w:kern w:val="2"/>
          <w:sz w:val="28"/>
          <w:szCs w:val="28"/>
          <w14:ligatures w14:val="standardContextual"/>
        </w:rPr>
        <w:t>Duty to enforce</w:t>
      </w:r>
    </w:p>
    <w:p w14:paraId="516F0E99" w14:textId="4BA9761B" w:rsidR="002A3120" w:rsidRPr="002A3120" w:rsidRDefault="002A3120" w:rsidP="002A3120">
      <w:pPr>
        <w:ind w:left="720"/>
        <w:rPr>
          <w:rFonts w:ascii="Arial" w:eastAsia="Aptos" w:hAnsi="Arial" w:cs="Arial"/>
          <w:kern w:val="2"/>
          <w:sz w:val="28"/>
          <w:szCs w:val="28"/>
          <w14:ligatures w14:val="standardContextual"/>
        </w:rPr>
      </w:pPr>
      <w:r w:rsidRPr="00AD3313">
        <w:rPr>
          <w:rFonts w:ascii="Arial" w:eastAsia="Aptos" w:hAnsi="Arial" w:cs="Arial"/>
          <w:kern w:val="2"/>
          <w:sz w:val="28"/>
          <w:szCs w:val="28"/>
          <w14:ligatures w14:val="standardContextual"/>
        </w:rPr>
        <w:t>In respect of duties introduced under the Renters’ Rights Act, the authority will take a proactive approach to identifying and enforcing breaches, reflecting the statutory expectation to take action where non-compliance is identified.</w:t>
      </w:r>
    </w:p>
    <w:p w14:paraId="47F141F4" w14:textId="2C8FD914" w:rsidR="002A3120" w:rsidRPr="0086360F" w:rsidRDefault="002A3120" w:rsidP="002A3120">
      <w:pPr>
        <w:contextualSpacing/>
        <w:rPr>
          <w:rFonts w:ascii="Arial" w:eastAsia="Aptos" w:hAnsi="Arial" w:cs="Arial"/>
          <w:kern w:val="2"/>
          <w:sz w:val="28"/>
          <w:szCs w:val="28"/>
          <w14:ligatures w14:val="standardContextual"/>
        </w:rPr>
      </w:pPr>
    </w:p>
    <w:p w14:paraId="2DD423DD" w14:textId="3889400F" w:rsidR="002A3120" w:rsidRDefault="002A3120">
      <w:pPr>
        <w:rPr>
          <w:rFonts w:ascii="Arial" w:eastAsia="Aptos" w:hAnsi="Arial" w:cs="Arial"/>
          <w:kern w:val="2"/>
          <w:sz w:val="28"/>
          <w:szCs w:val="28"/>
          <w14:ligatures w14:val="standardContextual"/>
        </w:rPr>
      </w:pPr>
      <w:r>
        <w:rPr>
          <w:rFonts w:ascii="Arial" w:eastAsia="Aptos" w:hAnsi="Arial" w:cs="Arial"/>
          <w:kern w:val="2"/>
          <w:sz w:val="28"/>
          <w:szCs w:val="28"/>
          <w14:ligatures w14:val="standardContextual"/>
        </w:rPr>
        <w:br w:type="page"/>
      </w:r>
    </w:p>
    <w:p w14:paraId="3E70A4A2" w14:textId="77777777" w:rsidR="003A1AF0" w:rsidRPr="0086360F" w:rsidRDefault="003A1AF0" w:rsidP="003A1AF0">
      <w:pPr>
        <w:numPr>
          <w:ilvl w:val="1"/>
          <w:numId w:val="1"/>
        </w:numPr>
        <w:contextualSpacing/>
        <w:rPr>
          <w:rFonts w:ascii="Arial" w:eastAsia="Aptos" w:hAnsi="Arial" w:cs="Arial"/>
          <w:b/>
          <w:bCs/>
          <w:kern w:val="2"/>
          <w:sz w:val="28"/>
          <w:szCs w:val="28"/>
          <w14:ligatures w14:val="standardContextual"/>
        </w:rPr>
      </w:pPr>
      <w:r w:rsidRPr="0086360F">
        <w:rPr>
          <w:rFonts w:ascii="Arial" w:eastAsia="Aptos" w:hAnsi="Arial" w:cs="Arial"/>
          <w:b/>
          <w:bCs/>
          <w:kern w:val="2"/>
          <w:sz w:val="28"/>
          <w:szCs w:val="28"/>
          <w14:ligatures w14:val="standardContextual"/>
        </w:rPr>
        <w:lastRenderedPageBreak/>
        <w:t xml:space="preserve">Enforcement Process </w:t>
      </w:r>
    </w:p>
    <w:p w14:paraId="0268C268" w14:textId="77777777" w:rsidR="003A1AF0" w:rsidRPr="0086360F" w:rsidRDefault="003A1AF0" w:rsidP="003A1AF0">
      <w:pPr>
        <w:ind w:left="360"/>
        <w:contextualSpacing/>
        <w:rPr>
          <w:rFonts w:ascii="Arial" w:eastAsia="Aptos" w:hAnsi="Arial" w:cs="Arial"/>
          <w:b/>
          <w:bCs/>
          <w:kern w:val="2"/>
          <w:sz w:val="28"/>
          <w:szCs w:val="28"/>
          <w14:ligatures w14:val="standardContextual"/>
        </w:rPr>
      </w:pPr>
    </w:p>
    <w:p w14:paraId="07F6C44F" w14:textId="77777777" w:rsidR="003A1AF0" w:rsidRPr="0086360F" w:rsidRDefault="003A1AF0" w:rsidP="009B39CF">
      <w:pPr>
        <w:ind w:left="709"/>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The Civil Penalties and Enforcement Policy is supported by a clear, staged enforcement process that ensures action is proportionate, evidence</w:t>
      </w:r>
      <w:r w:rsidRPr="0086360F">
        <w:rPr>
          <w:rFonts w:ascii="Arial" w:eastAsia="Aptos" w:hAnsi="Arial" w:cs="Arial"/>
          <w:kern w:val="2"/>
          <w:sz w:val="28"/>
          <w:szCs w:val="28"/>
          <w14:ligatures w14:val="standardContextual"/>
        </w:rPr>
        <w:noBreakHyphen/>
        <w:t>led and compliant with statutory guidance and the Regulators’ Code.</w:t>
      </w:r>
    </w:p>
    <w:p w14:paraId="20D5CAD8" w14:textId="77777777" w:rsidR="003A1AF0" w:rsidRPr="0086360F" w:rsidRDefault="003A1AF0" w:rsidP="003A1AF0">
      <w:pPr>
        <w:ind w:left="502"/>
        <w:contextualSpacing/>
        <w:rPr>
          <w:rFonts w:ascii="Arial" w:eastAsia="Aptos" w:hAnsi="Arial" w:cs="Arial"/>
          <w:kern w:val="2"/>
          <w:sz w:val="28"/>
          <w:szCs w:val="28"/>
          <w14:ligatures w14:val="standardContextual"/>
        </w:rPr>
      </w:pPr>
    </w:p>
    <w:p w14:paraId="01A1775A" w14:textId="77777777" w:rsidR="009B39CF" w:rsidRPr="0086360F" w:rsidRDefault="003A1AF0" w:rsidP="009B39CF">
      <w:pPr>
        <w:numPr>
          <w:ilvl w:val="1"/>
          <w:numId w:val="1"/>
        </w:numPr>
        <w:contextualSpacing/>
        <w:rPr>
          <w:rFonts w:ascii="Arial" w:eastAsia="Aptos" w:hAnsi="Arial" w:cs="Arial"/>
          <w:b/>
          <w:bCs/>
          <w:kern w:val="2"/>
          <w:sz w:val="28"/>
          <w:szCs w:val="28"/>
          <w14:ligatures w14:val="standardContextual"/>
        </w:rPr>
      </w:pPr>
      <w:r w:rsidRPr="0086360F">
        <w:rPr>
          <w:rFonts w:ascii="Arial" w:eastAsia="Aptos" w:hAnsi="Arial" w:cs="Arial"/>
          <w:b/>
          <w:bCs/>
          <w:kern w:val="2"/>
          <w:sz w:val="28"/>
          <w:szCs w:val="28"/>
          <w14:ligatures w14:val="standardContextual"/>
        </w:rPr>
        <w:t>Initial Enquiry and Triage</w:t>
      </w:r>
    </w:p>
    <w:p w14:paraId="1DF0764C" w14:textId="77777777" w:rsidR="009B39CF" w:rsidRPr="0086360F" w:rsidRDefault="009B39CF" w:rsidP="009B39CF">
      <w:pPr>
        <w:ind w:left="502"/>
        <w:contextualSpacing/>
        <w:rPr>
          <w:rFonts w:ascii="Arial" w:eastAsia="Aptos" w:hAnsi="Arial" w:cs="Arial"/>
          <w:b/>
          <w:bCs/>
          <w:kern w:val="2"/>
          <w:sz w:val="28"/>
          <w:szCs w:val="28"/>
          <w14:ligatures w14:val="standardContextual"/>
        </w:rPr>
      </w:pPr>
    </w:p>
    <w:p w14:paraId="49E6763C" w14:textId="77777777" w:rsidR="009B39CF" w:rsidRPr="0086360F" w:rsidRDefault="003A1AF0" w:rsidP="009B39CF">
      <w:pPr>
        <w:ind w:left="720"/>
        <w:contextualSpacing/>
        <w:rPr>
          <w:rFonts w:ascii="Arial" w:eastAsia="Aptos" w:hAnsi="Arial" w:cs="Arial"/>
          <w:b/>
          <w:bCs/>
          <w:kern w:val="2"/>
          <w:sz w:val="28"/>
          <w:szCs w:val="28"/>
          <w14:ligatures w14:val="standardContextual"/>
        </w:rPr>
      </w:pPr>
      <w:r w:rsidRPr="0086360F">
        <w:rPr>
          <w:rFonts w:ascii="Arial" w:eastAsia="Aptos" w:hAnsi="Arial" w:cs="Arial"/>
          <w:kern w:val="2"/>
          <w:sz w:val="28"/>
          <w:szCs w:val="28"/>
          <w14:ligatures w14:val="standardContextual"/>
        </w:rPr>
        <w:t>Enforcement activity may be triggered by complaints from tenants or residents, referrals from partner agencies, intelligence gathered by officers, or proactive inspection activity. All matters are subject to an initial triage process to assess risk, urgency, and the most appropriate response.</w:t>
      </w:r>
    </w:p>
    <w:p w14:paraId="644CF894" w14:textId="77777777" w:rsidR="009B39CF" w:rsidRPr="0086360F" w:rsidRDefault="009B39CF" w:rsidP="009B39CF">
      <w:pPr>
        <w:ind w:left="720"/>
        <w:contextualSpacing/>
        <w:rPr>
          <w:rFonts w:ascii="Arial" w:eastAsia="Aptos" w:hAnsi="Arial" w:cs="Arial"/>
          <w:b/>
          <w:bCs/>
          <w:kern w:val="2"/>
          <w:sz w:val="28"/>
          <w:szCs w:val="28"/>
          <w14:ligatures w14:val="standardContextual"/>
        </w:rPr>
      </w:pPr>
    </w:p>
    <w:p w14:paraId="61587C09" w14:textId="2952B094" w:rsidR="003A1AF0" w:rsidRPr="0086360F" w:rsidRDefault="003A1AF0" w:rsidP="009B39CF">
      <w:pPr>
        <w:ind w:left="720"/>
        <w:contextualSpacing/>
        <w:rPr>
          <w:rFonts w:ascii="Arial" w:eastAsia="Aptos" w:hAnsi="Arial" w:cs="Arial"/>
          <w:b/>
          <w:bCs/>
          <w:kern w:val="2"/>
          <w:sz w:val="28"/>
          <w:szCs w:val="28"/>
          <w14:ligatures w14:val="standardContextual"/>
        </w:rPr>
      </w:pPr>
      <w:r w:rsidRPr="0086360F">
        <w:rPr>
          <w:rFonts w:ascii="Arial" w:eastAsia="Aptos" w:hAnsi="Arial" w:cs="Arial"/>
          <w:kern w:val="2"/>
          <w:sz w:val="28"/>
          <w:szCs w:val="28"/>
          <w14:ligatures w14:val="standardContextual"/>
        </w:rPr>
        <w:t>Where appropriate, early engagement and advice may be provided to support compliance, unless the circumstances indicate that immediate or formal enforcement action is required.</w:t>
      </w:r>
    </w:p>
    <w:p w14:paraId="1A9B3F43" w14:textId="77777777" w:rsidR="003A1AF0" w:rsidRPr="0086360F" w:rsidRDefault="003A1AF0" w:rsidP="003A1AF0">
      <w:pPr>
        <w:ind w:left="720"/>
        <w:contextualSpacing/>
        <w:rPr>
          <w:rFonts w:ascii="Arial" w:eastAsia="Aptos" w:hAnsi="Arial" w:cs="Arial"/>
          <w:kern w:val="2"/>
          <w:sz w:val="28"/>
          <w:szCs w:val="28"/>
          <w14:ligatures w14:val="standardContextual"/>
        </w:rPr>
      </w:pPr>
    </w:p>
    <w:p w14:paraId="525CA9D8" w14:textId="77777777" w:rsidR="009B39CF" w:rsidRPr="0086360F" w:rsidRDefault="003A1AF0" w:rsidP="00AD3313">
      <w:pPr>
        <w:numPr>
          <w:ilvl w:val="1"/>
          <w:numId w:val="1"/>
        </w:numPr>
        <w:ind w:hanging="644"/>
        <w:contextualSpacing/>
        <w:rPr>
          <w:rFonts w:ascii="Arial" w:eastAsia="Aptos" w:hAnsi="Arial" w:cs="Arial"/>
          <w:b/>
          <w:bCs/>
          <w:kern w:val="2"/>
          <w:sz w:val="28"/>
          <w:szCs w:val="28"/>
          <w14:ligatures w14:val="standardContextual"/>
        </w:rPr>
      </w:pPr>
      <w:r w:rsidRPr="0086360F">
        <w:rPr>
          <w:rFonts w:ascii="Arial" w:eastAsia="Aptos" w:hAnsi="Arial" w:cs="Arial"/>
          <w:b/>
          <w:bCs/>
          <w:kern w:val="2"/>
          <w:sz w:val="28"/>
          <w:szCs w:val="28"/>
          <w14:ligatures w14:val="standardContextual"/>
        </w:rPr>
        <w:t>Investigation</w:t>
      </w:r>
    </w:p>
    <w:p w14:paraId="7DA63CD6" w14:textId="77777777" w:rsidR="009B39CF" w:rsidRPr="0086360F" w:rsidRDefault="003A1AF0" w:rsidP="009B39CF">
      <w:pPr>
        <w:ind w:left="502"/>
        <w:contextualSpacing/>
        <w:rPr>
          <w:rFonts w:ascii="Arial" w:eastAsia="Aptos" w:hAnsi="Arial" w:cs="Arial"/>
          <w:b/>
          <w:bCs/>
          <w:kern w:val="2"/>
          <w:sz w:val="28"/>
          <w:szCs w:val="28"/>
          <w14:ligatures w14:val="standardContextual"/>
        </w:rPr>
      </w:pPr>
      <w:r w:rsidRPr="0086360F">
        <w:rPr>
          <w:rFonts w:ascii="Arial" w:eastAsia="Aptos" w:hAnsi="Arial" w:cs="Arial"/>
          <w:kern w:val="2"/>
          <w:sz w:val="28"/>
          <w:szCs w:val="28"/>
          <w14:ligatures w14:val="standardContextual"/>
        </w:rPr>
        <w:t>Where concerns cannot be resolved informally, or where the nature of the issue warrants escalation, a formal investigation is undertaken. This may include site inspections, evidence gathering, requests for documentation, and assessment against relevant legal standards such as HHSRS, licensing requirements, safety regulations, or duties under the Renters’ Rights Act.</w:t>
      </w:r>
    </w:p>
    <w:p w14:paraId="4E3E1D63" w14:textId="77777777" w:rsidR="009B39CF" w:rsidRPr="0086360F" w:rsidRDefault="009B39CF" w:rsidP="009B39CF">
      <w:pPr>
        <w:ind w:left="502"/>
        <w:contextualSpacing/>
        <w:rPr>
          <w:rFonts w:ascii="Arial" w:eastAsia="Aptos" w:hAnsi="Arial" w:cs="Arial"/>
          <w:b/>
          <w:bCs/>
          <w:kern w:val="2"/>
          <w:sz w:val="28"/>
          <w:szCs w:val="28"/>
          <w14:ligatures w14:val="standardContextual"/>
        </w:rPr>
      </w:pPr>
    </w:p>
    <w:p w14:paraId="134277D1" w14:textId="6D78CC2F" w:rsidR="003A1AF0" w:rsidRPr="0086360F" w:rsidRDefault="003A1AF0" w:rsidP="009B39CF">
      <w:pPr>
        <w:ind w:left="502"/>
        <w:contextualSpacing/>
        <w:rPr>
          <w:rFonts w:ascii="Arial" w:eastAsia="Aptos" w:hAnsi="Arial" w:cs="Arial"/>
          <w:b/>
          <w:bCs/>
          <w:kern w:val="2"/>
          <w:sz w:val="28"/>
          <w:szCs w:val="28"/>
          <w14:ligatures w14:val="standardContextual"/>
        </w:rPr>
      </w:pPr>
      <w:r w:rsidRPr="0086360F">
        <w:rPr>
          <w:rFonts w:ascii="Arial" w:eastAsia="Aptos" w:hAnsi="Arial" w:cs="Arial"/>
          <w:kern w:val="2"/>
          <w:sz w:val="28"/>
          <w:szCs w:val="28"/>
          <w14:ligatures w14:val="standardContextual"/>
        </w:rPr>
        <w:t>Investigations are evidence</w:t>
      </w:r>
      <w:r w:rsidRPr="0086360F">
        <w:rPr>
          <w:rFonts w:ascii="Arial" w:eastAsia="Aptos" w:hAnsi="Arial" w:cs="Arial"/>
          <w:kern w:val="2"/>
          <w:sz w:val="28"/>
          <w:szCs w:val="28"/>
          <w14:ligatures w14:val="standardContextual"/>
        </w:rPr>
        <w:noBreakHyphen/>
        <w:t>led and proportionate to the level of risk and harm identified.</w:t>
      </w:r>
    </w:p>
    <w:p w14:paraId="77FB523B" w14:textId="77777777" w:rsidR="003A1AF0" w:rsidRPr="0086360F" w:rsidRDefault="003A1AF0" w:rsidP="003A1AF0">
      <w:pPr>
        <w:ind w:left="502"/>
        <w:contextualSpacing/>
        <w:rPr>
          <w:rFonts w:ascii="Arial" w:eastAsia="Aptos" w:hAnsi="Arial" w:cs="Arial"/>
          <w:kern w:val="2"/>
          <w:sz w:val="28"/>
          <w:szCs w:val="28"/>
          <w14:ligatures w14:val="standardContextual"/>
        </w:rPr>
      </w:pPr>
    </w:p>
    <w:p w14:paraId="05D1DA9E" w14:textId="77777777" w:rsidR="009B39CF" w:rsidRPr="0086360F" w:rsidRDefault="003A1AF0" w:rsidP="00AD3313">
      <w:pPr>
        <w:numPr>
          <w:ilvl w:val="1"/>
          <w:numId w:val="1"/>
        </w:numPr>
        <w:ind w:hanging="644"/>
        <w:contextualSpacing/>
        <w:rPr>
          <w:rFonts w:ascii="Arial" w:eastAsia="Aptos" w:hAnsi="Arial" w:cs="Arial"/>
          <w:b/>
          <w:bCs/>
          <w:kern w:val="2"/>
          <w:sz w:val="28"/>
          <w:szCs w:val="28"/>
          <w14:ligatures w14:val="standardContextual"/>
        </w:rPr>
      </w:pPr>
      <w:r w:rsidRPr="0086360F">
        <w:rPr>
          <w:rFonts w:ascii="Arial" w:eastAsia="Aptos" w:hAnsi="Arial" w:cs="Arial"/>
          <w:b/>
          <w:bCs/>
          <w:kern w:val="2"/>
          <w:sz w:val="28"/>
          <w:szCs w:val="28"/>
          <w14:ligatures w14:val="standardContextual"/>
        </w:rPr>
        <w:t>Formal Notices and Compliance Opportunities</w:t>
      </w:r>
    </w:p>
    <w:p w14:paraId="723D85F1" w14:textId="5EBC9A4A" w:rsidR="003A1AF0" w:rsidRPr="0086360F" w:rsidRDefault="003A1AF0" w:rsidP="009B39CF">
      <w:pPr>
        <w:ind w:left="502"/>
        <w:contextualSpacing/>
        <w:rPr>
          <w:rFonts w:ascii="Arial" w:eastAsia="Aptos" w:hAnsi="Arial" w:cs="Arial"/>
          <w:b/>
          <w:bCs/>
          <w:kern w:val="2"/>
          <w:sz w:val="28"/>
          <w:szCs w:val="28"/>
          <w14:ligatures w14:val="standardContextual"/>
        </w:rPr>
      </w:pPr>
      <w:r w:rsidRPr="0086360F">
        <w:rPr>
          <w:rFonts w:ascii="Arial" w:eastAsia="Aptos" w:hAnsi="Arial" w:cs="Arial"/>
          <w:kern w:val="2"/>
          <w:sz w:val="28"/>
          <w:szCs w:val="28"/>
          <w14:ligatures w14:val="standardContextual"/>
        </w:rPr>
        <w:t>Where legislation requires, or where it is appropriate to do so, formal notices may be served setting out legal requirements and timescales for compliance. Failure to comply with statutory notices, or the identification of certain offences, may lead to consideration of further enforcement action, including civil financial penalties.</w:t>
      </w:r>
    </w:p>
    <w:p w14:paraId="3D486D7B" w14:textId="77777777" w:rsidR="003A1AF0" w:rsidRPr="0086360F" w:rsidRDefault="003A1AF0" w:rsidP="003A1AF0">
      <w:pPr>
        <w:ind w:left="720"/>
        <w:contextualSpacing/>
        <w:rPr>
          <w:rFonts w:ascii="Arial" w:eastAsia="Aptos" w:hAnsi="Arial" w:cs="Arial"/>
          <w:kern w:val="2"/>
          <w:sz w:val="28"/>
          <w:szCs w:val="28"/>
          <w14:ligatures w14:val="standardContextual"/>
        </w:rPr>
      </w:pPr>
    </w:p>
    <w:p w14:paraId="1E9CD623" w14:textId="77777777" w:rsidR="003A1AF0" w:rsidRPr="0086360F" w:rsidRDefault="003A1AF0" w:rsidP="009B39CF">
      <w:pPr>
        <w:numPr>
          <w:ilvl w:val="1"/>
          <w:numId w:val="1"/>
        </w:numPr>
        <w:ind w:hanging="644"/>
        <w:contextualSpacing/>
        <w:rPr>
          <w:rFonts w:ascii="Arial" w:eastAsia="Aptos" w:hAnsi="Arial" w:cs="Arial"/>
          <w:b/>
          <w:bCs/>
          <w:kern w:val="2"/>
          <w:sz w:val="28"/>
          <w:szCs w:val="28"/>
          <w14:ligatures w14:val="standardContextual"/>
        </w:rPr>
      </w:pPr>
      <w:r w:rsidRPr="0086360F">
        <w:rPr>
          <w:rFonts w:ascii="Arial" w:eastAsia="Aptos" w:hAnsi="Arial" w:cs="Arial"/>
          <w:b/>
          <w:bCs/>
          <w:kern w:val="2"/>
          <w:sz w:val="28"/>
          <w:szCs w:val="28"/>
          <w14:ligatures w14:val="standardContextual"/>
        </w:rPr>
        <w:t>Panel Consideration</w:t>
      </w:r>
    </w:p>
    <w:p w14:paraId="2BDD16DF" w14:textId="77777777" w:rsidR="009B39CF" w:rsidRPr="0086360F" w:rsidRDefault="003A1AF0" w:rsidP="009B39CF">
      <w:pPr>
        <w:ind w:left="502"/>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Before a civil financial penalty is imposed, cases are referred to a decision</w:t>
      </w:r>
      <w:r w:rsidRPr="0086360F">
        <w:rPr>
          <w:rFonts w:ascii="Arial" w:eastAsia="Aptos" w:hAnsi="Arial" w:cs="Arial"/>
          <w:kern w:val="2"/>
          <w:sz w:val="28"/>
          <w:szCs w:val="28"/>
          <w14:ligatures w14:val="standardContextual"/>
        </w:rPr>
        <w:noBreakHyphen/>
        <w:t xml:space="preserve">making panel. The panel reviews the evidence, the nature </w:t>
      </w:r>
      <w:r w:rsidRPr="0086360F">
        <w:rPr>
          <w:rFonts w:ascii="Arial" w:eastAsia="Aptos" w:hAnsi="Arial" w:cs="Arial"/>
          <w:kern w:val="2"/>
          <w:sz w:val="28"/>
          <w:szCs w:val="28"/>
          <w14:ligatures w14:val="standardContextual"/>
        </w:rPr>
        <w:lastRenderedPageBreak/>
        <w:t>and seriousness of the offence, compliance history, aggravating and mitigating factors, and the application of the council’s penalty calculation framework.</w:t>
      </w:r>
    </w:p>
    <w:p w14:paraId="68EC04C7" w14:textId="77777777" w:rsidR="009B39CF" w:rsidRPr="0086360F" w:rsidRDefault="009B39CF" w:rsidP="009B39CF">
      <w:pPr>
        <w:ind w:left="502"/>
        <w:contextualSpacing/>
        <w:rPr>
          <w:rFonts w:ascii="Arial" w:eastAsia="Aptos" w:hAnsi="Arial" w:cs="Arial"/>
          <w:kern w:val="2"/>
          <w:sz w:val="28"/>
          <w:szCs w:val="28"/>
          <w14:ligatures w14:val="standardContextual"/>
        </w:rPr>
      </w:pPr>
    </w:p>
    <w:p w14:paraId="51658E03" w14:textId="5BC32840" w:rsidR="003A1AF0" w:rsidRPr="0086360F" w:rsidRDefault="003A1AF0" w:rsidP="009B39CF">
      <w:pPr>
        <w:ind w:left="502"/>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This panel</w:t>
      </w:r>
      <w:r w:rsidRPr="0086360F">
        <w:rPr>
          <w:rFonts w:ascii="Arial" w:eastAsia="Aptos" w:hAnsi="Arial" w:cs="Arial"/>
          <w:kern w:val="2"/>
          <w:sz w:val="28"/>
          <w:szCs w:val="28"/>
          <w14:ligatures w14:val="standardContextual"/>
        </w:rPr>
        <w:noBreakHyphen/>
        <w:t>led approach provides governance, consistency and independence in enforcement decision</w:t>
      </w:r>
      <w:r w:rsidRPr="0086360F">
        <w:rPr>
          <w:rFonts w:ascii="Arial" w:eastAsia="Aptos" w:hAnsi="Arial" w:cs="Arial"/>
          <w:kern w:val="2"/>
          <w:sz w:val="28"/>
          <w:szCs w:val="28"/>
          <w14:ligatures w14:val="standardContextual"/>
        </w:rPr>
        <w:noBreakHyphen/>
        <w:t>making.</w:t>
      </w:r>
    </w:p>
    <w:p w14:paraId="4005E494" w14:textId="77777777" w:rsidR="003A1AF0" w:rsidRPr="0086360F" w:rsidRDefault="003A1AF0" w:rsidP="003A1AF0">
      <w:pPr>
        <w:ind w:left="720"/>
        <w:contextualSpacing/>
        <w:rPr>
          <w:rFonts w:ascii="Arial" w:eastAsia="Aptos" w:hAnsi="Arial" w:cs="Arial"/>
          <w:kern w:val="2"/>
          <w:sz w:val="28"/>
          <w:szCs w:val="28"/>
          <w14:ligatures w14:val="standardContextual"/>
        </w:rPr>
      </w:pPr>
    </w:p>
    <w:p w14:paraId="7513FF00" w14:textId="77777777" w:rsidR="009B39CF" w:rsidRPr="0086360F" w:rsidRDefault="003A1AF0" w:rsidP="009B39CF">
      <w:pPr>
        <w:numPr>
          <w:ilvl w:val="1"/>
          <w:numId w:val="1"/>
        </w:numPr>
        <w:ind w:hanging="644"/>
        <w:contextualSpacing/>
        <w:rPr>
          <w:rFonts w:ascii="Arial" w:eastAsia="Aptos" w:hAnsi="Arial" w:cs="Arial"/>
          <w:b/>
          <w:bCs/>
          <w:kern w:val="2"/>
          <w:sz w:val="28"/>
          <w:szCs w:val="28"/>
          <w14:ligatures w14:val="standardContextual"/>
        </w:rPr>
      </w:pPr>
      <w:r w:rsidRPr="0086360F">
        <w:rPr>
          <w:rFonts w:ascii="Arial" w:eastAsia="Aptos" w:hAnsi="Arial" w:cs="Arial"/>
          <w:b/>
          <w:bCs/>
          <w:kern w:val="2"/>
          <w:sz w:val="28"/>
          <w:szCs w:val="28"/>
          <w14:ligatures w14:val="standardContextual"/>
        </w:rPr>
        <w:t>Notice of Intent</w:t>
      </w:r>
    </w:p>
    <w:p w14:paraId="5A039348" w14:textId="1A897DF8" w:rsidR="003A1AF0" w:rsidRPr="0086360F" w:rsidRDefault="009B39CF" w:rsidP="009B39CF">
      <w:pPr>
        <w:ind w:left="502"/>
        <w:contextualSpacing/>
        <w:rPr>
          <w:rFonts w:ascii="Arial" w:eastAsia="Aptos" w:hAnsi="Arial" w:cs="Arial"/>
          <w:b/>
          <w:bCs/>
          <w:kern w:val="2"/>
          <w:sz w:val="28"/>
          <w:szCs w:val="28"/>
          <w14:ligatures w14:val="standardContextual"/>
        </w:rPr>
      </w:pPr>
      <w:r w:rsidRPr="0086360F">
        <w:rPr>
          <w:rFonts w:ascii="Arial" w:eastAsia="Aptos" w:hAnsi="Arial" w:cs="Arial"/>
          <w:kern w:val="2"/>
          <w:sz w:val="28"/>
          <w:szCs w:val="28"/>
          <w14:ligatures w14:val="standardContextual"/>
        </w:rPr>
        <w:t>H</w:t>
      </w:r>
      <w:r w:rsidR="003A1AF0" w:rsidRPr="0086360F">
        <w:rPr>
          <w:rFonts w:ascii="Arial" w:eastAsia="Aptos" w:hAnsi="Arial" w:cs="Arial"/>
          <w:kern w:val="2"/>
          <w:sz w:val="28"/>
          <w:szCs w:val="28"/>
          <w14:ligatures w14:val="standardContextual"/>
        </w:rPr>
        <w:t>ere the panel determines that a civil financial penalty is appropriate, a Notice of Intent is issued to the responsible person. This sets out the proposed penalty amount, the reasons for the decision, and the right to make representations within the statutory period.</w:t>
      </w:r>
    </w:p>
    <w:p w14:paraId="7EBA1027" w14:textId="77777777" w:rsidR="009B39CF" w:rsidRPr="0086360F" w:rsidRDefault="009B39CF" w:rsidP="009B39CF">
      <w:pPr>
        <w:ind w:left="502"/>
        <w:contextualSpacing/>
        <w:rPr>
          <w:rFonts w:ascii="Arial" w:eastAsia="Aptos" w:hAnsi="Arial" w:cs="Arial"/>
          <w:b/>
          <w:bCs/>
          <w:kern w:val="2"/>
          <w:sz w:val="28"/>
          <w:szCs w:val="28"/>
          <w14:ligatures w14:val="standardContextual"/>
        </w:rPr>
      </w:pPr>
    </w:p>
    <w:p w14:paraId="563614E3" w14:textId="77777777" w:rsidR="003A1AF0" w:rsidRPr="0086360F" w:rsidRDefault="003A1AF0" w:rsidP="009B39CF">
      <w:pPr>
        <w:numPr>
          <w:ilvl w:val="1"/>
          <w:numId w:val="1"/>
        </w:numPr>
        <w:ind w:hanging="644"/>
        <w:contextualSpacing/>
        <w:rPr>
          <w:rFonts w:ascii="Arial" w:eastAsia="Aptos" w:hAnsi="Arial" w:cs="Arial"/>
          <w:b/>
          <w:bCs/>
          <w:kern w:val="2"/>
          <w:sz w:val="28"/>
          <w:szCs w:val="28"/>
          <w14:ligatures w14:val="standardContextual"/>
        </w:rPr>
      </w:pPr>
      <w:r w:rsidRPr="0086360F">
        <w:rPr>
          <w:rFonts w:ascii="Arial" w:eastAsia="Aptos" w:hAnsi="Arial" w:cs="Arial"/>
          <w:b/>
          <w:bCs/>
          <w:kern w:val="2"/>
          <w:sz w:val="28"/>
          <w:szCs w:val="28"/>
          <w14:ligatures w14:val="standardContextual"/>
        </w:rPr>
        <w:t>Consideration of Representations and Final Decision</w:t>
      </w:r>
    </w:p>
    <w:p w14:paraId="265E3792" w14:textId="77777777" w:rsidR="006B7007" w:rsidRPr="0086360F" w:rsidRDefault="003A1AF0" w:rsidP="006B7007">
      <w:pPr>
        <w:ind w:left="502"/>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Any representations received are carefully considered before a final decision is made. Following this review, the panel may confirm, vary or withdraw the proposed penalty. A Final Notice is then issued where appropriate.</w:t>
      </w:r>
    </w:p>
    <w:p w14:paraId="12416182" w14:textId="77777777" w:rsidR="006B7007" w:rsidRPr="0086360F" w:rsidRDefault="006B7007" w:rsidP="006B7007">
      <w:pPr>
        <w:ind w:left="502"/>
        <w:contextualSpacing/>
        <w:rPr>
          <w:rFonts w:ascii="Arial" w:eastAsia="Times New Roman" w:hAnsi="Arial" w:cs="Arial"/>
          <w:b/>
          <w:sz w:val="28"/>
          <w:szCs w:val="28"/>
          <w:lang w:eastAsia="en-GB"/>
        </w:rPr>
      </w:pPr>
    </w:p>
    <w:p w14:paraId="7E984AA9" w14:textId="6FEB1DAE" w:rsidR="006B7007" w:rsidRPr="0086360F" w:rsidRDefault="006B7007" w:rsidP="00A91775">
      <w:pPr>
        <w:numPr>
          <w:ilvl w:val="1"/>
          <w:numId w:val="1"/>
        </w:numPr>
        <w:ind w:hanging="644"/>
        <w:contextualSpacing/>
        <w:rPr>
          <w:rFonts w:ascii="Arial" w:eastAsia="Aptos" w:hAnsi="Arial" w:cs="Arial"/>
          <w:b/>
          <w:bCs/>
          <w:kern w:val="2"/>
          <w:sz w:val="28"/>
          <w:szCs w:val="28"/>
          <w14:ligatures w14:val="standardContextual"/>
        </w:rPr>
      </w:pPr>
      <w:r w:rsidRPr="0086360F">
        <w:rPr>
          <w:rFonts w:ascii="Arial" w:eastAsia="Times New Roman" w:hAnsi="Arial" w:cs="Arial"/>
          <w:b/>
          <w:sz w:val="28"/>
          <w:szCs w:val="28"/>
          <w:lang w:eastAsia="en-GB"/>
        </w:rPr>
        <w:t>Offences that may be dealt with by way of imposing a financial penalty</w:t>
      </w:r>
    </w:p>
    <w:p w14:paraId="1C3BC977" w14:textId="3EE5D87E" w:rsidR="006B7007" w:rsidRPr="0086360F" w:rsidRDefault="006B7007" w:rsidP="009D7A7A">
      <w:pPr>
        <w:pStyle w:val="ListParagraph"/>
        <w:numPr>
          <w:ilvl w:val="0"/>
          <w:numId w:val="13"/>
        </w:numPr>
        <w:rPr>
          <w:rFonts w:ascii="Arial" w:eastAsia="Aptos" w:hAnsi="Arial" w:cs="Arial"/>
          <w:b/>
          <w:bCs/>
          <w:kern w:val="2"/>
          <w:sz w:val="28"/>
          <w:szCs w:val="28"/>
          <w14:ligatures w14:val="standardContextual"/>
        </w:rPr>
      </w:pPr>
      <w:r w:rsidRPr="0086360F">
        <w:rPr>
          <w:rFonts w:ascii="Arial" w:eastAsia="Times New Roman" w:hAnsi="Arial" w:cs="Arial"/>
          <w:sz w:val="28"/>
          <w:szCs w:val="28"/>
          <w:lang w:eastAsia="en-GB"/>
        </w:rPr>
        <w:t xml:space="preserve">The starting point for a financial penalty is based on the number of previous convictions or imposition of a financial penalty for the same type of offence in the previous four years. </w:t>
      </w:r>
    </w:p>
    <w:p w14:paraId="057E5CC5" w14:textId="0A5D0A2D" w:rsidR="006B7007" w:rsidRPr="0086360F" w:rsidRDefault="006B7007" w:rsidP="009D7A7A">
      <w:pPr>
        <w:pStyle w:val="ListParagraph"/>
        <w:numPr>
          <w:ilvl w:val="0"/>
          <w:numId w:val="13"/>
        </w:numPr>
        <w:rPr>
          <w:rFonts w:ascii="Arial" w:eastAsia="Aptos" w:hAnsi="Arial" w:cs="Arial"/>
          <w:b/>
          <w:bCs/>
          <w:kern w:val="2"/>
          <w:sz w:val="28"/>
          <w:szCs w:val="28"/>
          <w14:ligatures w14:val="standardContextual"/>
        </w:rPr>
      </w:pPr>
      <w:r w:rsidRPr="0086360F">
        <w:rPr>
          <w:rFonts w:ascii="Arial" w:eastAsia="Times New Roman" w:hAnsi="Arial" w:cs="Arial"/>
          <w:sz w:val="28"/>
          <w:szCs w:val="28"/>
          <w:lang w:eastAsia="en-GB"/>
        </w:rPr>
        <w:t>After the starting point has been determined, relevant Premiums are added to the starting amount to determine the full financial penalty to be imposed</w:t>
      </w:r>
    </w:p>
    <w:p w14:paraId="629BD709" w14:textId="77777777" w:rsidR="006B7007" w:rsidRPr="002A3120" w:rsidRDefault="006B7007" w:rsidP="009D7A7A">
      <w:pPr>
        <w:pStyle w:val="ListParagraph"/>
        <w:numPr>
          <w:ilvl w:val="0"/>
          <w:numId w:val="13"/>
        </w:numPr>
        <w:rPr>
          <w:rFonts w:ascii="Arial" w:eastAsia="Aptos" w:hAnsi="Arial" w:cs="Arial"/>
          <w:b/>
          <w:bCs/>
          <w:kern w:val="2"/>
          <w:sz w:val="28"/>
          <w:szCs w:val="28"/>
          <w14:ligatures w14:val="standardContextual"/>
        </w:rPr>
      </w:pPr>
      <w:r w:rsidRPr="0086360F">
        <w:rPr>
          <w:rFonts w:ascii="Arial" w:eastAsia="Times New Roman" w:hAnsi="Arial" w:cs="Arial"/>
          <w:sz w:val="28"/>
          <w:szCs w:val="28"/>
          <w:lang w:eastAsia="en-GB"/>
        </w:rPr>
        <w:t>No single financial penalty may be over £40,000 (or £30,000 where the limit is lower). Where the addition of all relevant premiums would put the penalty above the maximum, it shall be capped at the maximum set amount.</w:t>
      </w:r>
    </w:p>
    <w:p w14:paraId="72E1804A" w14:textId="77777777" w:rsidR="006B7007" w:rsidRPr="0086360F" w:rsidRDefault="006B7007" w:rsidP="006B7007">
      <w:pPr>
        <w:ind w:left="502"/>
        <w:contextualSpacing/>
        <w:rPr>
          <w:rFonts w:ascii="Arial" w:eastAsia="Aptos" w:hAnsi="Arial" w:cs="Arial"/>
          <w:b/>
          <w:bCs/>
          <w:kern w:val="2"/>
          <w:sz w:val="28"/>
          <w:szCs w:val="28"/>
          <w14:ligatures w14:val="standardContextual"/>
        </w:rPr>
      </w:pPr>
    </w:p>
    <w:p w14:paraId="4AF55CCF" w14:textId="2E7BA134" w:rsidR="006B7007" w:rsidRPr="0086360F" w:rsidRDefault="006B7007" w:rsidP="00A91775">
      <w:pPr>
        <w:ind w:left="502"/>
        <w:contextualSpacing/>
        <w:rPr>
          <w:rFonts w:ascii="Arial" w:eastAsia="Aptos" w:hAnsi="Arial" w:cs="Arial"/>
          <w:b/>
          <w:bCs/>
          <w:kern w:val="2"/>
          <w:sz w:val="28"/>
          <w:szCs w:val="28"/>
          <w14:ligatures w14:val="standardContextual"/>
        </w:rPr>
      </w:pPr>
      <w:r w:rsidRPr="0086360F">
        <w:rPr>
          <w:rFonts w:ascii="Arial" w:eastAsia="Times New Roman" w:hAnsi="Arial" w:cs="Arial"/>
          <w:b/>
          <w:sz w:val="28"/>
          <w:szCs w:val="28"/>
          <w:lang w:eastAsia="en-GB"/>
        </w:rPr>
        <w:t>Second subsequent offence by same person/company</w:t>
      </w:r>
    </w:p>
    <w:p w14:paraId="57FBB559" w14:textId="77777777" w:rsidR="006B7007" w:rsidRPr="002A3120" w:rsidRDefault="006B7007" w:rsidP="009D7A7A">
      <w:pPr>
        <w:pStyle w:val="ListParagraph"/>
        <w:numPr>
          <w:ilvl w:val="0"/>
          <w:numId w:val="12"/>
        </w:numPr>
        <w:rPr>
          <w:rFonts w:ascii="Arial" w:eastAsia="Aptos" w:hAnsi="Arial" w:cs="Arial"/>
          <w:b/>
          <w:bCs/>
          <w:kern w:val="2"/>
          <w:sz w:val="28"/>
          <w:szCs w:val="28"/>
          <w14:ligatures w14:val="standardContextual"/>
        </w:rPr>
      </w:pPr>
      <w:r w:rsidRPr="0086360F">
        <w:rPr>
          <w:rFonts w:ascii="Arial" w:eastAsia="Times New Roman" w:hAnsi="Arial" w:cs="Arial"/>
          <w:sz w:val="28"/>
          <w:szCs w:val="28"/>
          <w:lang w:eastAsia="en-GB"/>
        </w:rPr>
        <w:t>The council will take into account any such convictions or financial penalties irrespective of the locality to which the offence relates.</w:t>
      </w:r>
    </w:p>
    <w:p w14:paraId="029EA1CF" w14:textId="77777777" w:rsidR="0084248F" w:rsidRDefault="0084248F" w:rsidP="002A3120">
      <w:pPr>
        <w:ind w:firstLine="502"/>
        <w:rPr>
          <w:rFonts w:ascii="Arial" w:eastAsia="Aptos" w:hAnsi="Arial" w:cs="Arial"/>
          <w:b/>
          <w:bCs/>
          <w:kern w:val="2"/>
          <w:sz w:val="28"/>
          <w:szCs w:val="28"/>
          <w:highlight w:val="yellow"/>
          <w14:ligatures w14:val="standardContextual"/>
        </w:rPr>
      </w:pPr>
    </w:p>
    <w:p w14:paraId="696D6531" w14:textId="65016C25" w:rsidR="002A3120" w:rsidRPr="0084248F" w:rsidRDefault="002A3120" w:rsidP="002A3120">
      <w:pPr>
        <w:ind w:firstLine="502"/>
        <w:rPr>
          <w:rFonts w:ascii="Arial" w:eastAsia="Aptos" w:hAnsi="Arial" w:cs="Arial"/>
          <w:b/>
          <w:bCs/>
          <w:kern w:val="2"/>
          <w:sz w:val="28"/>
          <w:szCs w:val="28"/>
          <w14:ligatures w14:val="standardContextual"/>
        </w:rPr>
      </w:pPr>
      <w:r w:rsidRPr="0084248F">
        <w:rPr>
          <w:rFonts w:ascii="Arial" w:eastAsia="Aptos" w:hAnsi="Arial" w:cs="Arial"/>
          <w:b/>
          <w:bCs/>
          <w:kern w:val="2"/>
          <w:sz w:val="28"/>
          <w:szCs w:val="28"/>
          <w14:ligatures w14:val="standardContextual"/>
        </w:rPr>
        <w:lastRenderedPageBreak/>
        <w:t>Continuing breaches</w:t>
      </w:r>
    </w:p>
    <w:p w14:paraId="385A7EA2" w14:textId="4F37E4C9" w:rsidR="002A3120" w:rsidRPr="0084248F" w:rsidRDefault="002A3120" w:rsidP="002A3120">
      <w:pPr>
        <w:pStyle w:val="ListParagraph"/>
        <w:numPr>
          <w:ilvl w:val="0"/>
          <w:numId w:val="12"/>
        </w:numPr>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t xml:space="preserve">Where a breach or failure continues over a period of time, or where the same or similar breach occurs repeatedly, the authority may consider each instance as a separate breach or offence </w:t>
      </w:r>
      <w:proofErr w:type="gramStart"/>
      <w:r w:rsidRPr="0084248F">
        <w:rPr>
          <w:rFonts w:ascii="Arial" w:eastAsia="Aptos" w:hAnsi="Arial" w:cs="Arial"/>
          <w:kern w:val="2"/>
          <w:sz w:val="28"/>
          <w:szCs w:val="28"/>
          <w14:ligatures w14:val="standardContextual"/>
        </w:rPr>
        <w:t>where</w:t>
      </w:r>
      <w:proofErr w:type="gramEnd"/>
      <w:r w:rsidRPr="0084248F">
        <w:rPr>
          <w:rFonts w:ascii="Arial" w:eastAsia="Aptos" w:hAnsi="Arial" w:cs="Arial"/>
          <w:kern w:val="2"/>
          <w:sz w:val="28"/>
          <w:szCs w:val="28"/>
          <w14:ligatures w14:val="standardContextual"/>
        </w:rPr>
        <w:t xml:space="preserve"> permitted by legislation. The authority may also take into account ongoing non-compliance when determining the level of penalty, including increasing the penalty amount or pursuing further enforcement action.</w:t>
      </w:r>
    </w:p>
    <w:p w14:paraId="4EDB89E9" w14:textId="77777777" w:rsidR="006B7007" w:rsidRPr="0086360F" w:rsidRDefault="006B7007" w:rsidP="006B7007">
      <w:pPr>
        <w:ind w:left="502"/>
        <w:contextualSpacing/>
        <w:rPr>
          <w:rFonts w:ascii="Arial" w:eastAsia="Aptos" w:hAnsi="Arial" w:cs="Arial"/>
          <w:b/>
          <w:bCs/>
          <w:kern w:val="2"/>
          <w:sz w:val="28"/>
          <w:szCs w:val="28"/>
          <w14:ligatures w14:val="standardContextual"/>
        </w:rPr>
      </w:pPr>
    </w:p>
    <w:p w14:paraId="797329F6" w14:textId="4609F53A" w:rsidR="006B7007" w:rsidRPr="0086360F" w:rsidRDefault="006B7007" w:rsidP="006B7007">
      <w:pPr>
        <w:ind w:left="502"/>
        <w:contextualSpacing/>
        <w:rPr>
          <w:rFonts w:ascii="Arial" w:eastAsia="Aptos" w:hAnsi="Arial" w:cs="Arial"/>
          <w:b/>
          <w:bCs/>
          <w:kern w:val="2"/>
          <w:sz w:val="28"/>
          <w:szCs w:val="28"/>
          <w14:ligatures w14:val="standardContextual"/>
        </w:rPr>
      </w:pPr>
      <w:r w:rsidRPr="0086360F">
        <w:rPr>
          <w:rFonts w:ascii="Arial" w:eastAsia="Times New Roman" w:hAnsi="Arial" w:cs="Arial"/>
          <w:b/>
          <w:sz w:val="28"/>
          <w:szCs w:val="28"/>
          <w:lang w:eastAsia="en-GB"/>
        </w:rPr>
        <w:t>Large housing portfolio (10+ units of accommodation)</w:t>
      </w:r>
    </w:p>
    <w:p w14:paraId="52B02D56" w14:textId="4F85408B" w:rsidR="006B7007" w:rsidRPr="0086360F" w:rsidRDefault="006B7007" w:rsidP="009D7A7A">
      <w:pPr>
        <w:pStyle w:val="ListParagraph"/>
        <w:numPr>
          <w:ilvl w:val="0"/>
          <w:numId w:val="11"/>
        </w:numPr>
        <w:ind w:left="862"/>
        <w:rPr>
          <w:rFonts w:ascii="Arial" w:eastAsia="Aptos" w:hAnsi="Arial" w:cs="Arial"/>
          <w:b/>
          <w:bCs/>
          <w:kern w:val="2"/>
          <w:sz w:val="28"/>
          <w:szCs w:val="28"/>
          <w14:ligatures w14:val="standardContextual"/>
        </w:rPr>
      </w:pPr>
      <w:r w:rsidRPr="0086360F">
        <w:rPr>
          <w:rFonts w:ascii="Arial" w:eastAsia="Times New Roman" w:hAnsi="Arial" w:cs="Arial"/>
          <w:sz w:val="28"/>
          <w:szCs w:val="28"/>
          <w:lang w:eastAsia="en-GB"/>
        </w:rPr>
        <w:t>The premium is applied where the perpetrator has control or manages of 10 or more units of accommodation.</w:t>
      </w:r>
    </w:p>
    <w:p w14:paraId="0EBD1627" w14:textId="77777777" w:rsidR="006B7007" w:rsidRPr="0086360F" w:rsidRDefault="006B7007" w:rsidP="009D7A7A">
      <w:pPr>
        <w:pStyle w:val="ListParagraph"/>
        <w:numPr>
          <w:ilvl w:val="0"/>
          <w:numId w:val="11"/>
        </w:numPr>
        <w:ind w:left="862"/>
        <w:rPr>
          <w:rFonts w:ascii="Arial" w:eastAsia="Aptos" w:hAnsi="Arial" w:cs="Arial"/>
          <w:b/>
          <w:bCs/>
          <w:kern w:val="2"/>
          <w:sz w:val="28"/>
          <w:szCs w:val="28"/>
          <w14:ligatures w14:val="standardContextual"/>
        </w:rPr>
      </w:pPr>
      <w:r w:rsidRPr="0086360F">
        <w:rPr>
          <w:rFonts w:ascii="Arial" w:eastAsia="Times New Roman" w:hAnsi="Arial" w:cs="Arial"/>
          <w:sz w:val="28"/>
          <w:szCs w:val="28"/>
          <w:lang w:eastAsia="en-GB"/>
        </w:rPr>
        <w:t>For the purposes of this premium, the definition of a person having control and person managing are as defined by Housing Act 2004 Section 263.</w:t>
      </w:r>
    </w:p>
    <w:p w14:paraId="47B6CAEC" w14:textId="77777777" w:rsidR="006B7007" w:rsidRPr="0086360F" w:rsidRDefault="006B7007" w:rsidP="006B7007">
      <w:pPr>
        <w:ind w:left="502"/>
        <w:contextualSpacing/>
        <w:rPr>
          <w:rFonts w:ascii="Arial" w:eastAsia="Aptos" w:hAnsi="Arial" w:cs="Arial"/>
          <w:b/>
          <w:bCs/>
          <w:kern w:val="2"/>
          <w:sz w:val="28"/>
          <w:szCs w:val="28"/>
          <w14:ligatures w14:val="standardContextual"/>
        </w:rPr>
      </w:pPr>
    </w:p>
    <w:p w14:paraId="331A490A" w14:textId="077E41AF" w:rsidR="006B7007" w:rsidRPr="0086360F" w:rsidRDefault="006B7007" w:rsidP="006B7007">
      <w:pPr>
        <w:ind w:left="502"/>
        <w:contextualSpacing/>
        <w:rPr>
          <w:rFonts w:ascii="Arial" w:eastAsia="Aptos" w:hAnsi="Arial" w:cs="Arial"/>
          <w:b/>
          <w:bCs/>
          <w:kern w:val="2"/>
          <w:sz w:val="28"/>
          <w:szCs w:val="28"/>
          <w14:ligatures w14:val="standardContextual"/>
        </w:rPr>
      </w:pPr>
      <w:r w:rsidRPr="0086360F">
        <w:rPr>
          <w:rFonts w:ascii="Arial" w:eastAsia="Times New Roman" w:hAnsi="Arial" w:cs="Arial"/>
          <w:b/>
          <w:sz w:val="28"/>
          <w:szCs w:val="28"/>
          <w:lang w:eastAsia="en-GB"/>
        </w:rPr>
        <w:t>Multiple Category 1 or high Category 2 Hazards</w:t>
      </w:r>
    </w:p>
    <w:p w14:paraId="3938FC2B" w14:textId="77777777" w:rsidR="006B7007" w:rsidRPr="0086360F" w:rsidRDefault="006B7007" w:rsidP="009D7A7A">
      <w:pPr>
        <w:pStyle w:val="ListParagraph"/>
        <w:numPr>
          <w:ilvl w:val="0"/>
          <w:numId w:val="10"/>
        </w:numPr>
        <w:rPr>
          <w:rFonts w:ascii="Arial" w:eastAsia="Aptos" w:hAnsi="Arial" w:cs="Arial"/>
          <w:b/>
          <w:bCs/>
          <w:kern w:val="2"/>
          <w:sz w:val="28"/>
          <w:szCs w:val="28"/>
          <w14:ligatures w14:val="standardContextual"/>
        </w:rPr>
      </w:pPr>
      <w:r w:rsidRPr="0086360F">
        <w:rPr>
          <w:rFonts w:ascii="Arial" w:eastAsia="Times New Roman" w:hAnsi="Arial" w:cs="Arial"/>
          <w:sz w:val="28"/>
          <w:szCs w:val="28"/>
          <w:lang w:eastAsia="en-GB"/>
        </w:rPr>
        <w:t xml:space="preserve">This premium will apply where the failure to comply with the Improvement Notice relates to three or more Category 1 or high scoring Category 2 hazards associated with different building deficiencies. For the avoidance of doubt this means that where two hazards are present but relate to the same property defect, they are counted as one hazard for purposes of this calculation. </w:t>
      </w:r>
    </w:p>
    <w:p w14:paraId="7ECC0025" w14:textId="553A50C2" w:rsidR="006B7007" w:rsidRPr="0086360F" w:rsidRDefault="006B7007" w:rsidP="009D7A7A">
      <w:pPr>
        <w:pStyle w:val="ListParagraph"/>
        <w:numPr>
          <w:ilvl w:val="0"/>
          <w:numId w:val="10"/>
        </w:numPr>
        <w:rPr>
          <w:rFonts w:ascii="Arial" w:eastAsia="Aptos" w:hAnsi="Arial" w:cs="Arial"/>
          <w:b/>
          <w:bCs/>
          <w:kern w:val="2"/>
          <w:sz w:val="28"/>
          <w:szCs w:val="28"/>
          <w14:ligatures w14:val="standardContextual"/>
        </w:rPr>
      </w:pPr>
      <w:r w:rsidRPr="0086360F">
        <w:rPr>
          <w:rFonts w:ascii="Arial" w:eastAsia="Times New Roman" w:hAnsi="Arial" w:cs="Arial"/>
          <w:sz w:val="28"/>
          <w:szCs w:val="28"/>
          <w:lang w:eastAsia="en-GB"/>
        </w:rPr>
        <w:t>For the purpose of this premium, a high scoring category 2 hazard is defined as one scored following the Housing Health and Safety Rating System as “D” or “E”.</w:t>
      </w:r>
    </w:p>
    <w:p w14:paraId="732E8A4B" w14:textId="77777777" w:rsidR="006B7007" w:rsidRPr="0086360F" w:rsidRDefault="006B7007" w:rsidP="006B7007">
      <w:pPr>
        <w:spacing w:after="0" w:line="240" w:lineRule="auto"/>
        <w:jc w:val="both"/>
        <w:rPr>
          <w:rFonts w:ascii="Arial" w:eastAsia="Times New Roman" w:hAnsi="Arial" w:cs="Arial"/>
          <w:bCs/>
          <w:sz w:val="28"/>
          <w:szCs w:val="28"/>
          <w:lang w:eastAsia="en-GB"/>
        </w:rPr>
      </w:pPr>
    </w:p>
    <w:p w14:paraId="3FB0EF88" w14:textId="77777777" w:rsidR="00A91775" w:rsidRPr="0086360F" w:rsidRDefault="006B7007" w:rsidP="00A91775">
      <w:pPr>
        <w:pStyle w:val="ListParagraph"/>
        <w:rPr>
          <w:rFonts w:ascii="Arial" w:eastAsia="Times New Roman" w:hAnsi="Arial" w:cs="Arial"/>
          <w:b/>
          <w:sz w:val="28"/>
          <w:szCs w:val="28"/>
          <w:lang w:eastAsia="en-GB"/>
        </w:rPr>
      </w:pPr>
      <w:r w:rsidRPr="0086360F">
        <w:rPr>
          <w:rFonts w:ascii="Arial" w:eastAsia="Times New Roman" w:hAnsi="Arial" w:cs="Arial"/>
          <w:b/>
          <w:sz w:val="28"/>
          <w:szCs w:val="28"/>
          <w:lang w:eastAsia="en-GB"/>
        </w:rPr>
        <w:t>Vulnerable occupant and/or significant harm occurred as result of housing conditions</w:t>
      </w:r>
    </w:p>
    <w:p w14:paraId="5AEFE16E" w14:textId="77777777" w:rsidR="00A91775" w:rsidRPr="0086360F" w:rsidRDefault="006B7007" w:rsidP="009D7A7A">
      <w:pPr>
        <w:pStyle w:val="ListParagraph"/>
        <w:numPr>
          <w:ilvl w:val="0"/>
          <w:numId w:val="14"/>
        </w:numPr>
        <w:rPr>
          <w:rFonts w:ascii="Arial" w:eastAsia="Times New Roman" w:hAnsi="Arial" w:cs="Arial"/>
          <w:sz w:val="28"/>
          <w:szCs w:val="28"/>
          <w:lang w:eastAsia="en-GB"/>
        </w:rPr>
      </w:pPr>
      <w:r w:rsidRPr="0086360F">
        <w:rPr>
          <w:rFonts w:ascii="Arial" w:eastAsia="Times New Roman" w:hAnsi="Arial" w:cs="Arial"/>
          <w:sz w:val="28"/>
          <w:szCs w:val="28"/>
          <w:lang w:eastAsia="en-GB"/>
        </w:rPr>
        <w:t>This premium will be applied once if either the property is occupied by a vulnerable person or if significant harm has occurred as a result of the housing conditions.</w:t>
      </w:r>
    </w:p>
    <w:p w14:paraId="4260E3AA" w14:textId="77777777" w:rsidR="00A91775" w:rsidRPr="0086360F" w:rsidRDefault="006B7007" w:rsidP="009D7A7A">
      <w:pPr>
        <w:pStyle w:val="ListParagraph"/>
        <w:numPr>
          <w:ilvl w:val="0"/>
          <w:numId w:val="14"/>
        </w:numPr>
        <w:rPr>
          <w:rFonts w:ascii="Arial" w:eastAsia="Times New Roman" w:hAnsi="Arial" w:cs="Arial"/>
          <w:sz w:val="28"/>
          <w:szCs w:val="28"/>
          <w:lang w:eastAsia="en-GB"/>
        </w:rPr>
      </w:pPr>
      <w:r w:rsidRPr="0086360F">
        <w:rPr>
          <w:rFonts w:ascii="Arial" w:eastAsia="Times New Roman" w:hAnsi="Arial" w:cs="Arial"/>
          <w:sz w:val="28"/>
          <w:szCs w:val="28"/>
          <w:lang w:eastAsia="en-GB"/>
        </w:rPr>
        <w:t xml:space="preserve">or purposes of this premium a vulnerable person is defined as someone who forms part of a vulnerable group under Housing Health and Safety Rating System relating to hazards present in the property or an occupant or group of occupants considered </w:t>
      </w:r>
      <w:r w:rsidRPr="0086360F">
        <w:rPr>
          <w:rFonts w:ascii="Arial" w:eastAsia="Times New Roman" w:hAnsi="Arial" w:cs="Arial"/>
          <w:sz w:val="28"/>
          <w:szCs w:val="28"/>
          <w:lang w:eastAsia="en-GB"/>
        </w:rPr>
        <w:lastRenderedPageBreak/>
        <w:t>by the council to be at particular risk of harm that the perpetrator ought to have had regard.</w:t>
      </w:r>
    </w:p>
    <w:p w14:paraId="5400D16D" w14:textId="2BB7B9D5" w:rsidR="006B7007" w:rsidRPr="0086360F" w:rsidRDefault="006B7007" w:rsidP="009D7A7A">
      <w:pPr>
        <w:pStyle w:val="ListParagraph"/>
        <w:numPr>
          <w:ilvl w:val="0"/>
          <w:numId w:val="14"/>
        </w:numPr>
        <w:rPr>
          <w:rFonts w:ascii="Arial" w:hAnsi="Arial" w:cs="Arial"/>
          <w:b/>
          <w:bCs/>
          <w:sz w:val="28"/>
          <w:szCs w:val="28"/>
        </w:rPr>
      </w:pPr>
      <w:r w:rsidRPr="0086360F">
        <w:rPr>
          <w:rFonts w:ascii="Arial" w:eastAsia="Times New Roman" w:hAnsi="Arial" w:cs="Arial"/>
          <w:sz w:val="28"/>
          <w:szCs w:val="28"/>
          <w:lang w:eastAsia="en-GB"/>
        </w:rPr>
        <w:t>or purposes of this premium, significant harm is defined as physical or mental illness or injury that corresponds to one of the four classes of harm under the Housing Health and Safety Rating System Operating Guidance.</w:t>
      </w:r>
    </w:p>
    <w:p w14:paraId="54D9C8F2" w14:textId="77777777" w:rsidR="00A91775" w:rsidRPr="0086360F" w:rsidRDefault="00A91775" w:rsidP="00A91775">
      <w:pPr>
        <w:spacing w:after="0" w:line="240" w:lineRule="auto"/>
        <w:jc w:val="both"/>
        <w:rPr>
          <w:rFonts w:ascii="Arial" w:eastAsia="Times New Roman" w:hAnsi="Arial" w:cs="Arial"/>
          <w:sz w:val="28"/>
          <w:szCs w:val="28"/>
          <w:lang w:eastAsia="en-GB"/>
        </w:rPr>
      </w:pPr>
    </w:p>
    <w:p w14:paraId="48C2396D" w14:textId="25CD6CF5" w:rsidR="006B7007" w:rsidRPr="0086360F" w:rsidRDefault="006B7007" w:rsidP="00A91775">
      <w:pPr>
        <w:spacing w:after="0" w:line="240" w:lineRule="auto"/>
        <w:ind w:left="720"/>
        <w:jc w:val="both"/>
        <w:rPr>
          <w:rFonts w:ascii="Arial" w:eastAsia="Times New Roman" w:hAnsi="Arial" w:cs="Arial"/>
          <w:bCs/>
          <w:sz w:val="28"/>
          <w:szCs w:val="28"/>
          <w:lang w:eastAsia="en-GB"/>
        </w:rPr>
      </w:pPr>
      <w:r w:rsidRPr="0086360F">
        <w:rPr>
          <w:rFonts w:ascii="Arial" w:eastAsia="Times New Roman" w:hAnsi="Arial" w:cs="Arial"/>
          <w:sz w:val="28"/>
          <w:szCs w:val="28"/>
          <w:lang w:eastAsia="en-GB"/>
        </w:rPr>
        <w:t xml:space="preserve">At the time of publication this document can be found at </w:t>
      </w:r>
      <w:hyperlink r:id="rId12" w:history="1">
        <w:r w:rsidRPr="0086360F">
          <w:rPr>
            <w:rFonts w:ascii="Arial" w:eastAsia="Times New Roman" w:hAnsi="Arial" w:cs="Arial"/>
            <w:color w:val="0000FF"/>
            <w:sz w:val="28"/>
            <w:szCs w:val="28"/>
            <w:u w:val="single"/>
            <w:lang w:eastAsia="en-GB"/>
          </w:rPr>
          <w:t>www.gov.uk</w:t>
        </w:r>
      </w:hyperlink>
      <w:r w:rsidRPr="0086360F">
        <w:rPr>
          <w:rFonts w:ascii="Arial" w:eastAsia="Times New Roman" w:hAnsi="Arial" w:cs="Arial"/>
          <w:sz w:val="28"/>
          <w:szCs w:val="28"/>
          <w:lang w:eastAsia="en-GB"/>
        </w:rPr>
        <w:t xml:space="preserve"> and a summary table is below.</w:t>
      </w:r>
    </w:p>
    <w:p w14:paraId="5E21EDE0" w14:textId="77777777" w:rsidR="006B7007" w:rsidRPr="0086360F" w:rsidRDefault="006B7007" w:rsidP="006B7007">
      <w:pPr>
        <w:spacing w:after="0" w:line="240" w:lineRule="auto"/>
        <w:jc w:val="both"/>
        <w:rPr>
          <w:rFonts w:ascii="Arial" w:eastAsia="Times New Roman" w:hAnsi="Arial" w:cs="Arial"/>
          <w:bCs/>
          <w:sz w:val="28"/>
          <w:szCs w:val="28"/>
          <w:lang w:eastAsia="en-GB"/>
        </w:rPr>
      </w:pPr>
    </w:p>
    <w:tbl>
      <w:tblPr>
        <w:tblW w:w="8930" w:type="dxa"/>
        <w:jc w:val="center"/>
        <w:tblLook w:val="04A0" w:firstRow="1" w:lastRow="0" w:firstColumn="1" w:lastColumn="0" w:noHBand="0" w:noVBand="1"/>
      </w:tblPr>
      <w:tblGrid>
        <w:gridCol w:w="5807"/>
        <w:gridCol w:w="3123"/>
      </w:tblGrid>
      <w:tr w:rsidR="006B7007" w:rsidRPr="0086360F" w14:paraId="4F2DAB56" w14:textId="77777777" w:rsidTr="008C1C14">
        <w:trPr>
          <w:trHeight w:val="600"/>
          <w:tblHeader/>
          <w:jc w:val="center"/>
        </w:trPr>
        <w:tc>
          <w:tcPr>
            <w:tcW w:w="5807" w:type="dxa"/>
            <w:tcBorders>
              <w:top w:val="single" w:sz="4" w:space="0" w:color="auto"/>
              <w:left w:val="single" w:sz="4" w:space="0" w:color="auto"/>
              <w:bottom w:val="single" w:sz="4" w:space="0" w:color="auto"/>
              <w:right w:val="single" w:sz="4" w:space="0" w:color="auto"/>
            </w:tcBorders>
            <w:noWrap/>
            <w:hideMark/>
          </w:tcPr>
          <w:p w14:paraId="56AF9E10" w14:textId="77777777" w:rsidR="006B7007" w:rsidRPr="0086360F" w:rsidRDefault="006B7007" w:rsidP="008C1C14">
            <w:pPr>
              <w:spacing w:after="0" w:line="240" w:lineRule="auto"/>
              <w:jc w:val="both"/>
              <w:rPr>
                <w:rFonts w:ascii="Arial" w:eastAsia="Times New Roman" w:hAnsi="Arial" w:cs="Arial"/>
                <w:b/>
                <w:color w:val="000000"/>
                <w:sz w:val="28"/>
                <w:szCs w:val="28"/>
                <w:lang w:eastAsia="en-GB"/>
              </w:rPr>
            </w:pPr>
            <w:r w:rsidRPr="0086360F">
              <w:rPr>
                <w:rFonts w:ascii="Arial" w:eastAsia="Times New Roman" w:hAnsi="Arial" w:cs="Arial"/>
                <w:b/>
                <w:color w:val="000000"/>
                <w:sz w:val="28"/>
                <w:szCs w:val="28"/>
                <w:lang w:eastAsia="en-GB"/>
              </w:rPr>
              <w:t>Hazard</w:t>
            </w:r>
          </w:p>
        </w:tc>
        <w:tc>
          <w:tcPr>
            <w:tcW w:w="3123" w:type="dxa"/>
            <w:tcBorders>
              <w:top w:val="single" w:sz="4" w:space="0" w:color="auto"/>
              <w:left w:val="nil"/>
              <w:bottom w:val="single" w:sz="4" w:space="0" w:color="auto"/>
              <w:right w:val="single" w:sz="4" w:space="0" w:color="auto"/>
            </w:tcBorders>
            <w:vAlign w:val="bottom"/>
            <w:hideMark/>
          </w:tcPr>
          <w:p w14:paraId="2A4FB709" w14:textId="77777777" w:rsidR="006B7007" w:rsidRPr="0086360F" w:rsidRDefault="006B7007" w:rsidP="008C1C14">
            <w:pPr>
              <w:spacing w:after="0" w:line="240" w:lineRule="auto"/>
              <w:jc w:val="both"/>
              <w:rPr>
                <w:rFonts w:ascii="Arial" w:eastAsia="Times New Roman" w:hAnsi="Arial" w:cs="Arial"/>
                <w:b/>
                <w:color w:val="000000"/>
                <w:sz w:val="28"/>
                <w:szCs w:val="28"/>
                <w:lang w:eastAsia="en-GB"/>
              </w:rPr>
            </w:pPr>
            <w:r w:rsidRPr="0086360F">
              <w:rPr>
                <w:rFonts w:ascii="Arial" w:eastAsia="Times New Roman" w:hAnsi="Arial" w:cs="Arial"/>
                <w:b/>
                <w:color w:val="000000"/>
                <w:sz w:val="28"/>
                <w:szCs w:val="28"/>
                <w:lang w:eastAsia="en-GB"/>
              </w:rPr>
              <w:t>Vulnerable age group (age of occupant)</w:t>
            </w:r>
          </w:p>
        </w:tc>
      </w:tr>
      <w:tr w:rsidR="006B7007" w:rsidRPr="0086360F" w14:paraId="6923EAA4"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2612DEA1"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Damp and mould growth</w:t>
            </w:r>
          </w:p>
        </w:tc>
        <w:tc>
          <w:tcPr>
            <w:tcW w:w="3123" w:type="dxa"/>
            <w:tcBorders>
              <w:top w:val="single" w:sz="4" w:space="0" w:color="auto"/>
              <w:left w:val="nil"/>
              <w:bottom w:val="single" w:sz="4" w:space="0" w:color="auto"/>
              <w:right w:val="single" w:sz="4" w:space="0" w:color="auto"/>
            </w:tcBorders>
            <w:noWrap/>
            <w:vAlign w:val="bottom"/>
            <w:hideMark/>
          </w:tcPr>
          <w:p w14:paraId="3CF39EE7"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14 and under</w:t>
            </w:r>
          </w:p>
        </w:tc>
      </w:tr>
      <w:tr w:rsidR="006B7007" w:rsidRPr="0086360F" w14:paraId="7F4C0343"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21ED96E8"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Excess Cold</w:t>
            </w:r>
          </w:p>
        </w:tc>
        <w:tc>
          <w:tcPr>
            <w:tcW w:w="3123" w:type="dxa"/>
            <w:tcBorders>
              <w:top w:val="single" w:sz="4" w:space="0" w:color="auto"/>
              <w:left w:val="nil"/>
              <w:bottom w:val="single" w:sz="4" w:space="0" w:color="auto"/>
              <w:right w:val="single" w:sz="4" w:space="0" w:color="auto"/>
            </w:tcBorders>
            <w:noWrap/>
            <w:vAlign w:val="bottom"/>
            <w:hideMark/>
          </w:tcPr>
          <w:p w14:paraId="32C30964"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65 or over</w:t>
            </w:r>
          </w:p>
        </w:tc>
      </w:tr>
      <w:tr w:rsidR="006B7007" w:rsidRPr="0086360F" w14:paraId="143F4AA2"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22261B8D"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Excess Heat</w:t>
            </w:r>
          </w:p>
        </w:tc>
        <w:tc>
          <w:tcPr>
            <w:tcW w:w="3123" w:type="dxa"/>
            <w:tcBorders>
              <w:top w:val="single" w:sz="4" w:space="0" w:color="auto"/>
              <w:left w:val="nil"/>
              <w:bottom w:val="single" w:sz="4" w:space="0" w:color="auto"/>
              <w:right w:val="single" w:sz="4" w:space="0" w:color="auto"/>
            </w:tcBorders>
            <w:noWrap/>
            <w:vAlign w:val="bottom"/>
            <w:hideMark/>
          </w:tcPr>
          <w:p w14:paraId="2AFBAD97"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65 or over</w:t>
            </w:r>
          </w:p>
        </w:tc>
      </w:tr>
      <w:tr w:rsidR="006B7007" w:rsidRPr="0086360F" w14:paraId="7971058A"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5B1ED4FC"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 xml:space="preserve">Carbon Monoxide </w:t>
            </w:r>
          </w:p>
        </w:tc>
        <w:tc>
          <w:tcPr>
            <w:tcW w:w="3123" w:type="dxa"/>
            <w:tcBorders>
              <w:top w:val="single" w:sz="4" w:space="0" w:color="auto"/>
              <w:left w:val="nil"/>
              <w:bottom w:val="single" w:sz="4" w:space="0" w:color="auto"/>
              <w:right w:val="single" w:sz="4" w:space="0" w:color="auto"/>
            </w:tcBorders>
            <w:noWrap/>
            <w:vAlign w:val="bottom"/>
            <w:hideMark/>
          </w:tcPr>
          <w:p w14:paraId="48DDA0DC"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65 or over</w:t>
            </w:r>
          </w:p>
        </w:tc>
      </w:tr>
      <w:tr w:rsidR="006B7007" w:rsidRPr="0086360F" w14:paraId="40B3C1C1"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7FEE755E"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Lead</w:t>
            </w:r>
          </w:p>
        </w:tc>
        <w:tc>
          <w:tcPr>
            <w:tcW w:w="3123" w:type="dxa"/>
            <w:tcBorders>
              <w:top w:val="single" w:sz="4" w:space="0" w:color="auto"/>
              <w:left w:val="nil"/>
              <w:bottom w:val="single" w:sz="4" w:space="0" w:color="auto"/>
              <w:right w:val="single" w:sz="4" w:space="0" w:color="auto"/>
            </w:tcBorders>
            <w:noWrap/>
            <w:vAlign w:val="bottom"/>
            <w:hideMark/>
          </w:tcPr>
          <w:p w14:paraId="7A198943"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under 3 years</w:t>
            </w:r>
          </w:p>
        </w:tc>
      </w:tr>
      <w:tr w:rsidR="006B7007" w:rsidRPr="0086360F" w14:paraId="36D2A5E6"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4B1CF10A"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Personal Hygiene, Sanitation and Drainage</w:t>
            </w:r>
          </w:p>
        </w:tc>
        <w:tc>
          <w:tcPr>
            <w:tcW w:w="3123" w:type="dxa"/>
            <w:tcBorders>
              <w:top w:val="single" w:sz="4" w:space="0" w:color="auto"/>
              <w:left w:val="nil"/>
              <w:bottom w:val="single" w:sz="4" w:space="0" w:color="auto"/>
              <w:right w:val="single" w:sz="4" w:space="0" w:color="auto"/>
            </w:tcBorders>
            <w:noWrap/>
            <w:vAlign w:val="bottom"/>
            <w:hideMark/>
          </w:tcPr>
          <w:p w14:paraId="3057E400"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under 5 years</w:t>
            </w:r>
          </w:p>
        </w:tc>
      </w:tr>
      <w:tr w:rsidR="006B7007" w:rsidRPr="0086360F" w14:paraId="7EB6634D"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4A33307C"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Falls associated with baths etc.</w:t>
            </w:r>
          </w:p>
        </w:tc>
        <w:tc>
          <w:tcPr>
            <w:tcW w:w="3123" w:type="dxa"/>
            <w:tcBorders>
              <w:top w:val="single" w:sz="4" w:space="0" w:color="auto"/>
              <w:left w:val="nil"/>
              <w:bottom w:val="single" w:sz="4" w:space="0" w:color="auto"/>
              <w:right w:val="single" w:sz="4" w:space="0" w:color="auto"/>
            </w:tcBorders>
            <w:noWrap/>
            <w:vAlign w:val="bottom"/>
            <w:hideMark/>
          </w:tcPr>
          <w:p w14:paraId="28D7ED46"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60 or over</w:t>
            </w:r>
          </w:p>
        </w:tc>
      </w:tr>
      <w:tr w:rsidR="006B7007" w:rsidRPr="0086360F" w14:paraId="61C301BD"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360C8F1D"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Falling on level surfaces etc.</w:t>
            </w:r>
          </w:p>
        </w:tc>
        <w:tc>
          <w:tcPr>
            <w:tcW w:w="3123" w:type="dxa"/>
            <w:tcBorders>
              <w:top w:val="single" w:sz="4" w:space="0" w:color="auto"/>
              <w:left w:val="nil"/>
              <w:bottom w:val="single" w:sz="4" w:space="0" w:color="auto"/>
              <w:right w:val="single" w:sz="4" w:space="0" w:color="auto"/>
            </w:tcBorders>
            <w:noWrap/>
            <w:vAlign w:val="bottom"/>
            <w:hideMark/>
          </w:tcPr>
          <w:p w14:paraId="1ADB150B"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60 or over</w:t>
            </w:r>
          </w:p>
        </w:tc>
      </w:tr>
      <w:tr w:rsidR="006B7007" w:rsidRPr="0086360F" w14:paraId="70500BA1"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11269916"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Falling on stairs etc.</w:t>
            </w:r>
          </w:p>
        </w:tc>
        <w:tc>
          <w:tcPr>
            <w:tcW w:w="3123" w:type="dxa"/>
            <w:tcBorders>
              <w:top w:val="single" w:sz="4" w:space="0" w:color="auto"/>
              <w:left w:val="nil"/>
              <w:bottom w:val="single" w:sz="4" w:space="0" w:color="auto"/>
              <w:right w:val="single" w:sz="4" w:space="0" w:color="auto"/>
            </w:tcBorders>
            <w:noWrap/>
            <w:vAlign w:val="bottom"/>
            <w:hideMark/>
          </w:tcPr>
          <w:p w14:paraId="10CBAA46"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60 or over</w:t>
            </w:r>
          </w:p>
        </w:tc>
      </w:tr>
      <w:tr w:rsidR="006B7007" w:rsidRPr="0086360F" w14:paraId="53199D0B"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49DB1546"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falling between levels</w:t>
            </w:r>
          </w:p>
        </w:tc>
        <w:tc>
          <w:tcPr>
            <w:tcW w:w="3123" w:type="dxa"/>
            <w:tcBorders>
              <w:top w:val="single" w:sz="4" w:space="0" w:color="auto"/>
              <w:left w:val="nil"/>
              <w:bottom w:val="single" w:sz="4" w:space="0" w:color="auto"/>
              <w:right w:val="single" w:sz="4" w:space="0" w:color="auto"/>
            </w:tcBorders>
            <w:noWrap/>
            <w:vAlign w:val="bottom"/>
            <w:hideMark/>
          </w:tcPr>
          <w:p w14:paraId="74CC0CF2"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under 5 years</w:t>
            </w:r>
          </w:p>
        </w:tc>
      </w:tr>
      <w:tr w:rsidR="006B7007" w:rsidRPr="0086360F" w14:paraId="30D2C7A8"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18AA9606"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Electrical hazards</w:t>
            </w:r>
          </w:p>
        </w:tc>
        <w:tc>
          <w:tcPr>
            <w:tcW w:w="3123" w:type="dxa"/>
            <w:tcBorders>
              <w:top w:val="single" w:sz="4" w:space="0" w:color="auto"/>
              <w:left w:val="nil"/>
              <w:bottom w:val="single" w:sz="4" w:space="0" w:color="auto"/>
              <w:right w:val="single" w:sz="4" w:space="0" w:color="auto"/>
            </w:tcBorders>
            <w:noWrap/>
            <w:vAlign w:val="bottom"/>
            <w:hideMark/>
          </w:tcPr>
          <w:p w14:paraId="634A34A7"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under 5 years</w:t>
            </w:r>
          </w:p>
        </w:tc>
      </w:tr>
      <w:tr w:rsidR="006B7007" w:rsidRPr="0086360F" w14:paraId="0D7BCAA9"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21423B78"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Fire</w:t>
            </w:r>
          </w:p>
        </w:tc>
        <w:tc>
          <w:tcPr>
            <w:tcW w:w="3123" w:type="dxa"/>
            <w:tcBorders>
              <w:top w:val="single" w:sz="4" w:space="0" w:color="auto"/>
              <w:left w:val="nil"/>
              <w:bottom w:val="single" w:sz="4" w:space="0" w:color="auto"/>
              <w:right w:val="single" w:sz="4" w:space="0" w:color="auto"/>
            </w:tcBorders>
            <w:noWrap/>
            <w:vAlign w:val="bottom"/>
            <w:hideMark/>
          </w:tcPr>
          <w:p w14:paraId="04F0305B"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60 or over</w:t>
            </w:r>
          </w:p>
        </w:tc>
      </w:tr>
      <w:tr w:rsidR="006B7007" w:rsidRPr="0086360F" w14:paraId="11035F6E"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611A6054"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Flames, hot surfaces etc.</w:t>
            </w:r>
          </w:p>
        </w:tc>
        <w:tc>
          <w:tcPr>
            <w:tcW w:w="3123" w:type="dxa"/>
            <w:tcBorders>
              <w:top w:val="single" w:sz="4" w:space="0" w:color="auto"/>
              <w:left w:val="nil"/>
              <w:bottom w:val="single" w:sz="4" w:space="0" w:color="auto"/>
              <w:right w:val="single" w:sz="4" w:space="0" w:color="auto"/>
            </w:tcBorders>
            <w:noWrap/>
            <w:vAlign w:val="bottom"/>
            <w:hideMark/>
          </w:tcPr>
          <w:p w14:paraId="4BEE536D"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under 5 years</w:t>
            </w:r>
          </w:p>
        </w:tc>
      </w:tr>
      <w:tr w:rsidR="006B7007" w:rsidRPr="0086360F" w14:paraId="50DB041E"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4970C8D7"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Collision and entrapment</w:t>
            </w:r>
          </w:p>
        </w:tc>
        <w:tc>
          <w:tcPr>
            <w:tcW w:w="3123" w:type="dxa"/>
            <w:tcBorders>
              <w:top w:val="single" w:sz="4" w:space="0" w:color="auto"/>
              <w:left w:val="nil"/>
              <w:bottom w:val="single" w:sz="4" w:space="0" w:color="auto"/>
              <w:right w:val="single" w:sz="4" w:space="0" w:color="auto"/>
            </w:tcBorders>
            <w:noWrap/>
            <w:vAlign w:val="bottom"/>
            <w:hideMark/>
          </w:tcPr>
          <w:p w14:paraId="06D5BDB2"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under 5 years</w:t>
            </w:r>
          </w:p>
        </w:tc>
      </w:tr>
      <w:tr w:rsidR="006B7007" w:rsidRPr="0086360F" w14:paraId="654B8BDE"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7D39E469"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Collision and entrapment - low headroom</w:t>
            </w:r>
          </w:p>
        </w:tc>
        <w:tc>
          <w:tcPr>
            <w:tcW w:w="3123" w:type="dxa"/>
            <w:tcBorders>
              <w:top w:val="single" w:sz="4" w:space="0" w:color="auto"/>
              <w:left w:val="nil"/>
              <w:bottom w:val="single" w:sz="4" w:space="0" w:color="auto"/>
              <w:right w:val="single" w:sz="4" w:space="0" w:color="auto"/>
            </w:tcBorders>
            <w:noWrap/>
            <w:vAlign w:val="bottom"/>
            <w:hideMark/>
          </w:tcPr>
          <w:p w14:paraId="30FC9777"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16 or over</w:t>
            </w:r>
          </w:p>
        </w:tc>
      </w:tr>
      <w:tr w:rsidR="006B7007" w:rsidRPr="0086360F" w14:paraId="488282D1" w14:textId="77777777" w:rsidTr="008C1C14">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bottom"/>
            <w:hideMark/>
          </w:tcPr>
          <w:p w14:paraId="1E41A31C" w14:textId="77777777" w:rsidR="006B7007" w:rsidRPr="0086360F" w:rsidRDefault="006B7007" w:rsidP="008C1C14">
            <w:p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Position and operability of amenities etc.</w:t>
            </w:r>
          </w:p>
        </w:tc>
        <w:tc>
          <w:tcPr>
            <w:tcW w:w="3123" w:type="dxa"/>
            <w:tcBorders>
              <w:top w:val="single" w:sz="4" w:space="0" w:color="auto"/>
              <w:left w:val="nil"/>
              <w:bottom w:val="single" w:sz="4" w:space="0" w:color="auto"/>
              <w:right w:val="single" w:sz="4" w:space="0" w:color="auto"/>
            </w:tcBorders>
            <w:noWrap/>
            <w:vAlign w:val="bottom"/>
            <w:hideMark/>
          </w:tcPr>
          <w:p w14:paraId="571B2C62" w14:textId="77777777" w:rsidR="006B7007" w:rsidRPr="0086360F" w:rsidRDefault="006B7007" w:rsidP="009D7A7A">
            <w:pPr>
              <w:pStyle w:val="ListParagraph"/>
              <w:numPr>
                <w:ilvl w:val="0"/>
                <w:numId w:val="7"/>
              </w:numPr>
              <w:spacing w:after="0" w:line="240" w:lineRule="auto"/>
              <w:jc w:val="both"/>
              <w:rPr>
                <w:rFonts w:ascii="Arial" w:eastAsia="Times New Roman" w:hAnsi="Arial" w:cs="Arial"/>
                <w:bCs/>
                <w:color w:val="000000"/>
                <w:sz w:val="28"/>
                <w:szCs w:val="28"/>
                <w:lang w:eastAsia="en-GB"/>
              </w:rPr>
            </w:pPr>
            <w:r w:rsidRPr="0086360F">
              <w:rPr>
                <w:rFonts w:ascii="Arial" w:eastAsia="Times New Roman" w:hAnsi="Arial" w:cs="Arial"/>
                <w:color w:val="000000"/>
                <w:sz w:val="28"/>
                <w:szCs w:val="28"/>
                <w:lang w:eastAsia="en-GB"/>
              </w:rPr>
              <w:t>r over</w:t>
            </w:r>
          </w:p>
        </w:tc>
      </w:tr>
    </w:tbl>
    <w:p w14:paraId="5ED973B9" w14:textId="77777777" w:rsidR="006B7007" w:rsidRPr="0086360F" w:rsidRDefault="006B7007" w:rsidP="009B39CF">
      <w:pPr>
        <w:ind w:left="502"/>
        <w:contextualSpacing/>
        <w:rPr>
          <w:rFonts w:ascii="Arial" w:eastAsia="Aptos" w:hAnsi="Arial" w:cs="Arial"/>
          <w:kern w:val="2"/>
          <w:sz w:val="28"/>
          <w:szCs w:val="28"/>
          <w14:ligatures w14:val="standardContextual"/>
        </w:rPr>
      </w:pPr>
    </w:p>
    <w:p w14:paraId="7559056B" w14:textId="77777777" w:rsidR="003A1AF0" w:rsidRPr="0086360F" w:rsidRDefault="003A1AF0" w:rsidP="003A1AF0">
      <w:pPr>
        <w:ind w:left="720"/>
        <w:contextualSpacing/>
        <w:rPr>
          <w:rFonts w:ascii="Arial" w:eastAsia="Aptos" w:hAnsi="Arial" w:cs="Arial"/>
          <w:kern w:val="2"/>
          <w:sz w:val="28"/>
          <w:szCs w:val="28"/>
          <w14:ligatures w14:val="standardContextual"/>
        </w:rPr>
      </w:pPr>
    </w:p>
    <w:p w14:paraId="7331CE88" w14:textId="77777777" w:rsidR="003A1AF0" w:rsidRPr="0086360F" w:rsidRDefault="003A1AF0" w:rsidP="009B39CF">
      <w:pPr>
        <w:numPr>
          <w:ilvl w:val="1"/>
          <w:numId w:val="1"/>
        </w:numPr>
        <w:ind w:hanging="644"/>
        <w:contextualSpacing/>
        <w:rPr>
          <w:rFonts w:ascii="Arial" w:eastAsia="Aptos" w:hAnsi="Arial" w:cs="Arial"/>
          <w:b/>
          <w:bCs/>
          <w:kern w:val="2"/>
          <w:sz w:val="28"/>
          <w:szCs w:val="28"/>
          <w14:ligatures w14:val="standardContextual"/>
        </w:rPr>
      </w:pPr>
      <w:r w:rsidRPr="0086360F">
        <w:rPr>
          <w:rFonts w:ascii="Arial" w:eastAsia="Aptos" w:hAnsi="Arial" w:cs="Arial"/>
          <w:b/>
          <w:bCs/>
          <w:kern w:val="2"/>
          <w:sz w:val="28"/>
          <w:szCs w:val="28"/>
          <w14:ligatures w14:val="standardContextual"/>
        </w:rPr>
        <w:t>Appeals</w:t>
      </w:r>
    </w:p>
    <w:p w14:paraId="52CCF993" w14:textId="77777777" w:rsidR="003A1AF0" w:rsidRPr="0086360F" w:rsidRDefault="003A1AF0" w:rsidP="009B39CF">
      <w:pPr>
        <w:ind w:left="502"/>
        <w:contextualSpacing/>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Recipients of a civil financial penalty have a statutory right of appeal to the appropriate tribunal. Information about appeal rights is clearly set out in the Final Notice. The council ensures that appeal routes are transparent and that decision</w:t>
      </w:r>
      <w:r w:rsidRPr="0086360F">
        <w:rPr>
          <w:rFonts w:ascii="Arial" w:eastAsia="Aptos" w:hAnsi="Arial" w:cs="Arial"/>
          <w:kern w:val="2"/>
          <w:sz w:val="28"/>
          <w:szCs w:val="28"/>
          <w14:ligatures w14:val="standardContextual"/>
        </w:rPr>
        <w:noBreakHyphen/>
        <w:t>making is fully evidenced and recorded.</w:t>
      </w:r>
    </w:p>
    <w:p w14:paraId="5BE7262B" w14:textId="77777777" w:rsidR="006B7007" w:rsidRPr="0086360F" w:rsidRDefault="006B7007" w:rsidP="009B39CF">
      <w:pPr>
        <w:ind w:left="502"/>
        <w:contextualSpacing/>
        <w:rPr>
          <w:rFonts w:ascii="Arial" w:eastAsia="Aptos" w:hAnsi="Arial" w:cs="Arial"/>
          <w:kern w:val="2"/>
          <w:sz w:val="28"/>
          <w:szCs w:val="28"/>
          <w14:ligatures w14:val="standardContextual"/>
        </w:rPr>
      </w:pPr>
    </w:p>
    <w:p w14:paraId="07006CDE" w14:textId="35DB1E00" w:rsidR="00A91775" w:rsidRPr="0086360F" w:rsidRDefault="00A91775" w:rsidP="00A91775">
      <w:pPr>
        <w:keepNext/>
        <w:keepLines/>
        <w:numPr>
          <w:ilvl w:val="0"/>
          <w:numId w:val="1"/>
        </w:numPr>
        <w:spacing w:after="0"/>
        <w:outlineLvl w:val="0"/>
        <w:rPr>
          <w:rFonts w:ascii="Arial" w:eastAsia="Times New Roman" w:hAnsi="Arial" w:cs="Arial"/>
          <w:b/>
          <w:bCs/>
          <w:color w:val="1F4E79" w:themeColor="accent5" w:themeShade="80"/>
          <w:kern w:val="2"/>
          <w:sz w:val="28"/>
          <w:szCs w:val="28"/>
          <w14:ligatures w14:val="standardContextual"/>
        </w:rPr>
      </w:pPr>
      <w:bookmarkStart w:id="12" w:name="_Toc228453357"/>
      <w:r w:rsidRPr="0086360F">
        <w:rPr>
          <w:rFonts w:ascii="Arial" w:eastAsia="Times New Roman" w:hAnsi="Arial" w:cs="Arial"/>
          <w:b/>
          <w:bCs/>
          <w:color w:val="1F4E79" w:themeColor="accent5" w:themeShade="80"/>
          <w:kern w:val="2"/>
          <w:sz w:val="28"/>
          <w:szCs w:val="28"/>
          <w14:ligatures w14:val="standardContextual"/>
        </w:rPr>
        <w:t>Development of Policy</w:t>
      </w:r>
      <w:bookmarkEnd w:id="12"/>
    </w:p>
    <w:p w14:paraId="311550DF" w14:textId="77777777" w:rsidR="0045700D" w:rsidRPr="0086360F" w:rsidRDefault="0045700D" w:rsidP="0045700D">
      <w:pPr>
        <w:pStyle w:val="ListParagraph"/>
        <w:ind w:left="567"/>
        <w:rPr>
          <w:rFonts w:ascii="Arial" w:hAnsi="Arial" w:cs="Arial"/>
          <w:sz w:val="28"/>
          <w:szCs w:val="28"/>
        </w:rPr>
      </w:pPr>
    </w:p>
    <w:p w14:paraId="3E98E887" w14:textId="48C982E9" w:rsidR="00D75347" w:rsidRPr="0086360F" w:rsidRDefault="00D75347" w:rsidP="00A91775">
      <w:pPr>
        <w:pStyle w:val="ListParagraph"/>
        <w:numPr>
          <w:ilvl w:val="1"/>
          <w:numId w:val="1"/>
        </w:numPr>
        <w:rPr>
          <w:rFonts w:ascii="Arial" w:hAnsi="Arial" w:cs="Arial"/>
          <w:sz w:val="28"/>
          <w:szCs w:val="28"/>
        </w:rPr>
      </w:pPr>
      <w:r w:rsidRPr="0086360F">
        <w:rPr>
          <w:rFonts w:ascii="Arial" w:hAnsi="Arial" w:cs="Arial"/>
          <w:sz w:val="28"/>
          <w:szCs w:val="28"/>
        </w:rPr>
        <w:lastRenderedPageBreak/>
        <w:t>This policy has been developed by the Private Rented Sector and Housing Standards Service to support the implementation of new statutory enforcement powers introduced through recent housing legislation, including the Renters’ Rights Act.</w:t>
      </w:r>
    </w:p>
    <w:p w14:paraId="352B6374" w14:textId="77777777" w:rsidR="00D75347" w:rsidRPr="0086360F" w:rsidRDefault="00D75347" w:rsidP="00D75347">
      <w:pPr>
        <w:pStyle w:val="ListParagraph"/>
        <w:ind w:left="567"/>
        <w:rPr>
          <w:rFonts w:ascii="Arial" w:hAnsi="Arial" w:cs="Arial"/>
          <w:sz w:val="28"/>
          <w:szCs w:val="28"/>
        </w:rPr>
      </w:pPr>
    </w:p>
    <w:p w14:paraId="0B1D6581" w14:textId="6539BDCA" w:rsidR="00D75347" w:rsidRPr="0086360F" w:rsidRDefault="00D75347" w:rsidP="00A91775">
      <w:pPr>
        <w:pStyle w:val="ListParagraph"/>
        <w:numPr>
          <w:ilvl w:val="1"/>
          <w:numId w:val="1"/>
        </w:numPr>
        <w:ind w:left="567" w:hanging="567"/>
        <w:rPr>
          <w:rFonts w:ascii="Arial" w:hAnsi="Arial" w:cs="Arial"/>
          <w:sz w:val="28"/>
          <w:szCs w:val="28"/>
        </w:rPr>
      </w:pPr>
      <w:r w:rsidRPr="0086360F">
        <w:rPr>
          <w:rFonts w:ascii="Arial" w:hAnsi="Arial" w:cs="Arial"/>
          <w:sz w:val="28"/>
          <w:szCs w:val="28"/>
        </w:rPr>
        <w:t>Those involved in the development of this policy include officers and managers responsible for housing enforcement, regulatory decision</w:t>
      </w:r>
      <w:r w:rsidRPr="0086360F">
        <w:rPr>
          <w:rFonts w:ascii="Arial" w:hAnsi="Arial" w:cs="Arial"/>
          <w:sz w:val="28"/>
          <w:szCs w:val="28"/>
        </w:rPr>
        <w:noBreakHyphen/>
        <w:t xml:space="preserve">making and governance. The policy reflects statutory guidance, operational requirements and established enforcement principles to ensure </w:t>
      </w:r>
      <w:r w:rsidR="00CA4080" w:rsidRPr="0086360F">
        <w:rPr>
          <w:rFonts w:ascii="Arial" w:hAnsi="Arial" w:cs="Arial"/>
          <w:sz w:val="28"/>
          <w:szCs w:val="28"/>
        </w:rPr>
        <w:t>the council</w:t>
      </w:r>
      <w:r w:rsidRPr="0086360F">
        <w:rPr>
          <w:rFonts w:ascii="Arial" w:hAnsi="Arial" w:cs="Arial"/>
          <w:sz w:val="28"/>
          <w:szCs w:val="28"/>
        </w:rPr>
        <w:t xml:space="preserve"> is able to lawfully, consistently and effectively discharge its enforcement duties.</w:t>
      </w:r>
    </w:p>
    <w:p w14:paraId="14AA7BB3" w14:textId="77777777" w:rsidR="00D75347" w:rsidRPr="0086360F" w:rsidRDefault="00D75347" w:rsidP="00D75347">
      <w:pPr>
        <w:pStyle w:val="ListParagraph"/>
        <w:ind w:left="567"/>
        <w:rPr>
          <w:rFonts w:ascii="Arial" w:hAnsi="Arial" w:cs="Arial"/>
          <w:sz w:val="28"/>
          <w:szCs w:val="28"/>
        </w:rPr>
      </w:pPr>
    </w:p>
    <w:p w14:paraId="5EBD4E62" w14:textId="4BF5E9D7" w:rsidR="00D75347" w:rsidRPr="0086360F" w:rsidRDefault="00D75347" w:rsidP="00A91775">
      <w:pPr>
        <w:pStyle w:val="ListParagraph"/>
        <w:numPr>
          <w:ilvl w:val="1"/>
          <w:numId w:val="1"/>
        </w:numPr>
        <w:ind w:left="567" w:hanging="567"/>
        <w:rPr>
          <w:rFonts w:ascii="Arial" w:hAnsi="Arial" w:cs="Arial"/>
          <w:sz w:val="28"/>
          <w:szCs w:val="28"/>
        </w:rPr>
      </w:pPr>
      <w:r w:rsidRPr="0086360F">
        <w:rPr>
          <w:rFonts w:ascii="Arial" w:hAnsi="Arial" w:cs="Arial"/>
          <w:sz w:val="28"/>
          <w:szCs w:val="28"/>
        </w:rPr>
        <w:t xml:space="preserve">The policy does not create new powers. Instead, it sets out </w:t>
      </w:r>
      <w:r w:rsidR="00CA4080" w:rsidRPr="0086360F">
        <w:rPr>
          <w:rFonts w:ascii="Arial" w:hAnsi="Arial" w:cs="Arial"/>
          <w:sz w:val="28"/>
          <w:szCs w:val="28"/>
        </w:rPr>
        <w:t>the council</w:t>
      </w:r>
      <w:r w:rsidRPr="0086360F">
        <w:rPr>
          <w:rFonts w:ascii="Arial" w:hAnsi="Arial" w:cs="Arial"/>
          <w:sz w:val="28"/>
          <w:szCs w:val="28"/>
        </w:rPr>
        <w:t xml:space="preserve">’s approach to exercising statutory enforcement powers that Parliament has introduced and which </w:t>
      </w:r>
      <w:r w:rsidR="00CA4080" w:rsidRPr="0086360F">
        <w:rPr>
          <w:rFonts w:ascii="Arial" w:hAnsi="Arial" w:cs="Arial"/>
          <w:sz w:val="28"/>
          <w:szCs w:val="28"/>
        </w:rPr>
        <w:t>the council</w:t>
      </w:r>
      <w:r w:rsidRPr="0086360F">
        <w:rPr>
          <w:rFonts w:ascii="Arial" w:hAnsi="Arial" w:cs="Arial"/>
          <w:sz w:val="28"/>
          <w:szCs w:val="28"/>
        </w:rPr>
        <w:t xml:space="preserve"> is required to implement.</w:t>
      </w:r>
    </w:p>
    <w:p w14:paraId="22E6E60C" w14:textId="77777777" w:rsidR="00D75347" w:rsidRPr="0086360F" w:rsidRDefault="00D75347" w:rsidP="00D75347">
      <w:pPr>
        <w:pStyle w:val="ListParagraph"/>
        <w:rPr>
          <w:rFonts w:ascii="Arial" w:hAnsi="Arial" w:cs="Arial"/>
          <w:sz w:val="28"/>
          <w:szCs w:val="28"/>
        </w:rPr>
      </w:pPr>
    </w:p>
    <w:p w14:paraId="3EEB1D36" w14:textId="18C6B1EB" w:rsidR="00D75347" w:rsidRPr="0086360F" w:rsidRDefault="00D75347" w:rsidP="00A91775">
      <w:pPr>
        <w:pStyle w:val="ListParagraph"/>
        <w:numPr>
          <w:ilvl w:val="1"/>
          <w:numId w:val="1"/>
        </w:numPr>
        <w:ind w:left="567" w:hanging="567"/>
        <w:rPr>
          <w:rFonts w:ascii="Arial" w:hAnsi="Arial" w:cs="Arial"/>
          <w:sz w:val="28"/>
          <w:szCs w:val="28"/>
        </w:rPr>
      </w:pPr>
      <w:r w:rsidRPr="0086360F">
        <w:rPr>
          <w:rFonts w:ascii="Arial" w:hAnsi="Arial" w:cs="Arial"/>
          <w:sz w:val="28"/>
          <w:szCs w:val="28"/>
        </w:rPr>
        <w:t xml:space="preserve">This policy has not been subject to public consultation. The Renters’ Rights Act introduces new enforcement powers and, in certain areas, places a statutory duty on local authorities to enforce compliance. </w:t>
      </w:r>
      <w:r w:rsidR="00CA4080" w:rsidRPr="0086360F">
        <w:rPr>
          <w:rFonts w:ascii="Arial" w:hAnsi="Arial" w:cs="Arial"/>
          <w:sz w:val="28"/>
          <w:szCs w:val="28"/>
        </w:rPr>
        <w:t>The council</w:t>
      </w:r>
      <w:r w:rsidRPr="0086360F">
        <w:rPr>
          <w:rFonts w:ascii="Arial" w:hAnsi="Arial" w:cs="Arial"/>
          <w:sz w:val="28"/>
          <w:szCs w:val="28"/>
        </w:rPr>
        <w:t xml:space="preserve"> does not have discretion over whether these powers exist or whether enforcement is required.</w:t>
      </w:r>
    </w:p>
    <w:p w14:paraId="67271A85" w14:textId="77777777" w:rsidR="00A91775" w:rsidRPr="0086360F" w:rsidRDefault="00A91775" w:rsidP="00A91775">
      <w:pPr>
        <w:pStyle w:val="ListParagraph"/>
        <w:rPr>
          <w:rFonts w:ascii="Arial" w:hAnsi="Arial" w:cs="Arial"/>
          <w:sz w:val="28"/>
          <w:szCs w:val="28"/>
        </w:rPr>
      </w:pPr>
    </w:p>
    <w:p w14:paraId="5CCC7848" w14:textId="31B0E4CA" w:rsidR="00D75347" w:rsidRPr="0086360F" w:rsidRDefault="00D75347" w:rsidP="00A91775">
      <w:pPr>
        <w:pStyle w:val="ListParagraph"/>
        <w:numPr>
          <w:ilvl w:val="1"/>
          <w:numId w:val="1"/>
        </w:numPr>
        <w:ind w:left="567" w:hanging="567"/>
        <w:rPr>
          <w:rFonts w:ascii="Arial" w:hAnsi="Arial" w:cs="Arial"/>
          <w:sz w:val="28"/>
          <w:szCs w:val="28"/>
        </w:rPr>
      </w:pPr>
      <w:r w:rsidRPr="0086360F">
        <w:rPr>
          <w:rFonts w:ascii="Arial" w:hAnsi="Arial" w:cs="Arial"/>
          <w:sz w:val="28"/>
          <w:szCs w:val="28"/>
        </w:rPr>
        <w:t xml:space="preserve">The purpose of this policy is therefore not to consult on the introduction of enforcement powers, but to provide clarity and transparency on how </w:t>
      </w:r>
      <w:r w:rsidR="00CA4080" w:rsidRPr="0086360F">
        <w:rPr>
          <w:rFonts w:ascii="Arial" w:hAnsi="Arial" w:cs="Arial"/>
          <w:sz w:val="28"/>
          <w:szCs w:val="28"/>
        </w:rPr>
        <w:t>the council</w:t>
      </w:r>
      <w:r w:rsidRPr="0086360F">
        <w:rPr>
          <w:rFonts w:ascii="Arial" w:hAnsi="Arial" w:cs="Arial"/>
          <w:sz w:val="28"/>
          <w:szCs w:val="28"/>
        </w:rPr>
        <w:t xml:space="preserve"> will apply those powers in practice, including how civil financial penalties will be calculated and governed.</w:t>
      </w:r>
    </w:p>
    <w:p w14:paraId="3626D383" w14:textId="77777777" w:rsidR="00D75347" w:rsidRPr="0086360F" w:rsidRDefault="00D75347" w:rsidP="00D75347">
      <w:pPr>
        <w:pStyle w:val="ListParagraph"/>
        <w:ind w:left="567"/>
        <w:rPr>
          <w:rFonts w:ascii="Arial" w:hAnsi="Arial" w:cs="Arial"/>
          <w:sz w:val="28"/>
          <w:szCs w:val="28"/>
        </w:rPr>
      </w:pPr>
    </w:p>
    <w:p w14:paraId="2B2F4FEE" w14:textId="286E9A6B" w:rsidR="00D75347" w:rsidRPr="0086360F" w:rsidRDefault="00D75347" w:rsidP="00A91775">
      <w:pPr>
        <w:pStyle w:val="ListParagraph"/>
        <w:numPr>
          <w:ilvl w:val="1"/>
          <w:numId w:val="1"/>
        </w:numPr>
        <w:ind w:left="567" w:hanging="567"/>
        <w:rPr>
          <w:rFonts w:ascii="Arial" w:hAnsi="Arial" w:cs="Arial"/>
          <w:sz w:val="28"/>
          <w:szCs w:val="28"/>
        </w:rPr>
      </w:pPr>
      <w:r w:rsidRPr="0086360F">
        <w:rPr>
          <w:rFonts w:ascii="Arial" w:hAnsi="Arial" w:cs="Arial"/>
          <w:sz w:val="28"/>
          <w:szCs w:val="28"/>
        </w:rPr>
        <w:t>Engagement with landlords, tenants and other stakeholders will continue through operational guidance, communications and day</w:t>
      </w:r>
      <w:r w:rsidRPr="0086360F">
        <w:rPr>
          <w:rFonts w:ascii="Arial" w:hAnsi="Arial" w:cs="Arial"/>
          <w:sz w:val="28"/>
          <w:szCs w:val="28"/>
        </w:rPr>
        <w:noBreakHyphen/>
        <w:t>to</w:t>
      </w:r>
      <w:r w:rsidRPr="0086360F">
        <w:rPr>
          <w:rFonts w:ascii="Arial" w:hAnsi="Arial" w:cs="Arial"/>
          <w:sz w:val="28"/>
          <w:szCs w:val="28"/>
        </w:rPr>
        <w:noBreakHyphen/>
        <w:t>day enforcement activity to support compliance and understanding of the new legal requirements.</w:t>
      </w:r>
    </w:p>
    <w:p w14:paraId="54E275FD" w14:textId="77777777" w:rsidR="00A91775" w:rsidRPr="0086360F" w:rsidRDefault="00A91775" w:rsidP="00A91775">
      <w:pPr>
        <w:pStyle w:val="ListParagraph"/>
        <w:rPr>
          <w:rFonts w:ascii="Arial" w:hAnsi="Arial" w:cs="Arial"/>
          <w:sz w:val="28"/>
          <w:szCs w:val="28"/>
        </w:rPr>
      </w:pPr>
    </w:p>
    <w:p w14:paraId="51479BF0" w14:textId="17A52677" w:rsidR="0045700D" w:rsidRPr="0086360F" w:rsidRDefault="00DC209E" w:rsidP="00A91775">
      <w:pPr>
        <w:keepNext/>
        <w:keepLines/>
        <w:numPr>
          <w:ilvl w:val="0"/>
          <w:numId w:val="1"/>
        </w:numPr>
        <w:spacing w:after="0"/>
        <w:outlineLvl w:val="0"/>
        <w:rPr>
          <w:rFonts w:ascii="Arial" w:eastAsiaTheme="majorEastAsia" w:hAnsi="Arial" w:cs="Arial"/>
          <w:b/>
          <w:bCs/>
          <w:color w:val="2F5496" w:themeColor="accent1" w:themeShade="BF"/>
          <w:sz w:val="28"/>
          <w:szCs w:val="28"/>
        </w:rPr>
      </w:pPr>
      <w:r w:rsidRPr="0086360F">
        <w:rPr>
          <w:rFonts w:ascii="Arial" w:eastAsiaTheme="majorEastAsia" w:hAnsi="Arial" w:cs="Arial"/>
          <w:b/>
          <w:bCs/>
          <w:color w:val="2F5496" w:themeColor="accent1" w:themeShade="BF"/>
          <w:sz w:val="28"/>
          <w:szCs w:val="28"/>
        </w:rPr>
        <w:t xml:space="preserve"> </w:t>
      </w:r>
      <w:bookmarkStart w:id="13" w:name="_Toc225521580"/>
      <w:bookmarkStart w:id="14" w:name="_Toc228453358"/>
      <w:r w:rsidR="0045700D" w:rsidRPr="0086360F">
        <w:rPr>
          <w:rFonts w:ascii="Arial" w:eastAsiaTheme="majorEastAsia" w:hAnsi="Arial" w:cs="Arial"/>
          <w:b/>
          <w:bCs/>
          <w:color w:val="2F5496" w:themeColor="accent1" w:themeShade="BF"/>
          <w:sz w:val="28"/>
          <w:szCs w:val="28"/>
        </w:rPr>
        <w:t>Related Documents</w:t>
      </w:r>
      <w:bookmarkEnd w:id="13"/>
      <w:bookmarkEnd w:id="14"/>
      <w:r w:rsidR="0045700D" w:rsidRPr="0086360F">
        <w:rPr>
          <w:rFonts w:ascii="Arial" w:eastAsiaTheme="majorEastAsia" w:hAnsi="Arial" w:cs="Arial"/>
          <w:b/>
          <w:bCs/>
          <w:color w:val="2F5496" w:themeColor="accent1" w:themeShade="BF"/>
          <w:sz w:val="28"/>
          <w:szCs w:val="28"/>
        </w:rPr>
        <w:t xml:space="preserve"> </w:t>
      </w:r>
    </w:p>
    <w:p w14:paraId="43361503" w14:textId="77777777" w:rsidR="0045700D" w:rsidRPr="0086360F" w:rsidRDefault="0045700D" w:rsidP="0045700D">
      <w:pPr>
        <w:keepNext/>
        <w:keepLines/>
        <w:spacing w:after="0"/>
        <w:outlineLvl w:val="0"/>
        <w:rPr>
          <w:rFonts w:ascii="Arial" w:eastAsiaTheme="majorEastAsia" w:hAnsi="Arial" w:cs="Arial"/>
          <w:b/>
          <w:bCs/>
          <w:color w:val="2F5496" w:themeColor="accent1" w:themeShade="BF"/>
          <w:sz w:val="28"/>
          <w:szCs w:val="28"/>
        </w:rPr>
      </w:pPr>
    </w:p>
    <w:p w14:paraId="40DA8239" w14:textId="231BE874" w:rsidR="0045700D" w:rsidRPr="0086360F" w:rsidRDefault="0045700D" w:rsidP="00640A1D">
      <w:pPr>
        <w:pStyle w:val="ListParagraph"/>
        <w:numPr>
          <w:ilvl w:val="1"/>
          <w:numId w:val="1"/>
        </w:numPr>
        <w:ind w:left="567" w:hanging="567"/>
        <w:rPr>
          <w:rFonts w:ascii="Arial" w:hAnsi="Arial" w:cs="Arial"/>
          <w:sz w:val="28"/>
          <w:szCs w:val="28"/>
        </w:rPr>
      </w:pPr>
      <w:r w:rsidRPr="0086360F">
        <w:rPr>
          <w:rFonts w:ascii="Arial" w:hAnsi="Arial" w:cs="Arial"/>
          <w:sz w:val="28"/>
          <w:szCs w:val="28"/>
        </w:rPr>
        <w:t xml:space="preserve">This </w:t>
      </w:r>
      <w:r w:rsidR="00DC209E" w:rsidRPr="0086360F">
        <w:rPr>
          <w:rFonts w:ascii="Arial" w:hAnsi="Arial" w:cs="Arial"/>
          <w:sz w:val="28"/>
          <w:szCs w:val="28"/>
        </w:rPr>
        <w:t xml:space="preserve">Enforcement Policy should be read in conjunction with the following documents, which together set out </w:t>
      </w:r>
      <w:r w:rsidR="00CA4080" w:rsidRPr="0086360F">
        <w:rPr>
          <w:rFonts w:ascii="Arial" w:hAnsi="Arial" w:cs="Arial"/>
          <w:sz w:val="28"/>
          <w:szCs w:val="28"/>
        </w:rPr>
        <w:t>the council</w:t>
      </w:r>
      <w:r w:rsidR="00DC209E" w:rsidRPr="0086360F">
        <w:rPr>
          <w:rFonts w:ascii="Arial" w:hAnsi="Arial" w:cs="Arial"/>
          <w:sz w:val="28"/>
          <w:szCs w:val="28"/>
        </w:rPr>
        <w:t xml:space="preserve">’s statutory </w:t>
      </w:r>
      <w:r w:rsidR="00DC209E" w:rsidRPr="0086360F">
        <w:rPr>
          <w:rFonts w:ascii="Arial" w:hAnsi="Arial" w:cs="Arial"/>
          <w:sz w:val="28"/>
          <w:szCs w:val="28"/>
        </w:rPr>
        <w:lastRenderedPageBreak/>
        <w:t>duties, regulatory framework and operational approach to housing enforcement</w:t>
      </w:r>
      <w:r w:rsidR="00640A1D" w:rsidRPr="0086360F">
        <w:rPr>
          <w:rFonts w:ascii="Arial" w:hAnsi="Arial" w:cs="Arial"/>
          <w:sz w:val="28"/>
          <w:szCs w:val="28"/>
        </w:rPr>
        <w:t>:</w:t>
      </w:r>
    </w:p>
    <w:p w14:paraId="3A0C92C8" w14:textId="49BAB249" w:rsidR="00DC209E" w:rsidRPr="0086360F" w:rsidRDefault="00DC209E" w:rsidP="009D7A7A">
      <w:pPr>
        <w:pStyle w:val="ListParagraph"/>
        <w:numPr>
          <w:ilvl w:val="0"/>
          <w:numId w:val="6"/>
        </w:numPr>
        <w:ind w:left="720"/>
        <w:rPr>
          <w:rFonts w:ascii="Arial" w:hAnsi="Arial" w:cs="Arial"/>
          <w:sz w:val="28"/>
          <w:szCs w:val="28"/>
        </w:rPr>
      </w:pPr>
      <w:r w:rsidRPr="0086360F">
        <w:rPr>
          <w:rFonts w:ascii="Arial" w:hAnsi="Arial" w:cs="Arial"/>
          <w:sz w:val="28"/>
          <w:szCs w:val="28"/>
        </w:rPr>
        <w:t>Private Rented Sector and Housing Standards Unit Plan</w:t>
      </w:r>
    </w:p>
    <w:p w14:paraId="0F662C2B" w14:textId="649A36CC" w:rsidR="00DC209E" w:rsidRPr="0086360F" w:rsidRDefault="00DC209E" w:rsidP="009D7A7A">
      <w:pPr>
        <w:pStyle w:val="ListParagraph"/>
        <w:numPr>
          <w:ilvl w:val="0"/>
          <w:numId w:val="6"/>
        </w:numPr>
        <w:ind w:left="720"/>
        <w:rPr>
          <w:rFonts w:ascii="Arial" w:hAnsi="Arial" w:cs="Arial"/>
          <w:sz w:val="28"/>
          <w:szCs w:val="28"/>
        </w:rPr>
      </w:pPr>
      <w:r w:rsidRPr="0086360F">
        <w:rPr>
          <w:rFonts w:ascii="Arial" w:hAnsi="Arial" w:cs="Arial"/>
          <w:sz w:val="28"/>
          <w:szCs w:val="28"/>
        </w:rPr>
        <w:t>Regulators’ Code (Legislative and Regulatory Reform Act 2006)</w:t>
      </w:r>
    </w:p>
    <w:p w14:paraId="6C8D2433" w14:textId="1B00B22A" w:rsidR="00DC209E" w:rsidRPr="0086360F" w:rsidRDefault="00DC209E" w:rsidP="009D7A7A">
      <w:pPr>
        <w:pStyle w:val="ListParagraph"/>
        <w:numPr>
          <w:ilvl w:val="0"/>
          <w:numId w:val="6"/>
        </w:numPr>
        <w:ind w:left="720"/>
        <w:rPr>
          <w:rFonts w:ascii="Arial" w:hAnsi="Arial" w:cs="Arial"/>
          <w:sz w:val="28"/>
          <w:szCs w:val="28"/>
        </w:rPr>
      </w:pPr>
      <w:r w:rsidRPr="0086360F">
        <w:rPr>
          <w:rFonts w:ascii="Arial" w:hAnsi="Arial" w:cs="Arial"/>
          <w:sz w:val="28"/>
          <w:szCs w:val="28"/>
        </w:rPr>
        <w:t>Government Statutory Guidance on Civil Penalties for Housing Offences</w:t>
      </w:r>
    </w:p>
    <w:p w14:paraId="058AE840" w14:textId="340A6A3F" w:rsidR="00DC209E" w:rsidRPr="0086360F" w:rsidRDefault="00DC209E" w:rsidP="009D7A7A">
      <w:pPr>
        <w:pStyle w:val="ListParagraph"/>
        <w:numPr>
          <w:ilvl w:val="0"/>
          <w:numId w:val="6"/>
        </w:numPr>
        <w:ind w:left="720"/>
        <w:rPr>
          <w:rFonts w:ascii="Arial" w:hAnsi="Arial" w:cs="Arial"/>
          <w:sz w:val="28"/>
          <w:szCs w:val="28"/>
        </w:rPr>
      </w:pPr>
      <w:r w:rsidRPr="0086360F">
        <w:rPr>
          <w:rFonts w:ascii="Arial" w:hAnsi="Arial" w:cs="Arial"/>
          <w:sz w:val="28"/>
          <w:szCs w:val="28"/>
        </w:rPr>
        <w:t>Government Guidance on Enforcement under the Renters’ Rights Act</w:t>
      </w:r>
    </w:p>
    <w:p w14:paraId="1B42B232" w14:textId="1E25902A" w:rsidR="00DC209E" w:rsidRPr="0086360F" w:rsidRDefault="00DC209E" w:rsidP="009D7A7A">
      <w:pPr>
        <w:pStyle w:val="ListParagraph"/>
        <w:numPr>
          <w:ilvl w:val="0"/>
          <w:numId w:val="6"/>
        </w:numPr>
        <w:ind w:left="720"/>
        <w:rPr>
          <w:rFonts w:ascii="Arial" w:hAnsi="Arial" w:cs="Arial"/>
          <w:sz w:val="28"/>
          <w:szCs w:val="28"/>
        </w:rPr>
      </w:pPr>
      <w:r w:rsidRPr="0086360F">
        <w:rPr>
          <w:rFonts w:ascii="Arial" w:hAnsi="Arial" w:cs="Arial"/>
          <w:sz w:val="28"/>
          <w:szCs w:val="28"/>
        </w:rPr>
        <w:t>Housing Health and Safety Rating System (HHSRS) Operating Guidance and Enforcement Guidance (Housing Act 2004)</w:t>
      </w:r>
    </w:p>
    <w:p w14:paraId="03BFE590" w14:textId="77777777" w:rsidR="00DC209E" w:rsidRPr="0086360F" w:rsidRDefault="00DC209E" w:rsidP="0045700D">
      <w:pPr>
        <w:rPr>
          <w:sz w:val="28"/>
          <w:szCs w:val="28"/>
        </w:rPr>
      </w:pPr>
    </w:p>
    <w:p w14:paraId="19C2AB49" w14:textId="77777777" w:rsidR="0045700D" w:rsidRPr="0086360F" w:rsidRDefault="0045700D" w:rsidP="00A91775">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5" w:name="_Toc225521581"/>
      <w:bookmarkStart w:id="16" w:name="_Toc228453359"/>
      <w:bookmarkStart w:id="17" w:name="_Hlk164765064"/>
      <w:r w:rsidRPr="0086360F">
        <w:rPr>
          <w:rFonts w:ascii="Arial" w:eastAsiaTheme="majorEastAsia" w:hAnsi="Arial" w:cs="Arial"/>
          <w:b/>
          <w:bCs/>
          <w:color w:val="2F5496" w:themeColor="accent1" w:themeShade="BF"/>
          <w:sz w:val="28"/>
          <w:szCs w:val="28"/>
        </w:rPr>
        <w:t>Legal Framework</w:t>
      </w:r>
      <w:bookmarkEnd w:id="15"/>
      <w:bookmarkEnd w:id="16"/>
      <w:r w:rsidRPr="0086360F">
        <w:rPr>
          <w:rFonts w:ascii="Arial" w:eastAsiaTheme="majorEastAsia" w:hAnsi="Arial" w:cs="Arial"/>
          <w:b/>
          <w:bCs/>
          <w:color w:val="2F5496" w:themeColor="accent1" w:themeShade="BF"/>
          <w:sz w:val="28"/>
          <w:szCs w:val="28"/>
        </w:rPr>
        <w:t xml:space="preserve"> </w:t>
      </w:r>
    </w:p>
    <w:bookmarkEnd w:id="17"/>
    <w:p w14:paraId="5C31DC8B" w14:textId="77777777" w:rsidR="0045700D" w:rsidRPr="0086360F" w:rsidRDefault="0045700D" w:rsidP="0045700D">
      <w:pPr>
        <w:keepNext/>
        <w:keepLines/>
        <w:spacing w:after="0"/>
        <w:outlineLvl w:val="0"/>
        <w:rPr>
          <w:rFonts w:ascii="Arial" w:eastAsiaTheme="majorEastAsia" w:hAnsi="Arial" w:cs="Arial"/>
          <w:b/>
          <w:bCs/>
          <w:color w:val="2F5496" w:themeColor="accent1" w:themeShade="BF"/>
          <w:sz w:val="28"/>
          <w:szCs w:val="28"/>
        </w:rPr>
      </w:pPr>
    </w:p>
    <w:p w14:paraId="6FCCC019" w14:textId="6B4C4008" w:rsidR="00DC209E" w:rsidRPr="0086360F" w:rsidRDefault="0045700D" w:rsidP="00640A1D">
      <w:pPr>
        <w:pStyle w:val="ListParagraph"/>
        <w:numPr>
          <w:ilvl w:val="1"/>
          <w:numId w:val="1"/>
        </w:numPr>
        <w:ind w:left="567" w:hanging="567"/>
        <w:rPr>
          <w:rFonts w:ascii="Arial" w:hAnsi="Arial" w:cs="Arial"/>
          <w:sz w:val="28"/>
          <w:szCs w:val="28"/>
        </w:rPr>
      </w:pPr>
      <w:r w:rsidRPr="0086360F">
        <w:rPr>
          <w:rFonts w:ascii="Arial" w:hAnsi="Arial" w:cs="Arial"/>
          <w:sz w:val="28"/>
          <w:szCs w:val="28"/>
        </w:rPr>
        <w:t xml:space="preserve">This </w:t>
      </w:r>
      <w:r w:rsidR="00DC209E" w:rsidRPr="0086360F">
        <w:rPr>
          <w:rFonts w:ascii="Arial" w:hAnsi="Arial" w:cs="Arial"/>
          <w:sz w:val="28"/>
          <w:szCs w:val="28"/>
        </w:rPr>
        <w:t xml:space="preserve">Enforcement Policy is based on, and must be applied in accordance with, the relevant housing legislation, statutory guidance, and regulatory principles that govern </w:t>
      </w:r>
      <w:r w:rsidR="00CA4080" w:rsidRPr="0086360F">
        <w:rPr>
          <w:rFonts w:ascii="Arial" w:hAnsi="Arial" w:cs="Arial"/>
          <w:sz w:val="28"/>
          <w:szCs w:val="28"/>
        </w:rPr>
        <w:t>the council</w:t>
      </w:r>
      <w:r w:rsidR="00DC209E" w:rsidRPr="0086360F">
        <w:rPr>
          <w:rFonts w:ascii="Arial" w:hAnsi="Arial" w:cs="Arial"/>
          <w:sz w:val="28"/>
          <w:szCs w:val="28"/>
        </w:rPr>
        <w:t>’s enforcement duties in the private rented sector.</w:t>
      </w:r>
    </w:p>
    <w:p w14:paraId="3C28A172" w14:textId="77777777" w:rsidR="00DC209E" w:rsidRPr="0086360F" w:rsidRDefault="00DC209E" w:rsidP="00DC209E">
      <w:pPr>
        <w:pStyle w:val="ListParagraph"/>
        <w:ind w:left="567"/>
        <w:rPr>
          <w:rFonts w:ascii="Arial" w:hAnsi="Arial" w:cs="Arial"/>
          <w:sz w:val="28"/>
          <w:szCs w:val="28"/>
        </w:rPr>
      </w:pPr>
    </w:p>
    <w:p w14:paraId="758B70FE" w14:textId="240E39B4" w:rsidR="00DC209E" w:rsidRPr="0086360F" w:rsidRDefault="00DC209E" w:rsidP="00640A1D">
      <w:pPr>
        <w:pStyle w:val="ListParagraph"/>
        <w:numPr>
          <w:ilvl w:val="1"/>
          <w:numId w:val="1"/>
        </w:numPr>
        <w:ind w:left="567" w:hanging="567"/>
        <w:rPr>
          <w:rFonts w:ascii="Arial" w:hAnsi="Arial" w:cs="Arial"/>
          <w:sz w:val="28"/>
          <w:szCs w:val="28"/>
        </w:rPr>
      </w:pPr>
      <w:r w:rsidRPr="0086360F">
        <w:rPr>
          <w:rFonts w:ascii="Arial" w:hAnsi="Arial" w:cs="Arial"/>
          <w:sz w:val="28"/>
          <w:szCs w:val="28"/>
        </w:rPr>
        <w:t>The primary legal framework includes, but is not limited to:</w:t>
      </w:r>
    </w:p>
    <w:p w14:paraId="1AAE6BDD" w14:textId="77777777" w:rsidR="00DC209E" w:rsidRPr="0086360F" w:rsidRDefault="00DC209E" w:rsidP="009D7A7A">
      <w:pPr>
        <w:pStyle w:val="ListParagraph"/>
        <w:numPr>
          <w:ilvl w:val="0"/>
          <w:numId w:val="15"/>
        </w:numPr>
        <w:rPr>
          <w:rFonts w:ascii="Arial" w:hAnsi="Arial" w:cs="Arial"/>
          <w:sz w:val="28"/>
          <w:szCs w:val="28"/>
        </w:rPr>
      </w:pPr>
      <w:r w:rsidRPr="0086360F">
        <w:rPr>
          <w:rFonts w:ascii="Arial" w:hAnsi="Arial" w:cs="Arial"/>
          <w:sz w:val="28"/>
          <w:szCs w:val="28"/>
        </w:rPr>
        <w:t>the Housing Act 2004, including provisions relating to HHSRS, licensing, enforcement powers, civil penalties and information</w:t>
      </w:r>
      <w:r w:rsidRPr="0086360F">
        <w:rPr>
          <w:rFonts w:ascii="Arial" w:hAnsi="Arial" w:cs="Arial"/>
          <w:sz w:val="28"/>
          <w:szCs w:val="28"/>
        </w:rPr>
        <w:noBreakHyphen/>
        <w:t>gathering;</w:t>
      </w:r>
    </w:p>
    <w:p w14:paraId="306CB4E2" w14:textId="77777777" w:rsidR="00DC209E" w:rsidRPr="0086360F" w:rsidRDefault="00DC209E" w:rsidP="009D7A7A">
      <w:pPr>
        <w:pStyle w:val="ListParagraph"/>
        <w:numPr>
          <w:ilvl w:val="0"/>
          <w:numId w:val="15"/>
        </w:numPr>
        <w:rPr>
          <w:rFonts w:ascii="Arial" w:hAnsi="Arial" w:cs="Arial"/>
          <w:sz w:val="28"/>
          <w:szCs w:val="28"/>
        </w:rPr>
      </w:pPr>
      <w:r w:rsidRPr="0086360F">
        <w:rPr>
          <w:rFonts w:ascii="Arial" w:hAnsi="Arial" w:cs="Arial"/>
          <w:sz w:val="28"/>
          <w:szCs w:val="28"/>
        </w:rPr>
        <w:t>the Housing and Planning Act 2016, including provisions relating to civil financial penalties and enforcement options;</w:t>
      </w:r>
    </w:p>
    <w:p w14:paraId="55641366" w14:textId="77777777" w:rsidR="00DC209E" w:rsidRPr="0086360F" w:rsidRDefault="00DC209E" w:rsidP="009D7A7A">
      <w:pPr>
        <w:pStyle w:val="ListParagraph"/>
        <w:numPr>
          <w:ilvl w:val="0"/>
          <w:numId w:val="15"/>
        </w:numPr>
        <w:rPr>
          <w:rFonts w:ascii="Arial" w:hAnsi="Arial" w:cs="Arial"/>
          <w:sz w:val="28"/>
          <w:szCs w:val="28"/>
        </w:rPr>
      </w:pPr>
      <w:r w:rsidRPr="0086360F">
        <w:rPr>
          <w:rFonts w:ascii="Arial" w:hAnsi="Arial" w:cs="Arial"/>
          <w:sz w:val="28"/>
          <w:szCs w:val="28"/>
        </w:rPr>
        <w:t>the Management of Houses in Multiple Occupation (England) Regulations 2006;</w:t>
      </w:r>
    </w:p>
    <w:p w14:paraId="7B490CF6" w14:textId="77777777" w:rsidR="00DC209E" w:rsidRPr="0086360F" w:rsidRDefault="00DC209E" w:rsidP="009D7A7A">
      <w:pPr>
        <w:pStyle w:val="ListParagraph"/>
        <w:numPr>
          <w:ilvl w:val="0"/>
          <w:numId w:val="15"/>
        </w:numPr>
        <w:rPr>
          <w:rFonts w:ascii="Arial" w:hAnsi="Arial" w:cs="Arial"/>
          <w:sz w:val="28"/>
          <w:szCs w:val="28"/>
        </w:rPr>
      </w:pPr>
      <w:r w:rsidRPr="0086360F">
        <w:rPr>
          <w:rFonts w:ascii="Arial" w:hAnsi="Arial" w:cs="Arial"/>
          <w:sz w:val="28"/>
          <w:szCs w:val="28"/>
        </w:rPr>
        <w:t>the Smoke and Carbon Monoxide Alarm (England) Regulations;</w:t>
      </w:r>
    </w:p>
    <w:p w14:paraId="3C834290" w14:textId="77777777" w:rsidR="00DC209E" w:rsidRPr="0086360F" w:rsidRDefault="00DC209E" w:rsidP="009D7A7A">
      <w:pPr>
        <w:pStyle w:val="ListParagraph"/>
        <w:numPr>
          <w:ilvl w:val="0"/>
          <w:numId w:val="15"/>
        </w:numPr>
        <w:rPr>
          <w:rFonts w:ascii="Arial" w:hAnsi="Arial" w:cs="Arial"/>
          <w:sz w:val="28"/>
          <w:szCs w:val="28"/>
        </w:rPr>
      </w:pPr>
      <w:r w:rsidRPr="0086360F">
        <w:rPr>
          <w:rFonts w:ascii="Arial" w:hAnsi="Arial" w:cs="Arial"/>
          <w:sz w:val="28"/>
          <w:szCs w:val="28"/>
        </w:rPr>
        <w:t>the Energy Efficiency (Private Rented Property) (England and Wales) Regulations;</w:t>
      </w:r>
    </w:p>
    <w:p w14:paraId="031BC4AD" w14:textId="5B54CEDA" w:rsidR="001C7989" w:rsidRPr="0086360F" w:rsidRDefault="001C7989" w:rsidP="009D7A7A">
      <w:pPr>
        <w:pStyle w:val="ListParagraph"/>
        <w:numPr>
          <w:ilvl w:val="0"/>
          <w:numId w:val="15"/>
        </w:numPr>
        <w:rPr>
          <w:rFonts w:ascii="Arial" w:hAnsi="Arial" w:cs="Arial"/>
          <w:sz w:val="28"/>
          <w:szCs w:val="28"/>
        </w:rPr>
      </w:pPr>
      <w:r w:rsidRPr="0086360F">
        <w:rPr>
          <w:rFonts w:ascii="Arial" w:hAnsi="Arial" w:cs="Arial"/>
          <w:sz w:val="28"/>
          <w:szCs w:val="28"/>
        </w:rPr>
        <w:t>the Minimum Energy Efficiency Standards (MEES) as per The Energy Efficiency (Private Rented Property) (England and Wales) Regulations 2015</w:t>
      </w:r>
    </w:p>
    <w:p w14:paraId="129D5845" w14:textId="77777777" w:rsidR="00DC209E" w:rsidRPr="0086360F" w:rsidRDefault="00DC209E" w:rsidP="009D7A7A">
      <w:pPr>
        <w:pStyle w:val="ListParagraph"/>
        <w:numPr>
          <w:ilvl w:val="0"/>
          <w:numId w:val="15"/>
        </w:numPr>
        <w:rPr>
          <w:rFonts w:ascii="Arial" w:hAnsi="Arial" w:cs="Arial"/>
          <w:sz w:val="28"/>
          <w:szCs w:val="28"/>
        </w:rPr>
      </w:pPr>
      <w:r w:rsidRPr="0086360F">
        <w:rPr>
          <w:rFonts w:ascii="Arial" w:hAnsi="Arial" w:cs="Arial"/>
          <w:sz w:val="28"/>
          <w:szCs w:val="28"/>
        </w:rPr>
        <w:t>the Renters’ Rights Act, including new statutory duties and enforcement powers placed on local authorities;</w:t>
      </w:r>
    </w:p>
    <w:p w14:paraId="39500D42" w14:textId="77777777" w:rsidR="00DC209E" w:rsidRPr="0086360F" w:rsidRDefault="00DC209E" w:rsidP="009D7A7A">
      <w:pPr>
        <w:pStyle w:val="ListParagraph"/>
        <w:numPr>
          <w:ilvl w:val="0"/>
          <w:numId w:val="15"/>
        </w:numPr>
        <w:rPr>
          <w:rFonts w:ascii="Arial" w:hAnsi="Arial" w:cs="Arial"/>
          <w:sz w:val="28"/>
          <w:szCs w:val="28"/>
        </w:rPr>
      </w:pPr>
      <w:r w:rsidRPr="0086360F">
        <w:rPr>
          <w:rFonts w:ascii="Arial" w:hAnsi="Arial" w:cs="Arial"/>
          <w:sz w:val="28"/>
          <w:szCs w:val="28"/>
        </w:rPr>
        <w:t>the Protection from Eviction Act 1977, where relevant to enforcement activity;</w:t>
      </w:r>
    </w:p>
    <w:p w14:paraId="4F196DAC" w14:textId="77777777" w:rsidR="00DC209E" w:rsidRPr="0086360F" w:rsidRDefault="00DC209E" w:rsidP="009D7A7A">
      <w:pPr>
        <w:pStyle w:val="ListParagraph"/>
        <w:numPr>
          <w:ilvl w:val="0"/>
          <w:numId w:val="15"/>
        </w:numPr>
        <w:rPr>
          <w:rFonts w:ascii="Arial" w:hAnsi="Arial" w:cs="Arial"/>
          <w:sz w:val="28"/>
          <w:szCs w:val="28"/>
        </w:rPr>
      </w:pPr>
      <w:r w:rsidRPr="0086360F">
        <w:rPr>
          <w:rFonts w:ascii="Arial" w:hAnsi="Arial" w:cs="Arial"/>
          <w:sz w:val="28"/>
          <w:szCs w:val="28"/>
        </w:rPr>
        <w:t>the Legislative and Regulatory Reform Act 2006, including the Regulators’ Code.</w:t>
      </w:r>
    </w:p>
    <w:p w14:paraId="4558E16D" w14:textId="640465E2" w:rsidR="001C7989" w:rsidRPr="0086360F" w:rsidRDefault="001C7989" w:rsidP="009D7A7A">
      <w:pPr>
        <w:pStyle w:val="ListParagraph"/>
        <w:numPr>
          <w:ilvl w:val="0"/>
          <w:numId w:val="15"/>
        </w:numPr>
        <w:rPr>
          <w:rFonts w:ascii="Arial" w:hAnsi="Arial" w:cs="Arial"/>
          <w:sz w:val="28"/>
          <w:szCs w:val="28"/>
        </w:rPr>
      </w:pPr>
      <w:r w:rsidRPr="0086360F">
        <w:rPr>
          <w:rFonts w:ascii="Arial" w:hAnsi="Arial" w:cs="Arial"/>
          <w:sz w:val="28"/>
          <w:szCs w:val="28"/>
        </w:rPr>
        <w:lastRenderedPageBreak/>
        <w:t>the Renters Rights Act 2025</w:t>
      </w:r>
    </w:p>
    <w:p w14:paraId="54AD8404" w14:textId="77777777" w:rsidR="00DC209E" w:rsidRPr="0086360F" w:rsidRDefault="00DC209E" w:rsidP="00DC209E">
      <w:pPr>
        <w:pStyle w:val="ListParagraph"/>
        <w:ind w:left="567"/>
        <w:rPr>
          <w:rFonts w:ascii="Arial" w:hAnsi="Arial" w:cs="Arial"/>
          <w:sz w:val="28"/>
          <w:szCs w:val="28"/>
        </w:rPr>
      </w:pPr>
    </w:p>
    <w:p w14:paraId="608E3738" w14:textId="66ABB6DC" w:rsidR="00DC209E" w:rsidRPr="0086360F" w:rsidRDefault="00DC209E" w:rsidP="00640A1D">
      <w:pPr>
        <w:pStyle w:val="ListParagraph"/>
        <w:numPr>
          <w:ilvl w:val="1"/>
          <w:numId w:val="1"/>
        </w:numPr>
        <w:ind w:left="567" w:hanging="567"/>
        <w:rPr>
          <w:rFonts w:ascii="Arial" w:hAnsi="Arial" w:cs="Arial"/>
          <w:sz w:val="28"/>
          <w:szCs w:val="28"/>
        </w:rPr>
      </w:pPr>
      <w:r w:rsidRPr="0086360F">
        <w:rPr>
          <w:rFonts w:ascii="Arial" w:hAnsi="Arial" w:cs="Arial"/>
          <w:sz w:val="28"/>
          <w:szCs w:val="28"/>
        </w:rPr>
        <w:t>It is the responsibility of the service area and policy owner to ensure that this policy, and any procedures or guidance that support it, are kept up to date and reflect current legislation, statutory guidance and case law.</w:t>
      </w:r>
    </w:p>
    <w:p w14:paraId="4CAE110B" w14:textId="77777777" w:rsidR="007800AC" w:rsidRPr="0086360F" w:rsidRDefault="007800AC" w:rsidP="007800AC">
      <w:pPr>
        <w:pStyle w:val="ListParagraph"/>
        <w:ind w:left="567"/>
        <w:rPr>
          <w:rFonts w:ascii="Arial" w:hAnsi="Arial" w:cs="Arial"/>
          <w:sz w:val="28"/>
          <w:szCs w:val="28"/>
        </w:rPr>
      </w:pPr>
    </w:p>
    <w:p w14:paraId="4AE95C2D" w14:textId="77777777" w:rsidR="00DC209E" w:rsidRPr="0086360F" w:rsidRDefault="00DC209E" w:rsidP="00640A1D">
      <w:pPr>
        <w:pStyle w:val="ListParagraph"/>
        <w:numPr>
          <w:ilvl w:val="1"/>
          <w:numId w:val="1"/>
        </w:numPr>
        <w:ind w:left="567" w:hanging="567"/>
        <w:rPr>
          <w:rFonts w:ascii="Arial" w:hAnsi="Arial" w:cs="Arial"/>
          <w:sz w:val="28"/>
          <w:szCs w:val="28"/>
        </w:rPr>
      </w:pPr>
      <w:r w:rsidRPr="0086360F">
        <w:rPr>
          <w:rFonts w:ascii="Arial" w:hAnsi="Arial" w:cs="Arial"/>
          <w:sz w:val="28"/>
          <w:szCs w:val="28"/>
        </w:rPr>
        <w:t>Officers exercising enforcement powers must ensure that decisions are made in accordance with the law in force at the time of action and that reliance is placed on the most current statutory guidance.</w:t>
      </w:r>
    </w:p>
    <w:p w14:paraId="795D1FF3" w14:textId="77777777" w:rsidR="00DC209E" w:rsidRPr="0086360F" w:rsidRDefault="00DC209E" w:rsidP="00DC209E">
      <w:pPr>
        <w:pStyle w:val="ListParagraph"/>
        <w:ind w:left="567"/>
        <w:rPr>
          <w:rFonts w:ascii="Arial" w:hAnsi="Arial" w:cs="Arial"/>
          <w:sz w:val="28"/>
          <w:szCs w:val="28"/>
        </w:rPr>
      </w:pPr>
    </w:p>
    <w:p w14:paraId="379FB612" w14:textId="6DB629AA" w:rsidR="00E94015" w:rsidRPr="0086360F" w:rsidRDefault="00E94015" w:rsidP="00640A1D">
      <w:pPr>
        <w:pStyle w:val="ListParagraph"/>
        <w:numPr>
          <w:ilvl w:val="1"/>
          <w:numId w:val="1"/>
        </w:numPr>
        <w:ind w:left="567" w:hanging="567"/>
        <w:rPr>
          <w:rFonts w:ascii="Arial" w:hAnsi="Arial" w:cs="Arial"/>
          <w:sz w:val="28"/>
          <w:szCs w:val="28"/>
        </w:rPr>
      </w:pPr>
      <w:r w:rsidRPr="0086360F">
        <w:rPr>
          <w:rFonts w:ascii="Arial" w:hAnsi="Arial" w:cs="Arial"/>
          <w:sz w:val="28"/>
          <w:szCs w:val="28"/>
        </w:rPr>
        <w:t>Where appropriate, this policy is supported by statutory guidance, government publications and recognised codes of practice, including guidance on civil penalty levels, enforcement decision</w:t>
      </w:r>
      <w:r w:rsidRPr="0086360F">
        <w:rPr>
          <w:rFonts w:ascii="Arial" w:hAnsi="Arial" w:cs="Arial"/>
          <w:sz w:val="28"/>
          <w:szCs w:val="28"/>
        </w:rPr>
        <w:noBreakHyphen/>
        <w:t>making and hazard assessment under HHSRS.</w:t>
      </w:r>
    </w:p>
    <w:p w14:paraId="15DE6528" w14:textId="77777777" w:rsidR="00E94015" w:rsidRPr="0086360F" w:rsidRDefault="00E94015" w:rsidP="00E94015">
      <w:pPr>
        <w:pStyle w:val="ListParagraph"/>
        <w:rPr>
          <w:rFonts w:ascii="Arial" w:hAnsi="Arial" w:cs="Arial"/>
          <w:sz w:val="28"/>
          <w:szCs w:val="28"/>
        </w:rPr>
      </w:pPr>
    </w:p>
    <w:p w14:paraId="1907E10A" w14:textId="5D50B905" w:rsidR="00640A1D" w:rsidRDefault="00E94015" w:rsidP="00640A1D">
      <w:pPr>
        <w:pStyle w:val="ListParagraph"/>
        <w:numPr>
          <w:ilvl w:val="1"/>
          <w:numId w:val="1"/>
        </w:numPr>
        <w:ind w:left="567" w:hanging="567"/>
        <w:rPr>
          <w:rFonts w:ascii="Arial" w:hAnsi="Arial" w:cs="Arial"/>
          <w:sz w:val="28"/>
          <w:szCs w:val="28"/>
        </w:rPr>
      </w:pPr>
      <w:r w:rsidRPr="0086360F">
        <w:rPr>
          <w:rFonts w:ascii="Arial" w:hAnsi="Arial" w:cs="Arial"/>
          <w:sz w:val="28"/>
          <w:szCs w:val="28"/>
        </w:rPr>
        <w:t>Some elements of this framework provide detailed legal or technical guidance, while others signpost officers and decision</w:t>
      </w:r>
      <w:r w:rsidRPr="0086360F">
        <w:rPr>
          <w:rFonts w:ascii="Arial" w:hAnsi="Arial" w:cs="Arial"/>
          <w:sz w:val="28"/>
          <w:szCs w:val="28"/>
        </w:rPr>
        <w:noBreakHyphen/>
        <w:t>makers to relevant sources of information to support lawful and consistent enforcement.</w:t>
      </w:r>
    </w:p>
    <w:p w14:paraId="602A1D16" w14:textId="77777777" w:rsidR="0084248F" w:rsidRPr="0084248F" w:rsidRDefault="0084248F" w:rsidP="0084248F">
      <w:pPr>
        <w:pStyle w:val="ListParagraph"/>
        <w:rPr>
          <w:rFonts w:ascii="Arial" w:hAnsi="Arial" w:cs="Arial"/>
          <w:sz w:val="28"/>
          <w:szCs w:val="28"/>
        </w:rPr>
      </w:pPr>
    </w:p>
    <w:p w14:paraId="5E50F4B7" w14:textId="4F08E9C1" w:rsidR="00640A1D" w:rsidRPr="0086360F" w:rsidRDefault="00640A1D" w:rsidP="00640A1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8" w:name="_Toc228453360"/>
      <w:r w:rsidRPr="0086360F">
        <w:rPr>
          <w:rFonts w:ascii="Arial" w:eastAsiaTheme="majorEastAsia" w:hAnsi="Arial" w:cs="Arial"/>
          <w:b/>
          <w:bCs/>
          <w:color w:val="2F5496" w:themeColor="accent1" w:themeShade="BF"/>
          <w:sz w:val="28"/>
          <w:szCs w:val="28"/>
        </w:rPr>
        <w:t>Equality and Diversity</w:t>
      </w:r>
      <w:bookmarkEnd w:id="18"/>
    </w:p>
    <w:p w14:paraId="2D0E0D54" w14:textId="77777777" w:rsidR="00640A1D" w:rsidRPr="0086360F" w:rsidRDefault="00640A1D" w:rsidP="00C364B4">
      <w:pPr>
        <w:pStyle w:val="ListParagraph"/>
        <w:ind w:left="567"/>
        <w:rPr>
          <w:rFonts w:ascii="Arial" w:hAnsi="Arial" w:cs="Arial"/>
          <w:sz w:val="28"/>
          <w:szCs w:val="28"/>
        </w:rPr>
      </w:pPr>
    </w:p>
    <w:p w14:paraId="1D9FE957" w14:textId="77777777" w:rsidR="00205209" w:rsidRPr="0086360F" w:rsidRDefault="0085068B" w:rsidP="0085068B">
      <w:pPr>
        <w:pStyle w:val="ListParagraph"/>
        <w:numPr>
          <w:ilvl w:val="1"/>
          <w:numId w:val="1"/>
        </w:numPr>
        <w:ind w:left="284" w:hanging="568"/>
        <w:rPr>
          <w:rFonts w:ascii="Arial" w:hAnsi="Arial" w:cs="Arial"/>
          <w:sz w:val="28"/>
          <w:szCs w:val="28"/>
        </w:rPr>
      </w:pPr>
      <w:r w:rsidRPr="0086360F">
        <w:rPr>
          <w:rFonts w:ascii="Arial" w:hAnsi="Arial" w:cs="Arial"/>
          <w:sz w:val="28"/>
          <w:szCs w:val="28"/>
        </w:rPr>
        <w:t>Sandwell Council is committed to ensuring that all individuals subject to enforcement activity are treated fairly, with dignity and respect. The council recognises that enforcement action may impact people differently and will take into account individual circumstances, including disability, vulnerability and protected characteristics.</w:t>
      </w:r>
    </w:p>
    <w:p w14:paraId="6DFF11D1" w14:textId="77777777" w:rsidR="00205209" w:rsidRPr="0086360F" w:rsidRDefault="00205209" w:rsidP="00205209">
      <w:pPr>
        <w:pStyle w:val="ListParagraph"/>
        <w:ind w:left="284"/>
        <w:rPr>
          <w:rFonts w:ascii="Arial" w:hAnsi="Arial" w:cs="Arial"/>
          <w:sz w:val="28"/>
          <w:szCs w:val="28"/>
        </w:rPr>
      </w:pPr>
    </w:p>
    <w:p w14:paraId="59A37077" w14:textId="77777777" w:rsidR="00205209" w:rsidRPr="0086360F" w:rsidRDefault="0085068B" w:rsidP="0085068B">
      <w:pPr>
        <w:pStyle w:val="ListParagraph"/>
        <w:numPr>
          <w:ilvl w:val="1"/>
          <w:numId w:val="1"/>
        </w:numPr>
        <w:ind w:left="284" w:hanging="568"/>
        <w:rPr>
          <w:rFonts w:ascii="Arial" w:hAnsi="Arial" w:cs="Arial"/>
          <w:sz w:val="28"/>
          <w:szCs w:val="28"/>
        </w:rPr>
      </w:pPr>
      <w:r w:rsidRPr="0086360F">
        <w:rPr>
          <w:rFonts w:ascii="Arial" w:hAnsi="Arial" w:cs="Arial"/>
          <w:sz w:val="28"/>
          <w:szCs w:val="28"/>
        </w:rPr>
        <w:t>The council will act in a consistent, transparent and equitable manner when exercising its enforcement powers, ensuring that all decisions relating to civil penalties and other enforcement actions are reasonable, proportionate and evidence based</w:t>
      </w:r>
      <w:r w:rsidR="00205209" w:rsidRPr="0086360F">
        <w:rPr>
          <w:rFonts w:ascii="Arial" w:hAnsi="Arial" w:cs="Arial"/>
          <w:sz w:val="28"/>
          <w:szCs w:val="28"/>
        </w:rPr>
        <w:t>.</w:t>
      </w:r>
    </w:p>
    <w:p w14:paraId="6E1E78B1" w14:textId="77777777" w:rsidR="00205209" w:rsidRPr="0086360F" w:rsidRDefault="00205209" w:rsidP="00205209">
      <w:pPr>
        <w:pStyle w:val="ListParagraph"/>
        <w:rPr>
          <w:rFonts w:ascii="Arial" w:hAnsi="Arial" w:cs="Arial"/>
          <w:sz w:val="28"/>
          <w:szCs w:val="28"/>
        </w:rPr>
      </w:pPr>
    </w:p>
    <w:p w14:paraId="0D9D7E64" w14:textId="77777777" w:rsidR="00205209" w:rsidRPr="0086360F" w:rsidRDefault="0085068B" w:rsidP="0085068B">
      <w:pPr>
        <w:pStyle w:val="ListParagraph"/>
        <w:numPr>
          <w:ilvl w:val="1"/>
          <w:numId w:val="1"/>
        </w:numPr>
        <w:ind w:left="284" w:hanging="568"/>
        <w:rPr>
          <w:rFonts w:ascii="Arial" w:hAnsi="Arial" w:cs="Arial"/>
          <w:sz w:val="28"/>
          <w:szCs w:val="28"/>
        </w:rPr>
      </w:pPr>
      <w:r w:rsidRPr="0086360F">
        <w:rPr>
          <w:rFonts w:ascii="Arial" w:hAnsi="Arial" w:cs="Arial"/>
          <w:sz w:val="28"/>
          <w:szCs w:val="28"/>
        </w:rPr>
        <w:t>All officers are expected to apply Equality, Diversity and Inclusion principles when implementing this policy. Training and guidance are provided to ensure that enforcement activity is carried out in a way that recognises and accommodates individual needs while maintaining compliance with legal requirements</w:t>
      </w:r>
      <w:r w:rsidR="00205209" w:rsidRPr="0086360F">
        <w:rPr>
          <w:rFonts w:ascii="Arial" w:hAnsi="Arial" w:cs="Arial"/>
          <w:sz w:val="28"/>
          <w:szCs w:val="28"/>
        </w:rPr>
        <w:t>.</w:t>
      </w:r>
    </w:p>
    <w:p w14:paraId="6E067D85" w14:textId="77777777" w:rsidR="00205209" w:rsidRPr="0086360F" w:rsidRDefault="00205209" w:rsidP="00205209">
      <w:pPr>
        <w:pStyle w:val="ListParagraph"/>
        <w:rPr>
          <w:rFonts w:ascii="Arial" w:hAnsi="Arial" w:cs="Arial"/>
          <w:sz w:val="28"/>
          <w:szCs w:val="28"/>
        </w:rPr>
      </w:pPr>
    </w:p>
    <w:p w14:paraId="175BF009" w14:textId="2441DBE4" w:rsidR="0085068B" w:rsidRPr="0086360F" w:rsidRDefault="0085068B" w:rsidP="0085068B">
      <w:pPr>
        <w:pStyle w:val="ListParagraph"/>
        <w:numPr>
          <w:ilvl w:val="1"/>
          <w:numId w:val="1"/>
        </w:numPr>
        <w:ind w:left="284" w:hanging="568"/>
        <w:rPr>
          <w:rFonts w:ascii="Arial" w:hAnsi="Arial" w:cs="Arial"/>
          <w:sz w:val="28"/>
          <w:szCs w:val="28"/>
        </w:rPr>
      </w:pPr>
      <w:r w:rsidRPr="0086360F">
        <w:rPr>
          <w:rFonts w:ascii="Arial" w:hAnsi="Arial" w:cs="Arial"/>
          <w:sz w:val="28"/>
          <w:szCs w:val="28"/>
        </w:rPr>
        <w:t>This policy supports the council’s duties under the Equality Act 2010 and reflects its wider commitment to promoting equality of opportunity and eliminating unlawful discrimination in all areas of service delivery.</w:t>
      </w:r>
    </w:p>
    <w:p w14:paraId="785781EE" w14:textId="77777777" w:rsidR="002A5E13" w:rsidRPr="0086360F" w:rsidRDefault="002A5E13" w:rsidP="0085068B">
      <w:pPr>
        <w:rPr>
          <w:rFonts w:ascii="Arial" w:hAnsi="Arial" w:cs="Arial"/>
          <w:b/>
          <w:bCs/>
          <w:sz w:val="28"/>
          <w:szCs w:val="28"/>
        </w:rPr>
      </w:pPr>
    </w:p>
    <w:p w14:paraId="50D20A5D" w14:textId="196CA736" w:rsidR="0085068B" w:rsidRPr="0086360F" w:rsidRDefault="0085068B" w:rsidP="0085068B">
      <w:pPr>
        <w:rPr>
          <w:rFonts w:ascii="Arial" w:hAnsi="Arial" w:cs="Arial"/>
          <w:sz w:val="28"/>
          <w:szCs w:val="28"/>
        </w:rPr>
      </w:pPr>
      <w:r w:rsidRPr="0086360F">
        <w:rPr>
          <w:rFonts w:ascii="Arial" w:hAnsi="Arial" w:cs="Arial"/>
          <w:b/>
          <w:bCs/>
          <w:sz w:val="28"/>
          <w:szCs w:val="28"/>
        </w:rPr>
        <w:t>Reasonable Adjustments</w:t>
      </w:r>
    </w:p>
    <w:p w14:paraId="2D19CA8B" w14:textId="77777777" w:rsidR="00205209" w:rsidRPr="0086360F" w:rsidRDefault="0085068B" w:rsidP="0085068B">
      <w:pPr>
        <w:pStyle w:val="ListParagraph"/>
        <w:numPr>
          <w:ilvl w:val="1"/>
          <w:numId w:val="1"/>
        </w:numPr>
        <w:ind w:left="284" w:hanging="568"/>
        <w:rPr>
          <w:rFonts w:ascii="Arial" w:hAnsi="Arial" w:cs="Arial"/>
          <w:sz w:val="28"/>
          <w:szCs w:val="28"/>
        </w:rPr>
      </w:pPr>
      <w:r w:rsidRPr="0086360F">
        <w:rPr>
          <w:rFonts w:ascii="Arial" w:hAnsi="Arial" w:cs="Arial"/>
          <w:sz w:val="28"/>
          <w:szCs w:val="28"/>
        </w:rPr>
        <w:t>Sandwell Council will make reasonable adjustments where necessary to ensure that individuals are not disadvantaged in relation to enforcement processes.</w:t>
      </w:r>
    </w:p>
    <w:p w14:paraId="1E46B388" w14:textId="77777777" w:rsidR="00205209" w:rsidRPr="0086360F" w:rsidRDefault="00205209" w:rsidP="00205209">
      <w:pPr>
        <w:pStyle w:val="ListParagraph"/>
        <w:ind w:left="284"/>
        <w:rPr>
          <w:rFonts w:ascii="Arial" w:hAnsi="Arial" w:cs="Arial"/>
          <w:sz w:val="28"/>
          <w:szCs w:val="28"/>
        </w:rPr>
      </w:pPr>
    </w:p>
    <w:p w14:paraId="0981D48F" w14:textId="77777777" w:rsidR="00205209" w:rsidRPr="0086360F" w:rsidRDefault="0085068B" w:rsidP="0085068B">
      <w:pPr>
        <w:pStyle w:val="ListParagraph"/>
        <w:numPr>
          <w:ilvl w:val="1"/>
          <w:numId w:val="1"/>
        </w:numPr>
        <w:ind w:left="284" w:hanging="568"/>
        <w:rPr>
          <w:rFonts w:ascii="Arial" w:hAnsi="Arial" w:cs="Arial"/>
          <w:sz w:val="28"/>
          <w:szCs w:val="28"/>
        </w:rPr>
      </w:pPr>
      <w:r w:rsidRPr="0086360F">
        <w:rPr>
          <w:rFonts w:ascii="Arial" w:hAnsi="Arial" w:cs="Arial"/>
          <w:sz w:val="28"/>
          <w:szCs w:val="28"/>
        </w:rPr>
        <w:t>There is no fixed list of reasonable adjustments. Adjustments will be considered on a case-by-case basis, taking into account the individual’s needs and the circumstances of the case. The council will engage with the individual to understand their requirements and seek to agree appropriate support where possible.</w:t>
      </w:r>
    </w:p>
    <w:p w14:paraId="54C42187" w14:textId="77777777" w:rsidR="00205209" w:rsidRPr="0086360F" w:rsidRDefault="00205209" w:rsidP="00205209">
      <w:pPr>
        <w:pStyle w:val="ListParagraph"/>
        <w:rPr>
          <w:rFonts w:ascii="Arial" w:hAnsi="Arial" w:cs="Arial"/>
          <w:sz w:val="28"/>
          <w:szCs w:val="28"/>
        </w:rPr>
      </w:pPr>
    </w:p>
    <w:p w14:paraId="27F48848" w14:textId="36919159" w:rsidR="0085068B" w:rsidRPr="0086360F" w:rsidRDefault="0085068B" w:rsidP="0085068B">
      <w:pPr>
        <w:pStyle w:val="ListParagraph"/>
        <w:numPr>
          <w:ilvl w:val="1"/>
          <w:numId w:val="1"/>
        </w:numPr>
        <w:ind w:left="284" w:hanging="568"/>
        <w:rPr>
          <w:rFonts w:ascii="Arial" w:hAnsi="Arial" w:cs="Arial"/>
          <w:sz w:val="28"/>
          <w:szCs w:val="28"/>
        </w:rPr>
      </w:pPr>
      <w:r w:rsidRPr="0086360F">
        <w:rPr>
          <w:rFonts w:ascii="Arial" w:hAnsi="Arial" w:cs="Arial"/>
          <w:sz w:val="28"/>
          <w:szCs w:val="28"/>
        </w:rPr>
        <w:t>Reasonable adjustments may include, but are not limited to:</w:t>
      </w:r>
    </w:p>
    <w:p w14:paraId="6B1CE927" w14:textId="77777777" w:rsidR="0085068B" w:rsidRPr="0086360F" w:rsidRDefault="0085068B" w:rsidP="009D7A7A">
      <w:pPr>
        <w:pStyle w:val="ListParagraph"/>
        <w:numPr>
          <w:ilvl w:val="0"/>
          <w:numId w:val="16"/>
        </w:numPr>
        <w:rPr>
          <w:rFonts w:ascii="Arial" w:hAnsi="Arial" w:cs="Arial"/>
          <w:sz w:val="28"/>
          <w:szCs w:val="28"/>
        </w:rPr>
      </w:pPr>
      <w:r w:rsidRPr="0086360F">
        <w:rPr>
          <w:rFonts w:ascii="Arial" w:hAnsi="Arial" w:cs="Arial"/>
          <w:sz w:val="28"/>
          <w:szCs w:val="28"/>
        </w:rPr>
        <w:t xml:space="preserve">providing additional time to respond to notices or representations; </w:t>
      </w:r>
    </w:p>
    <w:p w14:paraId="4F296372" w14:textId="77777777" w:rsidR="0085068B" w:rsidRPr="0086360F" w:rsidRDefault="0085068B" w:rsidP="009D7A7A">
      <w:pPr>
        <w:pStyle w:val="ListParagraph"/>
        <w:numPr>
          <w:ilvl w:val="0"/>
          <w:numId w:val="16"/>
        </w:numPr>
        <w:rPr>
          <w:rFonts w:ascii="Arial" w:hAnsi="Arial" w:cs="Arial"/>
          <w:sz w:val="28"/>
          <w:szCs w:val="28"/>
        </w:rPr>
      </w:pPr>
      <w:r w:rsidRPr="0086360F">
        <w:rPr>
          <w:rFonts w:ascii="Arial" w:hAnsi="Arial" w:cs="Arial"/>
          <w:sz w:val="28"/>
          <w:szCs w:val="28"/>
        </w:rPr>
        <w:t xml:space="preserve">offering alternative formats or methods of communication; </w:t>
      </w:r>
    </w:p>
    <w:p w14:paraId="01D8E402" w14:textId="77777777" w:rsidR="0085068B" w:rsidRPr="0086360F" w:rsidRDefault="0085068B" w:rsidP="009D7A7A">
      <w:pPr>
        <w:pStyle w:val="ListParagraph"/>
        <w:numPr>
          <w:ilvl w:val="0"/>
          <w:numId w:val="16"/>
        </w:numPr>
        <w:rPr>
          <w:rFonts w:ascii="Arial" w:hAnsi="Arial" w:cs="Arial"/>
          <w:sz w:val="28"/>
          <w:szCs w:val="28"/>
        </w:rPr>
      </w:pPr>
      <w:r w:rsidRPr="0086360F">
        <w:rPr>
          <w:rFonts w:ascii="Arial" w:hAnsi="Arial" w:cs="Arial"/>
          <w:sz w:val="28"/>
          <w:szCs w:val="28"/>
        </w:rPr>
        <w:t xml:space="preserve">allowing representation or support from a third party; </w:t>
      </w:r>
    </w:p>
    <w:p w14:paraId="78AFE129" w14:textId="77777777" w:rsidR="0085068B" w:rsidRPr="0086360F" w:rsidRDefault="0085068B" w:rsidP="009D7A7A">
      <w:pPr>
        <w:pStyle w:val="ListParagraph"/>
        <w:numPr>
          <w:ilvl w:val="0"/>
          <w:numId w:val="16"/>
        </w:numPr>
        <w:rPr>
          <w:rFonts w:ascii="Arial" w:hAnsi="Arial" w:cs="Arial"/>
          <w:sz w:val="28"/>
          <w:szCs w:val="28"/>
        </w:rPr>
      </w:pPr>
      <w:r w:rsidRPr="0086360F">
        <w:rPr>
          <w:rFonts w:ascii="Arial" w:hAnsi="Arial" w:cs="Arial"/>
          <w:sz w:val="28"/>
          <w:szCs w:val="28"/>
        </w:rPr>
        <w:t xml:space="preserve">adapting processes where appropriate to support accessibility. </w:t>
      </w:r>
    </w:p>
    <w:p w14:paraId="76898316" w14:textId="77777777" w:rsidR="00205209" w:rsidRPr="0086360F" w:rsidRDefault="00205209" w:rsidP="0085068B">
      <w:pPr>
        <w:rPr>
          <w:rFonts w:ascii="Arial" w:hAnsi="Arial" w:cs="Arial"/>
          <w:b/>
          <w:bCs/>
          <w:sz w:val="28"/>
          <w:szCs w:val="28"/>
        </w:rPr>
      </w:pPr>
    </w:p>
    <w:p w14:paraId="1CA6EDDB" w14:textId="77777777" w:rsidR="00205209" w:rsidRPr="0086360F" w:rsidRDefault="00205209" w:rsidP="00205209">
      <w:pPr>
        <w:pStyle w:val="ListParagraph"/>
        <w:numPr>
          <w:ilvl w:val="1"/>
          <w:numId w:val="1"/>
        </w:numPr>
        <w:ind w:left="426" w:hanging="568"/>
        <w:rPr>
          <w:rFonts w:ascii="Arial" w:hAnsi="Arial" w:cs="Arial"/>
          <w:sz w:val="28"/>
          <w:szCs w:val="28"/>
        </w:rPr>
      </w:pPr>
      <w:r w:rsidRPr="0086360F">
        <w:rPr>
          <w:rFonts w:ascii="Arial" w:hAnsi="Arial" w:cs="Arial"/>
          <w:sz w:val="28"/>
          <w:szCs w:val="28"/>
        </w:rPr>
        <w:t xml:space="preserve">The </w:t>
      </w:r>
      <w:r w:rsidR="0085068B" w:rsidRPr="0086360F">
        <w:rPr>
          <w:rFonts w:ascii="Arial" w:hAnsi="Arial" w:cs="Arial"/>
          <w:sz w:val="28"/>
          <w:szCs w:val="28"/>
        </w:rPr>
        <w:t>council will not make assumptions about whether an individual requires reasonable adjustments or what those adjustments should be. All requests will be considered sensitively and confidentially.</w:t>
      </w:r>
    </w:p>
    <w:p w14:paraId="4B6450AF" w14:textId="77777777" w:rsidR="00205209" w:rsidRPr="0086360F" w:rsidRDefault="00205209" w:rsidP="00205209">
      <w:pPr>
        <w:pStyle w:val="ListParagraph"/>
        <w:ind w:left="426" w:hanging="568"/>
        <w:rPr>
          <w:rFonts w:ascii="Arial" w:hAnsi="Arial" w:cs="Arial"/>
          <w:sz w:val="28"/>
          <w:szCs w:val="28"/>
        </w:rPr>
      </w:pPr>
    </w:p>
    <w:p w14:paraId="2C5E6B9C" w14:textId="77777777" w:rsidR="00205209" w:rsidRPr="0086360F" w:rsidRDefault="0085068B" w:rsidP="0085068B">
      <w:pPr>
        <w:pStyle w:val="ListParagraph"/>
        <w:numPr>
          <w:ilvl w:val="1"/>
          <w:numId w:val="1"/>
        </w:numPr>
        <w:ind w:left="426" w:hanging="568"/>
        <w:rPr>
          <w:rFonts w:ascii="Arial" w:hAnsi="Arial" w:cs="Arial"/>
          <w:sz w:val="28"/>
          <w:szCs w:val="28"/>
        </w:rPr>
      </w:pPr>
      <w:r w:rsidRPr="0086360F">
        <w:rPr>
          <w:rFonts w:ascii="Arial" w:hAnsi="Arial" w:cs="Arial"/>
          <w:sz w:val="28"/>
          <w:szCs w:val="28"/>
        </w:rPr>
        <w:t>Where a requested adjustment cannot be accommodated, the council will clearly explain the reasons and consider whether alternative support can be provided.</w:t>
      </w:r>
    </w:p>
    <w:p w14:paraId="6DF59DDB" w14:textId="77777777" w:rsidR="00205209" w:rsidRDefault="00205209" w:rsidP="00205209">
      <w:pPr>
        <w:pStyle w:val="ListParagraph"/>
        <w:rPr>
          <w:rFonts w:ascii="Arial" w:hAnsi="Arial" w:cs="Arial"/>
          <w:sz w:val="28"/>
          <w:szCs w:val="28"/>
        </w:rPr>
      </w:pPr>
    </w:p>
    <w:p w14:paraId="6EAC679A" w14:textId="77777777" w:rsidR="0084248F" w:rsidRDefault="0084248F" w:rsidP="00205209">
      <w:pPr>
        <w:pStyle w:val="ListParagraph"/>
        <w:rPr>
          <w:rFonts w:ascii="Arial" w:hAnsi="Arial" w:cs="Arial"/>
          <w:sz w:val="28"/>
          <w:szCs w:val="28"/>
        </w:rPr>
      </w:pPr>
    </w:p>
    <w:p w14:paraId="58B8C4AF" w14:textId="77777777" w:rsidR="0084248F" w:rsidRDefault="0084248F" w:rsidP="00205209">
      <w:pPr>
        <w:pStyle w:val="ListParagraph"/>
        <w:rPr>
          <w:rFonts w:ascii="Arial" w:hAnsi="Arial" w:cs="Arial"/>
          <w:sz w:val="28"/>
          <w:szCs w:val="28"/>
        </w:rPr>
      </w:pPr>
    </w:p>
    <w:p w14:paraId="1727EE2B" w14:textId="77777777" w:rsidR="0084248F" w:rsidRDefault="0084248F" w:rsidP="00205209">
      <w:pPr>
        <w:pStyle w:val="ListParagraph"/>
        <w:rPr>
          <w:rFonts w:ascii="Arial" w:hAnsi="Arial" w:cs="Arial"/>
          <w:sz w:val="28"/>
          <w:szCs w:val="28"/>
        </w:rPr>
      </w:pPr>
    </w:p>
    <w:p w14:paraId="05282D86" w14:textId="77777777" w:rsidR="0084248F" w:rsidRPr="0086360F" w:rsidRDefault="0084248F" w:rsidP="00205209">
      <w:pPr>
        <w:pStyle w:val="ListParagraph"/>
        <w:rPr>
          <w:rFonts w:ascii="Arial" w:hAnsi="Arial" w:cs="Arial"/>
          <w:sz w:val="28"/>
          <w:szCs w:val="28"/>
        </w:rPr>
      </w:pPr>
    </w:p>
    <w:p w14:paraId="3D530F65" w14:textId="07C4397C" w:rsidR="00205209" w:rsidRPr="0086360F" w:rsidRDefault="00205209" w:rsidP="00205209">
      <w:pPr>
        <w:ind w:hanging="142"/>
        <w:rPr>
          <w:rFonts w:ascii="Arial" w:hAnsi="Arial" w:cs="Arial"/>
          <w:b/>
          <w:bCs/>
          <w:sz w:val="28"/>
          <w:szCs w:val="28"/>
        </w:rPr>
      </w:pPr>
      <w:r w:rsidRPr="0086360F">
        <w:rPr>
          <w:rFonts w:ascii="Arial" w:hAnsi="Arial" w:cs="Arial"/>
          <w:b/>
          <w:bCs/>
          <w:sz w:val="28"/>
          <w:szCs w:val="28"/>
        </w:rPr>
        <w:t>ST*R Model</w:t>
      </w:r>
    </w:p>
    <w:p w14:paraId="46F2B6D2" w14:textId="77777777" w:rsidR="00205209" w:rsidRPr="0086360F" w:rsidRDefault="0085068B" w:rsidP="0085068B">
      <w:pPr>
        <w:pStyle w:val="ListParagraph"/>
        <w:numPr>
          <w:ilvl w:val="1"/>
          <w:numId w:val="1"/>
        </w:numPr>
        <w:ind w:left="426" w:hanging="568"/>
        <w:rPr>
          <w:rFonts w:ascii="Arial" w:hAnsi="Arial" w:cs="Arial"/>
          <w:sz w:val="28"/>
          <w:szCs w:val="28"/>
        </w:rPr>
      </w:pPr>
      <w:r w:rsidRPr="0086360F">
        <w:rPr>
          <w:rFonts w:ascii="Arial" w:hAnsi="Arial" w:cs="Arial"/>
          <w:sz w:val="28"/>
          <w:szCs w:val="28"/>
        </w:rPr>
        <w:lastRenderedPageBreak/>
        <w:t>Sandwell Council applies the ST*R model to underpin its approach to enforcement, ensuring that actions are fair, proportionate and carried out with professionalism and respect.</w:t>
      </w:r>
    </w:p>
    <w:p w14:paraId="685C6363" w14:textId="77777777" w:rsidR="00205209" w:rsidRPr="0086360F" w:rsidRDefault="00205209" w:rsidP="00205209">
      <w:pPr>
        <w:pStyle w:val="ListParagraph"/>
        <w:rPr>
          <w:rFonts w:ascii="Arial" w:hAnsi="Arial" w:cs="Arial"/>
          <w:sz w:val="28"/>
          <w:szCs w:val="28"/>
        </w:rPr>
      </w:pPr>
    </w:p>
    <w:p w14:paraId="20552254" w14:textId="2B5DC246" w:rsidR="0085068B" w:rsidRPr="0086360F" w:rsidRDefault="0085068B" w:rsidP="0085068B">
      <w:pPr>
        <w:pStyle w:val="ListParagraph"/>
        <w:numPr>
          <w:ilvl w:val="1"/>
          <w:numId w:val="1"/>
        </w:numPr>
        <w:ind w:left="426" w:hanging="568"/>
        <w:rPr>
          <w:rFonts w:ascii="Arial" w:hAnsi="Arial" w:cs="Arial"/>
          <w:sz w:val="28"/>
          <w:szCs w:val="28"/>
        </w:rPr>
      </w:pPr>
      <w:r w:rsidRPr="0086360F">
        <w:rPr>
          <w:rFonts w:ascii="Arial" w:hAnsi="Arial" w:cs="Arial"/>
          <w:sz w:val="28"/>
          <w:szCs w:val="28"/>
        </w:rPr>
        <w:t>The ST*R model is based on the following principles:</w:t>
      </w:r>
    </w:p>
    <w:p w14:paraId="7D12B9A4" w14:textId="77777777" w:rsidR="0085068B" w:rsidRPr="0086360F" w:rsidRDefault="0085068B" w:rsidP="009D7A7A">
      <w:pPr>
        <w:pStyle w:val="ListParagraph"/>
        <w:numPr>
          <w:ilvl w:val="0"/>
          <w:numId w:val="17"/>
        </w:numPr>
        <w:rPr>
          <w:rFonts w:ascii="Arial" w:hAnsi="Arial" w:cs="Arial"/>
          <w:sz w:val="28"/>
          <w:szCs w:val="28"/>
        </w:rPr>
      </w:pPr>
      <w:r w:rsidRPr="0086360F">
        <w:rPr>
          <w:rFonts w:ascii="Arial" w:hAnsi="Arial" w:cs="Arial"/>
          <w:b/>
          <w:bCs/>
          <w:sz w:val="28"/>
          <w:szCs w:val="28"/>
        </w:rPr>
        <w:t>Strengths-Based Approach</w:t>
      </w:r>
      <w:r w:rsidRPr="0086360F">
        <w:rPr>
          <w:rFonts w:ascii="Arial" w:hAnsi="Arial" w:cs="Arial"/>
          <w:sz w:val="28"/>
          <w:szCs w:val="28"/>
        </w:rPr>
        <w:t xml:space="preserve"> – Officers will seek to engage constructively with landlords, tenants and other parties, encouraging compliance and recognising positive actions taken to remedy issues. </w:t>
      </w:r>
    </w:p>
    <w:p w14:paraId="5268D392" w14:textId="77777777" w:rsidR="0085068B" w:rsidRPr="0086360F" w:rsidRDefault="0085068B" w:rsidP="009D7A7A">
      <w:pPr>
        <w:pStyle w:val="ListParagraph"/>
        <w:numPr>
          <w:ilvl w:val="0"/>
          <w:numId w:val="17"/>
        </w:numPr>
        <w:rPr>
          <w:rFonts w:ascii="Arial" w:hAnsi="Arial" w:cs="Arial"/>
          <w:sz w:val="28"/>
          <w:szCs w:val="28"/>
        </w:rPr>
      </w:pPr>
      <w:r w:rsidRPr="0086360F">
        <w:rPr>
          <w:rFonts w:ascii="Arial" w:hAnsi="Arial" w:cs="Arial"/>
          <w:b/>
          <w:bCs/>
          <w:sz w:val="28"/>
          <w:szCs w:val="28"/>
        </w:rPr>
        <w:t>Trauma-Informed Approach</w:t>
      </w:r>
      <w:r w:rsidRPr="0086360F">
        <w:rPr>
          <w:rFonts w:ascii="Arial" w:hAnsi="Arial" w:cs="Arial"/>
          <w:sz w:val="28"/>
          <w:szCs w:val="28"/>
        </w:rPr>
        <w:t xml:space="preserve"> – The council recognises that enforcement situations may involve stress, vulnerability or crisis. Officers are expected to act with sensitivity, particularly where individuals may be at risk of harm. </w:t>
      </w:r>
    </w:p>
    <w:p w14:paraId="1A895FC8" w14:textId="77777777" w:rsidR="0085068B" w:rsidRPr="0086360F" w:rsidRDefault="0085068B" w:rsidP="009D7A7A">
      <w:pPr>
        <w:pStyle w:val="ListParagraph"/>
        <w:numPr>
          <w:ilvl w:val="0"/>
          <w:numId w:val="17"/>
        </w:numPr>
        <w:rPr>
          <w:rFonts w:ascii="Arial" w:hAnsi="Arial" w:cs="Arial"/>
          <w:sz w:val="28"/>
          <w:szCs w:val="28"/>
        </w:rPr>
      </w:pPr>
      <w:r w:rsidRPr="0086360F">
        <w:rPr>
          <w:rFonts w:ascii="Arial" w:hAnsi="Arial" w:cs="Arial"/>
          <w:b/>
          <w:bCs/>
          <w:sz w:val="28"/>
          <w:szCs w:val="28"/>
        </w:rPr>
        <w:t>Relationship-Based Approach</w:t>
      </w:r>
      <w:r w:rsidRPr="0086360F">
        <w:rPr>
          <w:rFonts w:ascii="Arial" w:hAnsi="Arial" w:cs="Arial"/>
          <w:sz w:val="28"/>
          <w:szCs w:val="28"/>
        </w:rPr>
        <w:t xml:space="preserve"> – Enforcement activity will be supported by clear communication, transparency and respectful engagement, helping to build trust and promote understanding of legal responsibilities. </w:t>
      </w:r>
    </w:p>
    <w:p w14:paraId="32A18185" w14:textId="77777777" w:rsidR="00205209" w:rsidRPr="0086360F" w:rsidRDefault="00205209" w:rsidP="00205209">
      <w:pPr>
        <w:pStyle w:val="ListParagraph"/>
        <w:ind w:left="786"/>
        <w:rPr>
          <w:rFonts w:ascii="Arial" w:hAnsi="Arial" w:cs="Arial"/>
          <w:sz w:val="28"/>
          <w:szCs w:val="28"/>
        </w:rPr>
      </w:pPr>
    </w:p>
    <w:p w14:paraId="232C4A09" w14:textId="63337723" w:rsidR="0085068B" w:rsidRPr="0086360F" w:rsidRDefault="0085068B" w:rsidP="00205209">
      <w:pPr>
        <w:pStyle w:val="ListParagraph"/>
        <w:numPr>
          <w:ilvl w:val="1"/>
          <w:numId w:val="1"/>
        </w:numPr>
        <w:ind w:hanging="502"/>
        <w:rPr>
          <w:rFonts w:ascii="Arial" w:hAnsi="Arial" w:cs="Arial"/>
          <w:sz w:val="28"/>
          <w:szCs w:val="28"/>
        </w:rPr>
      </w:pPr>
      <w:r w:rsidRPr="0086360F">
        <w:rPr>
          <w:rFonts w:ascii="Arial" w:hAnsi="Arial" w:cs="Arial"/>
          <w:sz w:val="28"/>
          <w:szCs w:val="28"/>
        </w:rPr>
        <w:t>The application of the ST*R model does not prevent the council from taking firm enforcement action where necessary but ensures that such action is delivered in a balanced and proportionate manner.</w:t>
      </w:r>
    </w:p>
    <w:p w14:paraId="72FDE1F3" w14:textId="77777777" w:rsidR="00483D6B" w:rsidRPr="0086360F" w:rsidRDefault="00483D6B" w:rsidP="002A5E13">
      <w:pPr>
        <w:rPr>
          <w:sz w:val="28"/>
          <w:szCs w:val="28"/>
        </w:rPr>
      </w:pPr>
    </w:p>
    <w:p w14:paraId="4230F301" w14:textId="0043622E" w:rsidR="00205209" w:rsidRPr="0086360F" w:rsidRDefault="00205209" w:rsidP="00205209">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9" w:name="_Toc228453361"/>
      <w:r w:rsidRPr="0086360F">
        <w:rPr>
          <w:rFonts w:ascii="Arial" w:eastAsiaTheme="majorEastAsia" w:hAnsi="Arial" w:cs="Arial"/>
          <w:b/>
          <w:bCs/>
          <w:color w:val="2F5496" w:themeColor="accent1" w:themeShade="BF"/>
          <w:sz w:val="28"/>
          <w:szCs w:val="28"/>
        </w:rPr>
        <w:t>Policy Document Version Control</w:t>
      </w:r>
      <w:bookmarkEnd w:id="19"/>
    </w:p>
    <w:p w14:paraId="71E1B86E" w14:textId="77777777" w:rsidR="009B39CF" w:rsidRPr="0086360F" w:rsidRDefault="009B39CF" w:rsidP="002A5E13">
      <w:pPr>
        <w:rPr>
          <w:sz w:val="28"/>
          <w:szCs w:val="28"/>
        </w:rPr>
      </w:pPr>
    </w:p>
    <w:tbl>
      <w:tblPr>
        <w:tblStyle w:val="TableGrid"/>
        <w:tblW w:w="9237" w:type="dxa"/>
        <w:tblLook w:val="04A0" w:firstRow="1" w:lastRow="0" w:firstColumn="1" w:lastColumn="0" w:noHBand="0" w:noVBand="1"/>
      </w:tblPr>
      <w:tblGrid>
        <w:gridCol w:w="1417"/>
        <w:gridCol w:w="1421"/>
        <w:gridCol w:w="2986"/>
        <w:gridCol w:w="1564"/>
        <w:gridCol w:w="1849"/>
      </w:tblGrid>
      <w:tr w:rsidR="00205209" w:rsidRPr="0086360F" w14:paraId="3AD67042" w14:textId="77777777" w:rsidTr="008C1C14">
        <w:trPr>
          <w:trHeight w:val="748"/>
        </w:trPr>
        <w:tc>
          <w:tcPr>
            <w:tcW w:w="1417" w:type="dxa"/>
          </w:tcPr>
          <w:p w14:paraId="43ED5BE9" w14:textId="77777777" w:rsidR="00205209" w:rsidRPr="0086360F" w:rsidRDefault="00205209" w:rsidP="008C1C14">
            <w:pPr>
              <w:spacing w:after="160" w:line="259" w:lineRule="auto"/>
              <w:rPr>
                <w:rFonts w:ascii="Arial" w:hAnsi="Arial" w:cs="Arial"/>
                <w:b/>
                <w:bCs/>
                <w:sz w:val="28"/>
                <w:szCs w:val="28"/>
              </w:rPr>
            </w:pPr>
            <w:r w:rsidRPr="0086360F">
              <w:rPr>
                <w:rFonts w:ascii="Arial" w:hAnsi="Arial" w:cs="Arial"/>
                <w:b/>
                <w:bCs/>
                <w:sz w:val="28"/>
                <w:szCs w:val="28"/>
              </w:rPr>
              <w:t>Version</w:t>
            </w:r>
          </w:p>
        </w:tc>
        <w:tc>
          <w:tcPr>
            <w:tcW w:w="1421" w:type="dxa"/>
          </w:tcPr>
          <w:p w14:paraId="03EBBFDB" w14:textId="77777777" w:rsidR="00205209" w:rsidRPr="0086360F" w:rsidRDefault="00205209" w:rsidP="008C1C14">
            <w:pPr>
              <w:spacing w:after="160" w:line="259" w:lineRule="auto"/>
              <w:rPr>
                <w:rFonts w:ascii="Arial" w:hAnsi="Arial" w:cs="Arial"/>
                <w:b/>
                <w:bCs/>
                <w:sz w:val="28"/>
                <w:szCs w:val="28"/>
              </w:rPr>
            </w:pPr>
            <w:r w:rsidRPr="0086360F">
              <w:rPr>
                <w:rFonts w:ascii="Arial" w:hAnsi="Arial" w:cs="Arial"/>
                <w:b/>
                <w:bCs/>
                <w:sz w:val="28"/>
                <w:szCs w:val="28"/>
              </w:rPr>
              <w:t>Date</w:t>
            </w:r>
          </w:p>
        </w:tc>
        <w:tc>
          <w:tcPr>
            <w:tcW w:w="2986" w:type="dxa"/>
          </w:tcPr>
          <w:p w14:paraId="062BEF9B" w14:textId="77777777" w:rsidR="00205209" w:rsidRPr="0086360F" w:rsidRDefault="00205209" w:rsidP="008C1C14">
            <w:pPr>
              <w:spacing w:after="160" w:line="259" w:lineRule="auto"/>
              <w:rPr>
                <w:rFonts w:ascii="Arial" w:hAnsi="Arial" w:cs="Arial"/>
                <w:b/>
                <w:bCs/>
                <w:sz w:val="28"/>
                <w:szCs w:val="28"/>
              </w:rPr>
            </w:pPr>
            <w:r w:rsidRPr="0086360F">
              <w:rPr>
                <w:rFonts w:ascii="Arial" w:hAnsi="Arial" w:cs="Arial"/>
                <w:b/>
                <w:bCs/>
                <w:sz w:val="28"/>
                <w:szCs w:val="28"/>
              </w:rPr>
              <w:t>Description</w:t>
            </w:r>
          </w:p>
        </w:tc>
        <w:tc>
          <w:tcPr>
            <w:tcW w:w="1564" w:type="dxa"/>
          </w:tcPr>
          <w:p w14:paraId="5E93C5E1" w14:textId="77777777" w:rsidR="00205209" w:rsidRPr="0086360F" w:rsidRDefault="00205209" w:rsidP="008C1C14">
            <w:pPr>
              <w:spacing w:after="160" w:line="259" w:lineRule="auto"/>
              <w:rPr>
                <w:rFonts w:ascii="Arial" w:hAnsi="Arial" w:cs="Arial"/>
                <w:b/>
                <w:bCs/>
                <w:sz w:val="28"/>
                <w:szCs w:val="28"/>
              </w:rPr>
            </w:pPr>
            <w:r w:rsidRPr="0086360F">
              <w:rPr>
                <w:rFonts w:ascii="Arial" w:hAnsi="Arial" w:cs="Arial"/>
                <w:b/>
                <w:bCs/>
                <w:sz w:val="28"/>
                <w:szCs w:val="28"/>
              </w:rPr>
              <w:t>Updated By</w:t>
            </w:r>
          </w:p>
        </w:tc>
        <w:tc>
          <w:tcPr>
            <w:tcW w:w="1849" w:type="dxa"/>
          </w:tcPr>
          <w:p w14:paraId="661B27E5" w14:textId="77777777" w:rsidR="00205209" w:rsidRPr="0086360F" w:rsidRDefault="00205209" w:rsidP="008C1C14">
            <w:pPr>
              <w:spacing w:after="160" w:line="259" w:lineRule="auto"/>
              <w:rPr>
                <w:rFonts w:ascii="Arial" w:hAnsi="Arial" w:cs="Arial"/>
                <w:b/>
                <w:bCs/>
                <w:sz w:val="28"/>
                <w:szCs w:val="28"/>
              </w:rPr>
            </w:pPr>
            <w:r w:rsidRPr="0086360F">
              <w:rPr>
                <w:rFonts w:ascii="Arial" w:hAnsi="Arial" w:cs="Arial"/>
                <w:b/>
                <w:bCs/>
                <w:sz w:val="28"/>
                <w:szCs w:val="28"/>
              </w:rPr>
              <w:t>Approved By</w:t>
            </w:r>
          </w:p>
        </w:tc>
      </w:tr>
      <w:tr w:rsidR="00205209" w:rsidRPr="0086360F" w14:paraId="692EA516" w14:textId="77777777" w:rsidTr="008C1C14">
        <w:trPr>
          <w:trHeight w:val="748"/>
        </w:trPr>
        <w:tc>
          <w:tcPr>
            <w:tcW w:w="1417" w:type="dxa"/>
          </w:tcPr>
          <w:p w14:paraId="4F9D5550" w14:textId="17FE29CF" w:rsidR="00205209" w:rsidRPr="0086360F" w:rsidRDefault="00205209" w:rsidP="008C1C14">
            <w:pPr>
              <w:spacing w:after="160" w:line="259" w:lineRule="auto"/>
              <w:rPr>
                <w:rFonts w:ascii="Arial" w:hAnsi="Arial" w:cs="Arial"/>
                <w:sz w:val="28"/>
                <w:szCs w:val="28"/>
              </w:rPr>
            </w:pPr>
            <w:r w:rsidRPr="0086360F">
              <w:rPr>
                <w:rFonts w:ascii="Arial" w:hAnsi="Arial" w:cs="Arial"/>
                <w:sz w:val="28"/>
                <w:szCs w:val="28"/>
              </w:rPr>
              <w:t>0.1</w:t>
            </w:r>
          </w:p>
        </w:tc>
        <w:tc>
          <w:tcPr>
            <w:tcW w:w="1421" w:type="dxa"/>
          </w:tcPr>
          <w:p w14:paraId="61DEC6E3" w14:textId="77777777" w:rsidR="00205209" w:rsidRPr="0086360F" w:rsidRDefault="00205209" w:rsidP="008C1C14">
            <w:pPr>
              <w:spacing w:after="160" w:line="259" w:lineRule="auto"/>
              <w:rPr>
                <w:rFonts w:ascii="Arial" w:hAnsi="Arial" w:cs="Arial"/>
                <w:sz w:val="28"/>
                <w:szCs w:val="28"/>
              </w:rPr>
            </w:pPr>
            <w:r w:rsidRPr="0086360F">
              <w:rPr>
                <w:rFonts w:ascii="Arial" w:hAnsi="Arial" w:cs="Arial"/>
                <w:sz w:val="28"/>
                <w:szCs w:val="28"/>
              </w:rPr>
              <w:t>27 March 2026</w:t>
            </w:r>
          </w:p>
        </w:tc>
        <w:tc>
          <w:tcPr>
            <w:tcW w:w="2986" w:type="dxa"/>
          </w:tcPr>
          <w:p w14:paraId="3A80D0BA" w14:textId="77777777" w:rsidR="00205209" w:rsidRPr="0086360F" w:rsidRDefault="00205209" w:rsidP="008C1C14">
            <w:pPr>
              <w:spacing w:after="160" w:line="259" w:lineRule="auto"/>
              <w:rPr>
                <w:rFonts w:ascii="Arial" w:hAnsi="Arial" w:cs="Arial"/>
                <w:sz w:val="28"/>
                <w:szCs w:val="28"/>
              </w:rPr>
            </w:pPr>
            <w:r w:rsidRPr="0086360F">
              <w:rPr>
                <w:rFonts w:ascii="Arial" w:hAnsi="Arial" w:cs="Arial"/>
                <w:sz w:val="28"/>
                <w:szCs w:val="28"/>
              </w:rPr>
              <w:t>Initial issue of policy</w:t>
            </w:r>
          </w:p>
        </w:tc>
        <w:tc>
          <w:tcPr>
            <w:tcW w:w="1564" w:type="dxa"/>
          </w:tcPr>
          <w:p w14:paraId="7AD43660" w14:textId="77777777" w:rsidR="00205209" w:rsidRPr="0086360F" w:rsidRDefault="00205209" w:rsidP="008C1C14">
            <w:pPr>
              <w:spacing w:after="160" w:line="259" w:lineRule="auto"/>
              <w:rPr>
                <w:rFonts w:ascii="Arial" w:hAnsi="Arial" w:cs="Arial"/>
                <w:sz w:val="28"/>
                <w:szCs w:val="28"/>
              </w:rPr>
            </w:pPr>
            <w:r w:rsidRPr="0086360F">
              <w:rPr>
                <w:rFonts w:ascii="Arial" w:hAnsi="Arial" w:cs="Arial"/>
                <w:sz w:val="28"/>
                <w:szCs w:val="28"/>
              </w:rPr>
              <w:t>Richard Hawkins</w:t>
            </w:r>
          </w:p>
        </w:tc>
        <w:tc>
          <w:tcPr>
            <w:tcW w:w="1849" w:type="dxa"/>
          </w:tcPr>
          <w:p w14:paraId="3A36F3AA" w14:textId="77777777" w:rsidR="00205209" w:rsidRPr="0086360F" w:rsidRDefault="00205209" w:rsidP="008C1C14">
            <w:pPr>
              <w:spacing w:after="160" w:line="259" w:lineRule="auto"/>
              <w:rPr>
                <w:rFonts w:ascii="Arial" w:hAnsi="Arial" w:cs="Arial"/>
                <w:sz w:val="28"/>
                <w:szCs w:val="28"/>
              </w:rPr>
            </w:pPr>
          </w:p>
        </w:tc>
      </w:tr>
      <w:tr w:rsidR="00205209" w:rsidRPr="0086360F" w14:paraId="5BD286CF" w14:textId="77777777" w:rsidTr="008C1C14">
        <w:trPr>
          <w:trHeight w:val="237"/>
        </w:trPr>
        <w:tc>
          <w:tcPr>
            <w:tcW w:w="1417" w:type="dxa"/>
          </w:tcPr>
          <w:p w14:paraId="3D801F26" w14:textId="4E456B1B" w:rsidR="00205209" w:rsidRPr="0086360F" w:rsidRDefault="00205209" w:rsidP="008C1C14">
            <w:pPr>
              <w:spacing w:after="160" w:line="259" w:lineRule="auto"/>
              <w:rPr>
                <w:rFonts w:ascii="Arial" w:hAnsi="Arial" w:cs="Arial"/>
                <w:sz w:val="28"/>
                <w:szCs w:val="28"/>
              </w:rPr>
            </w:pPr>
            <w:r w:rsidRPr="0086360F">
              <w:rPr>
                <w:rFonts w:ascii="Arial" w:hAnsi="Arial" w:cs="Arial"/>
                <w:sz w:val="28"/>
                <w:szCs w:val="28"/>
              </w:rPr>
              <w:t>0.2</w:t>
            </w:r>
          </w:p>
        </w:tc>
        <w:tc>
          <w:tcPr>
            <w:tcW w:w="1421" w:type="dxa"/>
          </w:tcPr>
          <w:p w14:paraId="7737CCB1" w14:textId="6DE572AB" w:rsidR="00205209" w:rsidRPr="0086360F" w:rsidRDefault="00205209" w:rsidP="008C1C14">
            <w:pPr>
              <w:spacing w:after="160" w:line="259" w:lineRule="auto"/>
              <w:rPr>
                <w:rFonts w:ascii="Arial" w:hAnsi="Arial" w:cs="Arial"/>
                <w:sz w:val="28"/>
                <w:szCs w:val="28"/>
              </w:rPr>
            </w:pPr>
            <w:r w:rsidRPr="0086360F">
              <w:rPr>
                <w:rFonts w:ascii="Arial" w:hAnsi="Arial" w:cs="Arial"/>
                <w:sz w:val="28"/>
                <w:szCs w:val="28"/>
              </w:rPr>
              <w:t>30 April 2026</w:t>
            </w:r>
          </w:p>
        </w:tc>
        <w:tc>
          <w:tcPr>
            <w:tcW w:w="2986" w:type="dxa"/>
          </w:tcPr>
          <w:p w14:paraId="32B4A4FA" w14:textId="3850B52A" w:rsidR="00205209" w:rsidRPr="0086360F" w:rsidRDefault="00205209" w:rsidP="008C1C14">
            <w:pPr>
              <w:spacing w:after="160" w:line="259" w:lineRule="auto"/>
              <w:rPr>
                <w:rFonts w:ascii="Arial" w:hAnsi="Arial" w:cs="Arial"/>
                <w:sz w:val="28"/>
                <w:szCs w:val="28"/>
              </w:rPr>
            </w:pPr>
            <w:r w:rsidRPr="0086360F">
              <w:rPr>
                <w:rFonts w:ascii="Arial" w:hAnsi="Arial" w:cs="Arial"/>
                <w:sz w:val="28"/>
                <w:szCs w:val="28"/>
              </w:rPr>
              <w:t>Edit of policy</w:t>
            </w:r>
          </w:p>
        </w:tc>
        <w:tc>
          <w:tcPr>
            <w:tcW w:w="1564" w:type="dxa"/>
          </w:tcPr>
          <w:p w14:paraId="5729DC44" w14:textId="21F5F5EC" w:rsidR="00205209" w:rsidRPr="0086360F" w:rsidRDefault="00205209" w:rsidP="008C1C14">
            <w:pPr>
              <w:spacing w:after="160" w:line="259" w:lineRule="auto"/>
              <w:rPr>
                <w:rFonts w:ascii="Arial" w:hAnsi="Arial" w:cs="Arial"/>
                <w:sz w:val="28"/>
                <w:szCs w:val="28"/>
              </w:rPr>
            </w:pPr>
            <w:r w:rsidRPr="0086360F">
              <w:rPr>
                <w:rFonts w:ascii="Arial" w:hAnsi="Arial" w:cs="Arial"/>
                <w:sz w:val="28"/>
                <w:szCs w:val="28"/>
              </w:rPr>
              <w:t>Louis Bebb</w:t>
            </w:r>
          </w:p>
        </w:tc>
        <w:tc>
          <w:tcPr>
            <w:tcW w:w="1849" w:type="dxa"/>
          </w:tcPr>
          <w:p w14:paraId="7BF4078C" w14:textId="77777777" w:rsidR="00205209" w:rsidRPr="0086360F" w:rsidRDefault="00205209" w:rsidP="008C1C14">
            <w:pPr>
              <w:spacing w:after="160" w:line="259" w:lineRule="auto"/>
              <w:rPr>
                <w:rFonts w:ascii="Arial" w:hAnsi="Arial" w:cs="Arial"/>
                <w:sz w:val="28"/>
                <w:szCs w:val="28"/>
              </w:rPr>
            </w:pPr>
          </w:p>
        </w:tc>
      </w:tr>
    </w:tbl>
    <w:p w14:paraId="27D05438" w14:textId="77777777" w:rsidR="009B39CF" w:rsidRPr="0086360F" w:rsidRDefault="009B39CF" w:rsidP="002A5E13">
      <w:pPr>
        <w:rPr>
          <w:sz w:val="28"/>
          <w:szCs w:val="28"/>
        </w:rPr>
      </w:pPr>
    </w:p>
    <w:p w14:paraId="53EBE9E3" w14:textId="77777777" w:rsidR="009B39CF" w:rsidRPr="0086360F" w:rsidRDefault="009B39CF" w:rsidP="002A5E13">
      <w:pPr>
        <w:rPr>
          <w:sz w:val="28"/>
          <w:szCs w:val="28"/>
        </w:rPr>
      </w:pPr>
    </w:p>
    <w:p w14:paraId="55B12040" w14:textId="77777777" w:rsidR="009B39CF" w:rsidRPr="0086360F" w:rsidRDefault="009B39CF" w:rsidP="002A5E13">
      <w:pPr>
        <w:rPr>
          <w:sz w:val="28"/>
          <w:szCs w:val="28"/>
        </w:rPr>
      </w:pPr>
    </w:p>
    <w:p w14:paraId="33B530C5" w14:textId="77777777" w:rsidR="009B39CF" w:rsidRPr="0086360F" w:rsidRDefault="009B39CF" w:rsidP="002A5E13">
      <w:pPr>
        <w:rPr>
          <w:sz w:val="28"/>
          <w:szCs w:val="28"/>
        </w:rPr>
      </w:pPr>
    </w:p>
    <w:p w14:paraId="70002974" w14:textId="77777777" w:rsidR="009B39CF" w:rsidRPr="0086360F" w:rsidRDefault="009B39CF" w:rsidP="002A5E13">
      <w:pPr>
        <w:rPr>
          <w:sz w:val="28"/>
          <w:szCs w:val="28"/>
        </w:rPr>
      </w:pPr>
    </w:p>
    <w:p w14:paraId="19EA3130" w14:textId="77777777" w:rsidR="009B39CF" w:rsidRPr="0086360F" w:rsidRDefault="009B39CF" w:rsidP="002A5E13">
      <w:pPr>
        <w:rPr>
          <w:sz w:val="28"/>
          <w:szCs w:val="28"/>
        </w:rPr>
      </w:pPr>
    </w:p>
    <w:p w14:paraId="35F87108" w14:textId="77777777" w:rsidR="009B39CF" w:rsidRPr="0086360F" w:rsidRDefault="009B39CF" w:rsidP="002A5E13">
      <w:pPr>
        <w:rPr>
          <w:sz w:val="28"/>
          <w:szCs w:val="28"/>
        </w:rPr>
      </w:pPr>
    </w:p>
    <w:p w14:paraId="6DA29CA6" w14:textId="54C73E5C" w:rsidR="006B7007" w:rsidRPr="0084248F" w:rsidRDefault="006B7007" w:rsidP="00205209">
      <w:pPr>
        <w:keepNext/>
        <w:keepLines/>
        <w:numPr>
          <w:ilvl w:val="0"/>
          <w:numId w:val="1"/>
        </w:numPr>
        <w:spacing w:after="0"/>
        <w:ind w:left="-142" w:hanging="284"/>
        <w:outlineLvl w:val="0"/>
        <w:rPr>
          <w:rFonts w:ascii="Arial" w:eastAsiaTheme="majorEastAsia" w:hAnsi="Arial" w:cs="Arial"/>
          <w:b/>
          <w:bCs/>
          <w:color w:val="2F5496" w:themeColor="accent1" w:themeShade="BF"/>
          <w:sz w:val="28"/>
          <w:szCs w:val="28"/>
        </w:rPr>
      </w:pPr>
      <w:bookmarkStart w:id="20" w:name="_Toc228453362"/>
      <w:r w:rsidRPr="0084248F">
        <w:rPr>
          <w:rFonts w:ascii="Arial" w:eastAsiaTheme="majorEastAsia" w:hAnsi="Arial" w:cs="Arial"/>
          <w:b/>
          <w:bCs/>
          <w:color w:val="2F5496" w:themeColor="accent1" w:themeShade="BF"/>
          <w:sz w:val="28"/>
          <w:szCs w:val="28"/>
        </w:rPr>
        <w:t>Appendi</w:t>
      </w:r>
      <w:r w:rsidR="00640A1D" w:rsidRPr="0084248F">
        <w:rPr>
          <w:rFonts w:ascii="Arial" w:eastAsiaTheme="majorEastAsia" w:hAnsi="Arial" w:cs="Arial"/>
          <w:b/>
          <w:bCs/>
          <w:color w:val="2F5496" w:themeColor="accent1" w:themeShade="BF"/>
          <w:sz w:val="28"/>
          <w:szCs w:val="28"/>
        </w:rPr>
        <w:t>ces</w:t>
      </w:r>
      <w:bookmarkEnd w:id="20"/>
    </w:p>
    <w:p w14:paraId="67B9D576" w14:textId="77777777" w:rsidR="006B7007" w:rsidRPr="0084248F" w:rsidRDefault="006B7007" w:rsidP="006B7007">
      <w:pPr>
        <w:ind w:left="-284"/>
        <w:contextualSpacing/>
        <w:rPr>
          <w:rFonts w:ascii="Arial" w:eastAsia="Aptos" w:hAnsi="Arial" w:cs="Arial"/>
          <w:b/>
          <w:bCs/>
          <w:kern w:val="2"/>
          <w:sz w:val="28"/>
          <w:szCs w:val="28"/>
          <w14:ligatures w14:val="standardContextual"/>
        </w:rPr>
      </w:pPr>
    </w:p>
    <w:p w14:paraId="0E44B7A6" w14:textId="77777777" w:rsidR="006B7007" w:rsidRPr="0084248F" w:rsidRDefault="006B7007" w:rsidP="006B7007">
      <w:pPr>
        <w:ind w:left="-284"/>
        <w:contextualSpacing/>
        <w:rPr>
          <w:rFonts w:ascii="Arial" w:eastAsia="Aptos" w:hAnsi="Arial" w:cs="Arial"/>
          <w:b/>
          <w:bCs/>
          <w:kern w:val="2"/>
          <w:sz w:val="28"/>
          <w:szCs w:val="28"/>
          <w14:ligatures w14:val="standardContextual"/>
        </w:rPr>
      </w:pPr>
    </w:p>
    <w:p w14:paraId="0F0BF774" w14:textId="6FCDE4FC" w:rsidR="009B39CF" w:rsidRPr="0084248F" w:rsidRDefault="00205209" w:rsidP="006B7007">
      <w:pPr>
        <w:ind w:left="-284"/>
        <w:contextualSpacing/>
        <w:rPr>
          <w:rFonts w:ascii="Arial" w:eastAsia="Aptos" w:hAnsi="Arial" w:cs="Arial"/>
          <w:b/>
          <w:bCs/>
          <w:kern w:val="2"/>
          <w:sz w:val="28"/>
          <w:szCs w:val="28"/>
          <w14:ligatures w14:val="standardContextual"/>
        </w:rPr>
      </w:pPr>
      <w:r w:rsidRPr="0084248F">
        <w:rPr>
          <w:rFonts w:ascii="Arial" w:eastAsia="Aptos" w:hAnsi="Arial" w:cs="Arial"/>
          <w:b/>
          <w:bCs/>
          <w:kern w:val="2"/>
          <w:sz w:val="28"/>
          <w:szCs w:val="28"/>
          <w14:ligatures w14:val="standardContextual"/>
        </w:rPr>
        <w:t>10</w:t>
      </w:r>
      <w:r w:rsidR="006B7007" w:rsidRPr="0084248F">
        <w:rPr>
          <w:rFonts w:ascii="Arial" w:eastAsia="Aptos" w:hAnsi="Arial" w:cs="Arial"/>
          <w:b/>
          <w:bCs/>
          <w:kern w:val="2"/>
          <w:sz w:val="28"/>
          <w:szCs w:val="28"/>
          <w14:ligatures w14:val="standardContextual"/>
        </w:rPr>
        <w:t xml:space="preserve">.1 - </w:t>
      </w:r>
      <w:r w:rsidR="009B39CF" w:rsidRPr="0084248F">
        <w:rPr>
          <w:rFonts w:ascii="Arial" w:eastAsia="Aptos" w:hAnsi="Arial" w:cs="Arial"/>
          <w:b/>
          <w:bCs/>
          <w:kern w:val="2"/>
          <w:sz w:val="28"/>
          <w:szCs w:val="28"/>
          <w14:ligatures w14:val="standardContextual"/>
        </w:rPr>
        <w:t>Civil Penalty Amounts</w:t>
      </w:r>
    </w:p>
    <w:p w14:paraId="5920DB08" w14:textId="77777777" w:rsidR="009B39CF" w:rsidRPr="0084248F" w:rsidRDefault="009B39CF" w:rsidP="006B7007">
      <w:pPr>
        <w:ind w:left="-284"/>
        <w:contextualSpacing/>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t>These are the amounts charged via civil penalty for breaches under the Renters Rights Act 2025</w:t>
      </w:r>
    </w:p>
    <w:p w14:paraId="5C7F9D18" w14:textId="77777777" w:rsidR="009B39CF" w:rsidRPr="0084248F" w:rsidRDefault="009B39CF" w:rsidP="009B39CF">
      <w:pPr>
        <w:ind w:left="720"/>
        <w:contextualSpacing/>
        <w:rPr>
          <w:rFonts w:ascii="Arial" w:eastAsia="Aptos" w:hAnsi="Arial" w:cs="Arial"/>
          <w:kern w:val="2"/>
          <w:sz w:val="28"/>
          <w:szCs w:val="28"/>
          <w14:ligatures w14:val="standardContextual"/>
        </w:rPr>
      </w:pPr>
    </w:p>
    <w:tbl>
      <w:tblPr>
        <w:tblStyle w:val="TableGrid"/>
        <w:tblW w:w="10065" w:type="dxa"/>
        <w:tblInd w:w="-431" w:type="dxa"/>
        <w:tblLayout w:type="fixed"/>
        <w:tblLook w:val="04A0" w:firstRow="1" w:lastRow="0" w:firstColumn="1" w:lastColumn="0" w:noHBand="0" w:noVBand="1"/>
      </w:tblPr>
      <w:tblGrid>
        <w:gridCol w:w="2504"/>
        <w:gridCol w:w="3592"/>
        <w:gridCol w:w="1985"/>
        <w:gridCol w:w="1984"/>
      </w:tblGrid>
      <w:tr w:rsidR="009B39CF" w:rsidRPr="0084248F" w14:paraId="27E21D26" w14:textId="77777777" w:rsidTr="008C1C14">
        <w:tc>
          <w:tcPr>
            <w:tcW w:w="2504" w:type="dxa"/>
          </w:tcPr>
          <w:p w14:paraId="26BA7DBC"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Reform Area </w:t>
            </w:r>
          </w:p>
        </w:tc>
        <w:tc>
          <w:tcPr>
            <w:tcW w:w="3592" w:type="dxa"/>
          </w:tcPr>
          <w:p w14:paraId="5B764ADF"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 xml:space="preserve">Specific Breach </w:t>
            </w:r>
          </w:p>
        </w:tc>
        <w:tc>
          <w:tcPr>
            <w:tcW w:w="1985" w:type="dxa"/>
          </w:tcPr>
          <w:p w14:paraId="642321FB"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Starting Penalty Level</w:t>
            </w:r>
          </w:p>
        </w:tc>
        <w:tc>
          <w:tcPr>
            <w:tcW w:w="1984" w:type="dxa"/>
          </w:tcPr>
          <w:p w14:paraId="32DB7346"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Max Penalty (Serious/Repeat)</w:t>
            </w:r>
          </w:p>
        </w:tc>
      </w:tr>
      <w:tr w:rsidR="009B39CF" w:rsidRPr="0084248F" w14:paraId="31D4BB4A" w14:textId="77777777" w:rsidTr="008C1C14">
        <w:tc>
          <w:tcPr>
            <w:tcW w:w="2504" w:type="dxa"/>
          </w:tcPr>
          <w:p w14:paraId="2884F0AE"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Use of Section 21</w:t>
            </w:r>
          </w:p>
        </w:tc>
        <w:tc>
          <w:tcPr>
            <w:tcW w:w="3592" w:type="dxa"/>
          </w:tcPr>
          <w:p w14:paraId="0F120DB1"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Attempting to end a tenancy via a Section 21 notice.</w:t>
            </w:r>
          </w:p>
        </w:tc>
        <w:tc>
          <w:tcPr>
            <w:tcW w:w="1985" w:type="dxa"/>
          </w:tcPr>
          <w:p w14:paraId="42A407E8"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£6,000</w:t>
            </w:r>
          </w:p>
        </w:tc>
        <w:tc>
          <w:tcPr>
            <w:tcW w:w="1984" w:type="dxa"/>
          </w:tcPr>
          <w:p w14:paraId="29D0297F" w14:textId="7C6E4EFB"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£40,000.</w:t>
            </w:r>
          </w:p>
        </w:tc>
      </w:tr>
      <w:tr w:rsidR="009B39CF" w:rsidRPr="0084248F" w14:paraId="5B12FD0B" w14:textId="77777777" w:rsidTr="008C1C14">
        <w:tc>
          <w:tcPr>
            <w:tcW w:w="2504" w:type="dxa"/>
          </w:tcPr>
          <w:p w14:paraId="4921CAAB"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Periodic Tenancies</w:t>
            </w:r>
          </w:p>
        </w:tc>
        <w:tc>
          <w:tcPr>
            <w:tcW w:w="3592" w:type="dxa"/>
          </w:tcPr>
          <w:p w14:paraId="3068D239"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Attempting to grant or let a property for a fixed term.</w:t>
            </w:r>
          </w:p>
        </w:tc>
        <w:tc>
          <w:tcPr>
            <w:tcW w:w="1985" w:type="dxa"/>
          </w:tcPr>
          <w:p w14:paraId="40558EDA"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£4,000</w:t>
            </w:r>
          </w:p>
        </w:tc>
        <w:tc>
          <w:tcPr>
            <w:tcW w:w="1984" w:type="dxa"/>
          </w:tcPr>
          <w:p w14:paraId="2D56193D"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£40,000.</w:t>
            </w:r>
          </w:p>
        </w:tc>
      </w:tr>
      <w:tr w:rsidR="009B39CF" w:rsidRPr="0084248F" w14:paraId="406070B7" w14:textId="77777777" w:rsidTr="008C1C14">
        <w:tc>
          <w:tcPr>
            <w:tcW w:w="2504" w:type="dxa"/>
          </w:tcPr>
          <w:p w14:paraId="02827E92"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Possession Grounds (Illegal Eviction)</w:t>
            </w:r>
          </w:p>
        </w:tc>
        <w:tc>
          <w:tcPr>
            <w:tcW w:w="3592" w:type="dxa"/>
          </w:tcPr>
          <w:p w14:paraId="633E45E8"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Relying on a ground while knowing (or being reckless) that the landlord cannot actually obtain possession.</w:t>
            </w:r>
          </w:p>
        </w:tc>
        <w:tc>
          <w:tcPr>
            <w:tcW w:w="1985" w:type="dxa"/>
          </w:tcPr>
          <w:p w14:paraId="670CCF31"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£30,000</w:t>
            </w:r>
          </w:p>
        </w:tc>
        <w:tc>
          <w:tcPr>
            <w:tcW w:w="1984" w:type="dxa"/>
          </w:tcPr>
          <w:p w14:paraId="71756995"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£40,000.</w:t>
            </w:r>
          </w:p>
        </w:tc>
      </w:tr>
      <w:tr w:rsidR="009B39CF" w:rsidRPr="0084248F" w14:paraId="569CA674" w14:textId="77777777" w:rsidTr="008C1C14">
        <w:tc>
          <w:tcPr>
            <w:tcW w:w="2504" w:type="dxa"/>
          </w:tcPr>
          <w:p w14:paraId="4ED0F26C"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Rent Increases</w:t>
            </w:r>
          </w:p>
        </w:tc>
        <w:tc>
          <w:tcPr>
            <w:tcW w:w="3592" w:type="dxa"/>
          </w:tcPr>
          <w:p w14:paraId="40F10030"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Failure to use the formal Section 13 process or providing incorrect notice periods can invalidate the increase. Persistent failure to comply with rent rules.</w:t>
            </w:r>
          </w:p>
        </w:tc>
        <w:tc>
          <w:tcPr>
            <w:tcW w:w="1985" w:type="dxa"/>
          </w:tcPr>
          <w:p w14:paraId="78A0FAF0"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£7,000</w:t>
            </w:r>
          </w:p>
        </w:tc>
        <w:tc>
          <w:tcPr>
            <w:tcW w:w="1984" w:type="dxa"/>
          </w:tcPr>
          <w:p w14:paraId="52C7D0A8"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£40,000.</w:t>
            </w:r>
          </w:p>
        </w:tc>
      </w:tr>
      <w:tr w:rsidR="009B39CF" w:rsidRPr="0084248F" w14:paraId="08C7C1FF" w14:textId="77777777" w:rsidTr="008C1C14">
        <w:tc>
          <w:tcPr>
            <w:tcW w:w="2504" w:type="dxa"/>
          </w:tcPr>
          <w:p w14:paraId="52AA9FC8"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Providing documents</w:t>
            </w:r>
          </w:p>
        </w:tc>
        <w:tc>
          <w:tcPr>
            <w:tcW w:w="3592" w:type="dxa"/>
          </w:tcPr>
          <w:p w14:paraId="76C0AE38"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Failure to provide the tenant agreements and documents.</w:t>
            </w:r>
          </w:p>
        </w:tc>
        <w:tc>
          <w:tcPr>
            <w:tcW w:w="1985" w:type="dxa"/>
          </w:tcPr>
          <w:p w14:paraId="58E89021"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£7,000</w:t>
            </w:r>
          </w:p>
        </w:tc>
        <w:tc>
          <w:tcPr>
            <w:tcW w:w="1984" w:type="dxa"/>
          </w:tcPr>
          <w:p w14:paraId="6CEE3081"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£40,000.</w:t>
            </w:r>
          </w:p>
        </w:tc>
      </w:tr>
      <w:tr w:rsidR="009B39CF" w:rsidRPr="0084248F" w14:paraId="4701AD19" w14:textId="77777777" w:rsidTr="008C1C14">
        <w:tc>
          <w:tcPr>
            <w:tcW w:w="2504" w:type="dxa"/>
          </w:tcPr>
          <w:p w14:paraId="726A144C"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Rental Bidding</w:t>
            </w:r>
          </w:p>
        </w:tc>
        <w:tc>
          <w:tcPr>
            <w:tcW w:w="3592" w:type="dxa"/>
          </w:tcPr>
          <w:p w14:paraId="6A999E72"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Inviting, encouraging, or accepting offers higher than the advertised rent.</w:t>
            </w:r>
          </w:p>
        </w:tc>
        <w:tc>
          <w:tcPr>
            <w:tcW w:w="1985" w:type="dxa"/>
          </w:tcPr>
          <w:p w14:paraId="2260588D"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£4,000</w:t>
            </w:r>
          </w:p>
        </w:tc>
        <w:tc>
          <w:tcPr>
            <w:tcW w:w="1984" w:type="dxa"/>
          </w:tcPr>
          <w:p w14:paraId="6531EA98"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£7,000.</w:t>
            </w:r>
          </w:p>
        </w:tc>
      </w:tr>
      <w:tr w:rsidR="009B39CF" w:rsidRPr="0084248F" w14:paraId="565DB318" w14:textId="77777777" w:rsidTr="008C1C14">
        <w:tc>
          <w:tcPr>
            <w:tcW w:w="2504" w:type="dxa"/>
          </w:tcPr>
          <w:p w14:paraId="265A76CB"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Rent in Advance</w:t>
            </w:r>
          </w:p>
        </w:tc>
        <w:tc>
          <w:tcPr>
            <w:tcW w:w="3592" w:type="dxa"/>
          </w:tcPr>
          <w:p w14:paraId="778C13FF"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Requesting or accepting more than one month’s rent in advance.</w:t>
            </w:r>
          </w:p>
        </w:tc>
        <w:tc>
          <w:tcPr>
            <w:tcW w:w="1985" w:type="dxa"/>
          </w:tcPr>
          <w:p w14:paraId="53E81E10"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£4,000*</w:t>
            </w:r>
          </w:p>
        </w:tc>
        <w:tc>
          <w:tcPr>
            <w:tcW w:w="1984" w:type="dxa"/>
          </w:tcPr>
          <w:p w14:paraId="0AD6328B"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£7,000.</w:t>
            </w:r>
          </w:p>
        </w:tc>
      </w:tr>
      <w:tr w:rsidR="009B39CF" w:rsidRPr="0084248F" w14:paraId="0F0B5FFF" w14:textId="77777777" w:rsidTr="008C1C14">
        <w:tc>
          <w:tcPr>
            <w:tcW w:w="2504" w:type="dxa"/>
          </w:tcPr>
          <w:p w14:paraId="63AC8D30"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Discrimination</w:t>
            </w:r>
          </w:p>
        </w:tc>
        <w:tc>
          <w:tcPr>
            <w:tcW w:w="3592" w:type="dxa"/>
          </w:tcPr>
          <w:p w14:paraId="6DB152BC"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 xml:space="preserve">Blanket bans or discriminatory practices </w:t>
            </w:r>
            <w:r w:rsidRPr="0084248F">
              <w:rPr>
                <w:rFonts w:ascii="Arial" w:eastAsia="Aptos" w:hAnsi="Arial" w:cs="Arial"/>
                <w:sz w:val="28"/>
                <w:szCs w:val="28"/>
              </w:rPr>
              <w:lastRenderedPageBreak/>
              <w:t>against those with children or on benefits.</w:t>
            </w:r>
          </w:p>
        </w:tc>
        <w:tc>
          <w:tcPr>
            <w:tcW w:w="1985" w:type="dxa"/>
          </w:tcPr>
          <w:p w14:paraId="46BFF081"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lastRenderedPageBreak/>
              <w:t>£6,000</w:t>
            </w:r>
          </w:p>
        </w:tc>
        <w:tc>
          <w:tcPr>
            <w:tcW w:w="1984" w:type="dxa"/>
          </w:tcPr>
          <w:p w14:paraId="4C7A6898"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£7,000.</w:t>
            </w:r>
          </w:p>
        </w:tc>
      </w:tr>
      <w:tr w:rsidR="009B39CF" w:rsidRPr="0084248F" w14:paraId="2AEF9C37" w14:textId="77777777" w:rsidTr="008C1C14">
        <w:tc>
          <w:tcPr>
            <w:tcW w:w="2504" w:type="dxa"/>
          </w:tcPr>
          <w:p w14:paraId="426E65C5"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 xml:space="preserve">Reletting/ Marketing </w:t>
            </w:r>
          </w:p>
        </w:tc>
        <w:tc>
          <w:tcPr>
            <w:tcW w:w="3592" w:type="dxa"/>
          </w:tcPr>
          <w:p w14:paraId="20430FE2"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Reletting or marketing the property for rent within 12 months of ending a tenancy on grounds of moving in or sale.</w:t>
            </w:r>
          </w:p>
        </w:tc>
        <w:tc>
          <w:tcPr>
            <w:tcW w:w="1985" w:type="dxa"/>
          </w:tcPr>
          <w:p w14:paraId="47C5185C"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£4,000</w:t>
            </w:r>
          </w:p>
        </w:tc>
        <w:tc>
          <w:tcPr>
            <w:tcW w:w="1984" w:type="dxa"/>
          </w:tcPr>
          <w:p w14:paraId="6F44514B"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£7,000</w:t>
            </w:r>
          </w:p>
        </w:tc>
      </w:tr>
      <w:tr w:rsidR="009B39CF" w:rsidRPr="0084248F" w14:paraId="764E649D" w14:textId="77777777" w:rsidTr="008C1C14">
        <w:tc>
          <w:tcPr>
            <w:tcW w:w="2504" w:type="dxa"/>
          </w:tcPr>
          <w:p w14:paraId="4548A819"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Failure to register on national database</w:t>
            </w:r>
          </w:p>
        </w:tc>
        <w:tc>
          <w:tcPr>
            <w:tcW w:w="3592" w:type="dxa"/>
          </w:tcPr>
          <w:p w14:paraId="0F6590D1"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Marketing or letting a property that isn't registered.</w:t>
            </w:r>
          </w:p>
        </w:tc>
        <w:tc>
          <w:tcPr>
            <w:tcW w:w="1985" w:type="dxa"/>
          </w:tcPr>
          <w:p w14:paraId="46714B36"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£10,000</w:t>
            </w:r>
          </w:p>
        </w:tc>
        <w:tc>
          <w:tcPr>
            <w:tcW w:w="1984" w:type="dxa"/>
          </w:tcPr>
          <w:p w14:paraId="035F33AF"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£25,000</w:t>
            </w:r>
          </w:p>
        </w:tc>
      </w:tr>
      <w:tr w:rsidR="002A3120" w:rsidRPr="0084248F" w14:paraId="2E550FA2" w14:textId="77777777" w:rsidTr="008C1C14">
        <w:tc>
          <w:tcPr>
            <w:tcW w:w="2504" w:type="dxa"/>
          </w:tcPr>
          <w:p w14:paraId="15C66D9F" w14:textId="0FB73AB1" w:rsidR="002A3120" w:rsidRPr="0084248F" w:rsidRDefault="002A3120" w:rsidP="008C1C14">
            <w:pPr>
              <w:rPr>
                <w:rFonts w:ascii="Arial" w:eastAsia="Aptos" w:hAnsi="Arial" w:cs="Arial"/>
                <w:sz w:val="28"/>
                <w:szCs w:val="28"/>
              </w:rPr>
            </w:pPr>
            <w:r w:rsidRPr="0084248F">
              <w:rPr>
                <w:rFonts w:ascii="Arial" w:eastAsia="Aptos" w:hAnsi="Arial" w:cs="Arial"/>
                <w:sz w:val="28"/>
                <w:szCs w:val="28"/>
              </w:rPr>
              <w:t>Failure to carry out works that should be obvious and known to the landlord.</w:t>
            </w:r>
          </w:p>
        </w:tc>
        <w:tc>
          <w:tcPr>
            <w:tcW w:w="3592" w:type="dxa"/>
          </w:tcPr>
          <w:p w14:paraId="78682A33" w14:textId="6CA5E84F" w:rsidR="002A3120" w:rsidRPr="0084248F" w:rsidRDefault="002A3120" w:rsidP="008C1C14">
            <w:pPr>
              <w:rPr>
                <w:rFonts w:ascii="Arial" w:eastAsia="Aptos" w:hAnsi="Arial" w:cs="Arial"/>
                <w:sz w:val="28"/>
                <w:szCs w:val="28"/>
              </w:rPr>
            </w:pPr>
            <w:r w:rsidRPr="0084248F">
              <w:rPr>
                <w:rFonts w:ascii="Arial" w:hAnsi="Arial" w:cs="Arial"/>
                <w:sz w:val="28"/>
                <w:szCs w:val="28"/>
              </w:rPr>
              <w:t>Section 6A of the Housing Act 2004 enables the authority to impose a financial penalty at the point of identifying a Category 1 hazard, without the need to first serve an Improvement Notice.</w:t>
            </w:r>
          </w:p>
        </w:tc>
        <w:tc>
          <w:tcPr>
            <w:tcW w:w="1985" w:type="dxa"/>
          </w:tcPr>
          <w:p w14:paraId="4F27E4A2" w14:textId="31BC5107" w:rsidR="002A3120" w:rsidRPr="0084248F" w:rsidRDefault="002A3120" w:rsidP="008C1C14">
            <w:pPr>
              <w:rPr>
                <w:rFonts w:ascii="Arial" w:eastAsia="Aptos" w:hAnsi="Arial" w:cs="Arial"/>
                <w:sz w:val="28"/>
                <w:szCs w:val="28"/>
              </w:rPr>
            </w:pPr>
            <w:r w:rsidRPr="0084248F">
              <w:rPr>
                <w:rFonts w:ascii="Arial" w:eastAsia="Aptos" w:hAnsi="Arial" w:cs="Arial"/>
                <w:sz w:val="28"/>
                <w:szCs w:val="28"/>
              </w:rPr>
              <w:t>£4,500</w:t>
            </w:r>
          </w:p>
        </w:tc>
        <w:tc>
          <w:tcPr>
            <w:tcW w:w="1984" w:type="dxa"/>
          </w:tcPr>
          <w:p w14:paraId="487AE94D" w14:textId="57D076EB" w:rsidR="002A3120" w:rsidRPr="0084248F" w:rsidRDefault="002A3120" w:rsidP="008C1C14">
            <w:pPr>
              <w:rPr>
                <w:rFonts w:ascii="Arial" w:eastAsia="Aptos" w:hAnsi="Arial" w:cs="Arial"/>
                <w:sz w:val="28"/>
                <w:szCs w:val="28"/>
              </w:rPr>
            </w:pPr>
            <w:r w:rsidRPr="0084248F">
              <w:rPr>
                <w:rFonts w:ascii="Arial" w:eastAsia="Aptos" w:hAnsi="Arial" w:cs="Arial"/>
                <w:sz w:val="28"/>
                <w:szCs w:val="28"/>
              </w:rPr>
              <w:t>£7,000</w:t>
            </w:r>
          </w:p>
        </w:tc>
      </w:tr>
    </w:tbl>
    <w:p w14:paraId="3876C309" w14:textId="77777777" w:rsidR="009B39CF" w:rsidRPr="0084248F" w:rsidRDefault="009B39CF" w:rsidP="009B39CF">
      <w:pPr>
        <w:rPr>
          <w:rFonts w:ascii="Arial" w:eastAsia="Aptos" w:hAnsi="Arial" w:cs="Arial"/>
          <w:kern w:val="2"/>
          <w:sz w:val="28"/>
          <w:szCs w:val="28"/>
          <w14:ligatures w14:val="standardContextual"/>
        </w:rPr>
      </w:pPr>
    </w:p>
    <w:p w14:paraId="3F250E9B" w14:textId="77777777" w:rsidR="009B39CF" w:rsidRPr="0084248F" w:rsidRDefault="009B39CF" w:rsidP="009B39CF">
      <w:pPr>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t xml:space="preserve">*Starting and maximum levels are as per </w:t>
      </w:r>
      <w:hyperlink r:id="rId13" w:tgtFrame="_blank" w:history="1">
        <w:r w:rsidRPr="0084248F">
          <w:rPr>
            <w:rFonts w:ascii="Arial" w:eastAsia="Aptos" w:hAnsi="Arial" w:cs="Arial"/>
            <w:color w:val="467886"/>
            <w:kern w:val="2"/>
            <w:sz w:val="28"/>
            <w:szCs w:val="28"/>
            <w:u w:val="single"/>
            <w14:ligatures w14:val="standardContextual"/>
          </w:rPr>
          <w:t>Statutory Guidance (published 13 November 2025)</w:t>
        </w:r>
      </w:hyperlink>
      <w:r w:rsidRPr="0084248F">
        <w:rPr>
          <w:rFonts w:ascii="Aptos" w:eastAsia="Aptos" w:hAnsi="Aptos" w:cs="Times New Roman"/>
          <w:kern w:val="2"/>
          <w14:ligatures w14:val="standardContextual"/>
        </w:rPr>
        <w:t xml:space="preserve"> </w:t>
      </w:r>
      <w:r w:rsidRPr="0084248F">
        <w:rPr>
          <w:rFonts w:ascii="Arial" w:eastAsia="Aptos" w:hAnsi="Arial" w:cs="Arial"/>
          <w:kern w:val="2"/>
          <w:sz w:val="28"/>
          <w:szCs w:val="28"/>
          <w14:ligatures w14:val="standardContextual"/>
        </w:rPr>
        <w:t>unless asterisked. Where there is no starting point the local authority has determined a starting point that they believe is proportionate and effective.</w:t>
      </w:r>
    </w:p>
    <w:p w14:paraId="0BAE1E16" w14:textId="77777777" w:rsidR="009B39CF" w:rsidRPr="0084248F" w:rsidRDefault="009B39CF" w:rsidP="006B7007">
      <w:pPr>
        <w:contextualSpacing/>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t>These are the amounts charged via civil penalty for breaches under the Renters Rights Act 2025</w:t>
      </w:r>
    </w:p>
    <w:p w14:paraId="31C4FA4D" w14:textId="77777777" w:rsidR="009B39CF" w:rsidRPr="0084248F" w:rsidRDefault="009B39CF" w:rsidP="009B39CF">
      <w:pPr>
        <w:ind w:left="720"/>
        <w:contextualSpacing/>
        <w:rPr>
          <w:rFonts w:ascii="Arial" w:eastAsia="Aptos" w:hAnsi="Arial" w:cs="Arial"/>
          <w:kern w:val="2"/>
          <w:sz w:val="28"/>
          <w:szCs w:val="28"/>
          <w14:ligatures w14:val="standardContextual"/>
        </w:rPr>
      </w:pPr>
    </w:p>
    <w:p w14:paraId="6CC31A50" w14:textId="77777777" w:rsidR="009B39CF" w:rsidRPr="0084248F" w:rsidRDefault="009B39CF" w:rsidP="006B7007">
      <w:pPr>
        <w:contextualSpacing/>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t>These are the amounts charged via civil penalty for breaches under the Housing Act 2004 and the Management of Houses in Multiple Occupation (England) Regulations 2006.</w:t>
      </w:r>
    </w:p>
    <w:p w14:paraId="13D54DB3" w14:textId="77777777" w:rsidR="009B39CF" w:rsidRPr="0084248F" w:rsidRDefault="009B39CF" w:rsidP="009B39CF">
      <w:pPr>
        <w:ind w:left="720"/>
        <w:contextualSpacing/>
        <w:rPr>
          <w:rFonts w:ascii="Arial" w:eastAsia="Aptos" w:hAnsi="Arial" w:cs="Arial"/>
          <w:kern w:val="2"/>
          <w:sz w:val="28"/>
          <w:szCs w:val="28"/>
          <w14:ligatures w14:val="standardContextual"/>
        </w:rPr>
      </w:pPr>
    </w:p>
    <w:p w14:paraId="79128F62" w14:textId="77777777" w:rsidR="009B39CF" w:rsidRPr="0084248F" w:rsidRDefault="009B39CF" w:rsidP="006B7007">
      <w:pPr>
        <w:contextualSpacing/>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t>These are the amounts charged via civil penalty for breaches under the Housing Act 2004 and the Management of Houses in Multiple Occupation (England) Regulations 2006.</w:t>
      </w:r>
    </w:p>
    <w:p w14:paraId="5813AE1E" w14:textId="77777777" w:rsidR="009B39CF" w:rsidRPr="0084248F" w:rsidRDefault="009B39CF" w:rsidP="009B39CF">
      <w:pPr>
        <w:ind w:left="720"/>
        <w:contextualSpacing/>
        <w:rPr>
          <w:rFonts w:ascii="Arial" w:eastAsia="Aptos" w:hAnsi="Arial" w:cs="Arial"/>
          <w:kern w:val="2"/>
          <w:sz w:val="28"/>
          <w:szCs w:val="28"/>
          <w14:ligatures w14:val="standardContextual"/>
        </w:rPr>
      </w:pPr>
    </w:p>
    <w:p w14:paraId="060B9722" w14:textId="77777777" w:rsidR="009B39CF" w:rsidRPr="0084248F" w:rsidRDefault="009B39CF" w:rsidP="006B7007">
      <w:pPr>
        <w:contextualSpacing/>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t>For any offence committed on or after 1 May 2026, the </w:t>
      </w:r>
      <w:hyperlink r:id="rId14" w:tgtFrame="_blank" w:history="1">
        <w:r w:rsidRPr="0084248F">
          <w:rPr>
            <w:rFonts w:ascii="Arial" w:eastAsia="Aptos" w:hAnsi="Arial" w:cs="Arial"/>
            <w:color w:val="467886"/>
            <w:kern w:val="2"/>
            <w:sz w:val="28"/>
            <w:szCs w:val="28"/>
            <w:u w:val="single"/>
            <w14:ligatures w14:val="standardContextual"/>
          </w:rPr>
          <w:t>MHCLG Statutory Guidance</w:t>
        </w:r>
      </w:hyperlink>
      <w:r w:rsidRPr="0084248F">
        <w:rPr>
          <w:rFonts w:ascii="Arial" w:eastAsia="Aptos" w:hAnsi="Arial" w:cs="Arial"/>
          <w:kern w:val="2"/>
          <w:sz w:val="28"/>
          <w:szCs w:val="28"/>
          <w14:ligatures w14:val="standardContextual"/>
        </w:rPr>
        <w:t> requires councils to use these starting levels based on the "seriousness" of the breach: </w:t>
      </w:r>
    </w:p>
    <w:p w14:paraId="05B1ABDA" w14:textId="77777777" w:rsidR="009B39CF" w:rsidRPr="0084248F" w:rsidRDefault="009B39CF" w:rsidP="009B39CF">
      <w:pPr>
        <w:rPr>
          <w:rFonts w:ascii="Arial" w:eastAsia="Aptos" w:hAnsi="Arial" w:cs="Arial"/>
          <w:kern w:val="2"/>
          <w:sz w:val="28"/>
          <w:szCs w:val="28"/>
          <w14:ligatures w14:val="standardContextual"/>
        </w:rPr>
      </w:pPr>
    </w:p>
    <w:tbl>
      <w:tblPr>
        <w:tblStyle w:val="TableGrid"/>
        <w:tblW w:w="9493" w:type="dxa"/>
        <w:tblLook w:val="04A0" w:firstRow="1" w:lastRow="0" w:firstColumn="1" w:lastColumn="0" w:noHBand="0" w:noVBand="1"/>
      </w:tblPr>
      <w:tblGrid>
        <w:gridCol w:w="4531"/>
        <w:gridCol w:w="2410"/>
        <w:gridCol w:w="2552"/>
      </w:tblGrid>
      <w:tr w:rsidR="009B39CF" w:rsidRPr="0084248F" w14:paraId="21152B93" w14:textId="77777777" w:rsidTr="008C1C14">
        <w:tc>
          <w:tcPr>
            <w:tcW w:w="4531" w:type="dxa"/>
          </w:tcPr>
          <w:p w14:paraId="0C1A7C07"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Offence Type </w:t>
            </w:r>
          </w:p>
        </w:tc>
        <w:tc>
          <w:tcPr>
            <w:tcW w:w="2410" w:type="dxa"/>
          </w:tcPr>
          <w:p w14:paraId="6F14C400"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Starting Penalty</w:t>
            </w:r>
          </w:p>
        </w:tc>
        <w:tc>
          <w:tcPr>
            <w:tcW w:w="2552" w:type="dxa"/>
          </w:tcPr>
          <w:p w14:paraId="0AB01B54"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Statutory Maximum</w:t>
            </w:r>
          </w:p>
        </w:tc>
      </w:tr>
      <w:tr w:rsidR="009B39CF" w:rsidRPr="0084248F" w14:paraId="7A2C8B93" w14:textId="77777777" w:rsidTr="008C1C14">
        <w:tc>
          <w:tcPr>
            <w:tcW w:w="4531" w:type="dxa"/>
          </w:tcPr>
          <w:p w14:paraId="443579DF"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lastRenderedPageBreak/>
              <w:t>Unlicensed HMO (Mandatory/Additional)</w:t>
            </w:r>
          </w:p>
        </w:tc>
        <w:tc>
          <w:tcPr>
            <w:tcW w:w="2410" w:type="dxa"/>
          </w:tcPr>
          <w:p w14:paraId="52914730"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£17,000</w:t>
            </w:r>
          </w:p>
        </w:tc>
        <w:tc>
          <w:tcPr>
            <w:tcW w:w="2552" w:type="dxa"/>
          </w:tcPr>
          <w:p w14:paraId="2A64DAD9"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£40,000</w:t>
            </w:r>
          </w:p>
        </w:tc>
      </w:tr>
      <w:tr w:rsidR="009B39CF" w:rsidRPr="0084248F" w14:paraId="723F3DCE" w14:textId="77777777" w:rsidTr="008C1C14">
        <w:tc>
          <w:tcPr>
            <w:tcW w:w="4531" w:type="dxa"/>
          </w:tcPr>
          <w:p w14:paraId="19F370F4"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Unlicensed Selective Licensing property</w:t>
            </w:r>
          </w:p>
        </w:tc>
        <w:tc>
          <w:tcPr>
            <w:tcW w:w="2410" w:type="dxa"/>
          </w:tcPr>
          <w:p w14:paraId="2B40FF82"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£12,000</w:t>
            </w:r>
          </w:p>
        </w:tc>
        <w:tc>
          <w:tcPr>
            <w:tcW w:w="2552" w:type="dxa"/>
          </w:tcPr>
          <w:p w14:paraId="7796E0E9"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£40,000</w:t>
            </w:r>
          </w:p>
        </w:tc>
      </w:tr>
      <w:tr w:rsidR="009B39CF" w:rsidRPr="0084248F" w14:paraId="6D00F09D" w14:textId="77777777" w:rsidTr="008C1C14">
        <w:tc>
          <w:tcPr>
            <w:tcW w:w="4531" w:type="dxa"/>
          </w:tcPr>
          <w:p w14:paraId="7F330F14"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Failure to comply with Improvement Notice</w:t>
            </w:r>
          </w:p>
        </w:tc>
        <w:tc>
          <w:tcPr>
            <w:tcW w:w="2410" w:type="dxa"/>
          </w:tcPr>
          <w:p w14:paraId="64D66D39"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£25,000</w:t>
            </w:r>
          </w:p>
        </w:tc>
        <w:tc>
          <w:tcPr>
            <w:tcW w:w="2552" w:type="dxa"/>
          </w:tcPr>
          <w:p w14:paraId="11290066"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£40,000</w:t>
            </w:r>
          </w:p>
        </w:tc>
      </w:tr>
      <w:tr w:rsidR="009B39CF" w:rsidRPr="0084248F" w14:paraId="691DD7F2" w14:textId="77777777" w:rsidTr="008C1C14">
        <w:tc>
          <w:tcPr>
            <w:tcW w:w="4531" w:type="dxa"/>
          </w:tcPr>
          <w:p w14:paraId="581BB3A4"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HMO: Failure to take safety measures</w:t>
            </w:r>
          </w:p>
        </w:tc>
        <w:tc>
          <w:tcPr>
            <w:tcW w:w="2410" w:type="dxa"/>
          </w:tcPr>
          <w:p w14:paraId="39C7771E"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£20,000</w:t>
            </w:r>
          </w:p>
        </w:tc>
        <w:tc>
          <w:tcPr>
            <w:tcW w:w="2552" w:type="dxa"/>
          </w:tcPr>
          <w:p w14:paraId="343179E3"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£40,000</w:t>
            </w:r>
          </w:p>
        </w:tc>
      </w:tr>
      <w:tr w:rsidR="009B39CF" w:rsidRPr="0084248F" w14:paraId="6D665C41" w14:textId="77777777" w:rsidTr="008C1C14">
        <w:tc>
          <w:tcPr>
            <w:tcW w:w="4531" w:type="dxa"/>
          </w:tcPr>
          <w:p w14:paraId="38F260FE"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HMO: Knowingly permitting over-occupation</w:t>
            </w:r>
          </w:p>
        </w:tc>
        <w:tc>
          <w:tcPr>
            <w:tcW w:w="2410" w:type="dxa"/>
          </w:tcPr>
          <w:p w14:paraId="457FB056"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£20,000</w:t>
            </w:r>
          </w:p>
        </w:tc>
        <w:tc>
          <w:tcPr>
            <w:tcW w:w="2552" w:type="dxa"/>
          </w:tcPr>
          <w:p w14:paraId="4E9CB8B2"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£40,000</w:t>
            </w:r>
          </w:p>
        </w:tc>
      </w:tr>
      <w:tr w:rsidR="009B39CF" w:rsidRPr="0084248F" w14:paraId="02B41FF3" w14:textId="77777777" w:rsidTr="008C1C14">
        <w:tc>
          <w:tcPr>
            <w:tcW w:w="4531" w:type="dxa"/>
          </w:tcPr>
          <w:p w14:paraId="0AEE106B" w14:textId="00CFD8B2" w:rsidR="009B39CF" w:rsidRPr="0084248F" w:rsidRDefault="009B39CF" w:rsidP="008C1C14">
            <w:pPr>
              <w:rPr>
                <w:rFonts w:ascii="Arial" w:eastAsia="Aptos" w:hAnsi="Arial" w:cs="Arial"/>
                <w:color w:val="0A0A0A"/>
                <w:sz w:val="28"/>
                <w:szCs w:val="28"/>
              </w:rPr>
            </w:pPr>
            <w:r w:rsidRPr="0084248F">
              <w:rPr>
                <w:rFonts w:ascii="Arial" w:eastAsia="Aptos" w:hAnsi="Arial" w:cs="Arial"/>
                <w:color w:val="0A0A0A"/>
                <w:sz w:val="28"/>
                <w:szCs w:val="28"/>
              </w:rPr>
              <w:t>HMO: Failure to maintain gas/elec</w:t>
            </w:r>
            <w:r w:rsidR="00975ACA" w:rsidRPr="0084248F">
              <w:rPr>
                <w:rFonts w:ascii="Arial" w:eastAsia="Aptos" w:hAnsi="Arial" w:cs="Arial"/>
                <w:color w:val="0A0A0A"/>
                <w:sz w:val="28"/>
                <w:szCs w:val="28"/>
              </w:rPr>
              <w:t>tric</w:t>
            </w:r>
            <w:r w:rsidRPr="0084248F">
              <w:rPr>
                <w:rFonts w:ascii="Arial" w:eastAsia="Aptos" w:hAnsi="Arial" w:cs="Arial"/>
                <w:color w:val="0A0A0A"/>
                <w:sz w:val="28"/>
                <w:szCs w:val="28"/>
              </w:rPr>
              <w:t xml:space="preserve"> certificates</w:t>
            </w:r>
          </w:p>
        </w:tc>
        <w:tc>
          <w:tcPr>
            <w:tcW w:w="2410" w:type="dxa"/>
          </w:tcPr>
          <w:p w14:paraId="69F89470" w14:textId="77777777" w:rsidR="009B39CF" w:rsidRPr="0084248F" w:rsidRDefault="009B39CF" w:rsidP="008C1C14">
            <w:pPr>
              <w:rPr>
                <w:rFonts w:ascii="Arial" w:eastAsia="Aptos" w:hAnsi="Arial" w:cs="Arial"/>
                <w:color w:val="0A0A0A"/>
                <w:sz w:val="28"/>
                <w:szCs w:val="28"/>
              </w:rPr>
            </w:pPr>
            <w:r w:rsidRPr="0084248F">
              <w:rPr>
                <w:rFonts w:ascii="Arial" w:eastAsia="Aptos" w:hAnsi="Arial" w:cs="Arial"/>
                <w:color w:val="0A0A0A"/>
                <w:sz w:val="28"/>
                <w:szCs w:val="28"/>
              </w:rPr>
              <w:t>£12,000</w:t>
            </w:r>
          </w:p>
        </w:tc>
        <w:tc>
          <w:tcPr>
            <w:tcW w:w="2552" w:type="dxa"/>
          </w:tcPr>
          <w:p w14:paraId="0063760A" w14:textId="77777777" w:rsidR="009B39CF" w:rsidRPr="0084248F" w:rsidRDefault="009B39CF" w:rsidP="008C1C14">
            <w:pPr>
              <w:rPr>
                <w:rFonts w:ascii="Arial" w:eastAsia="Aptos" w:hAnsi="Arial" w:cs="Arial"/>
                <w:color w:val="0A0A0A"/>
                <w:sz w:val="28"/>
                <w:szCs w:val="28"/>
              </w:rPr>
            </w:pPr>
            <w:r w:rsidRPr="0084248F">
              <w:rPr>
                <w:rFonts w:ascii="Arial" w:eastAsia="Aptos" w:hAnsi="Arial" w:cs="Arial"/>
                <w:color w:val="0A0A0A"/>
                <w:sz w:val="28"/>
                <w:szCs w:val="28"/>
              </w:rPr>
              <w:t>£40,000</w:t>
            </w:r>
          </w:p>
        </w:tc>
      </w:tr>
      <w:tr w:rsidR="009B39CF" w:rsidRPr="0084248F" w14:paraId="5DB22F24" w14:textId="77777777" w:rsidTr="008C1C14">
        <w:tc>
          <w:tcPr>
            <w:tcW w:w="4531" w:type="dxa"/>
          </w:tcPr>
          <w:p w14:paraId="533A573D" w14:textId="77777777" w:rsidR="009B39CF" w:rsidRPr="0084248F" w:rsidRDefault="009B39CF" w:rsidP="008C1C14">
            <w:pPr>
              <w:rPr>
                <w:rFonts w:ascii="Arial" w:eastAsia="Aptos" w:hAnsi="Arial" w:cs="Arial"/>
                <w:color w:val="0A0A0A"/>
                <w:sz w:val="28"/>
                <w:szCs w:val="28"/>
              </w:rPr>
            </w:pPr>
            <w:r w:rsidRPr="0084248F">
              <w:rPr>
                <w:rFonts w:ascii="Arial" w:eastAsia="Aptos" w:hAnsi="Arial" w:cs="Arial"/>
                <w:color w:val="0A0A0A"/>
                <w:sz w:val="28"/>
                <w:szCs w:val="28"/>
              </w:rPr>
              <w:t>HMO: Failure to maintain common parts</w:t>
            </w:r>
          </w:p>
        </w:tc>
        <w:tc>
          <w:tcPr>
            <w:tcW w:w="2410" w:type="dxa"/>
          </w:tcPr>
          <w:p w14:paraId="00319C97" w14:textId="77777777" w:rsidR="009B39CF" w:rsidRPr="0084248F" w:rsidRDefault="009B39CF" w:rsidP="008C1C14">
            <w:pPr>
              <w:rPr>
                <w:rFonts w:ascii="Arial" w:eastAsia="Aptos" w:hAnsi="Arial" w:cs="Arial"/>
                <w:color w:val="0A0A0A"/>
                <w:sz w:val="28"/>
                <w:szCs w:val="28"/>
              </w:rPr>
            </w:pPr>
            <w:r w:rsidRPr="0084248F">
              <w:rPr>
                <w:rFonts w:ascii="Arial" w:eastAsia="Aptos" w:hAnsi="Arial" w:cs="Arial"/>
                <w:color w:val="0A0A0A"/>
                <w:sz w:val="28"/>
                <w:szCs w:val="28"/>
              </w:rPr>
              <w:t>£7,000</w:t>
            </w:r>
          </w:p>
        </w:tc>
        <w:tc>
          <w:tcPr>
            <w:tcW w:w="2552" w:type="dxa"/>
          </w:tcPr>
          <w:p w14:paraId="0A50ED74" w14:textId="77777777" w:rsidR="009B39CF" w:rsidRPr="0084248F" w:rsidRDefault="009B39CF" w:rsidP="008C1C14">
            <w:pPr>
              <w:rPr>
                <w:rFonts w:ascii="Arial" w:eastAsia="Aptos" w:hAnsi="Arial" w:cs="Arial"/>
                <w:color w:val="0A0A0A"/>
                <w:sz w:val="28"/>
                <w:szCs w:val="28"/>
              </w:rPr>
            </w:pPr>
            <w:r w:rsidRPr="0084248F">
              <w:rPr>
                <w:rFonts w:ascii="Arial" w:eastAsia="Aptos" w:hAnsi="Arial" w:cs="Arial"/>
                <w:color w:val="0A0A0A"/>
                <w:sz w:val="28"/>
                <w:szCs w:val="28"/>
              </w:rPr>
              <w:t>£40,000</w:t>
            </w:r>
          </w:p>
        </w:tc>
      </w:tr>
    </w:tbl>
    <w:p w14:paraId="17C7628B" w14:textId="77777777" w:rsidR="009B39CF" w:rsidRPr="0084248F" w:rsidRDefault="009B39CF" w:rsidP="009B39CF">
      <w:pPr>
        <w:rPr>
          <w:rFonts w:ascii="Arial" w:eastAsia="Aptos" w:hAnsi="Arial" w:cs="Arial"/>
          <w:kern w:val="2"/>
          <w:sz w:val="28"/>
          <w:szCs w:val="28"/>
          <w14:ligatures w14:val="standardContextual"/>
        </w:rPr>
      </w:pPr>
    </w:p>
    <w:p w14:paraId="571C3D52" w14:textId="77777777" w:rsidR="009B39CF" w:rsidRPr="0084248F" w:rsidRDefault="009B39CF" w:rsidP="009B39CF">
      <w:pPr>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t xml:space="preserve">Starting and maximum levels are as per </w:t>
      </w:r>
      <w:hyperlink r:id="rId15" w:tgtFrame="_blank" w:history="1">
        <w:r w:rsidRPr="0084248F">
          <w:rPr>
            <w:rFonts w:ascii="Arial" w:eastAsia="Aptos" w:hAnsi="Arial" w:cs="Arial"/>
            <w:color w:val="467886"/>
            <w:kern w:val="2"/>
            <w:sz w:val="28"/>
            <w:szCs w:val="28"/>
            <w:u w:val="single"/>
            <w14:ligatures w14:val="standardContextual"/>
          </w:rPr>
          <w:t>Statutory Guidance (published 13 November 2025)</w:t>
        </w:r>
      </w:hyperlink>
      <w:r w:rsidRPr="0084248F">
        <w:rPr>
          <w:rFonts w:ascii="Arial" w:eastAsia="Aptos" w:hAnsi="Arial" w:cs="Arial"/>
          <w:kern w:val="2"/>
          <w:sz w:val="28"/>
          <w:szCs w:val="28"/>
          <w14:ligatures w14:val="standardContextual"/>
        </w:rPr>
        <w:t>.</w:t>
      </w:r>
    </w:p>
    <w:p w14:paraId="702C0878" w14:textId="19D008B6" w:rsidR="009B39CF" w:rsidRPr="0084248F" w:rsidRDefault="009B39CF" w:rsidP="009B39CF">
      <w:pPr>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br w:type="page"/>
      </w:r>
    </w:p>
    <w:p w14:paraId="644DC79F" w14:textId="76F6B2B0" w:rsidR="009B39CF" w:rsidRPr="0084248F" w:rsidRDefault="00205209" w:rsidP="009B39CF">
      <w:pPr>
        <w:contextualSpacing/>
        <w:rPr>
          <w:rFonts w:ascii="Arial" w:eastAsia="Aptos" w:hAnsi="Arial" w:cs="Arial"/>
          <w:b/>
          <w:bCs/>
          <w:kern w:val="2"/>
          <w:sz w:val="28"/>
          <w:szCs w:val="28"/>
          <w14:ligatures w14:val="standardContextual"/>
        </w:rPr>
      </w:pPr>
      <w:r w:rsidRPr="0084248F">
        <w:rPr>
          <w:rFonts w:ascii="Arial" w:eastAsia="Aptos" w:hAnsi="Arial" w:cs="Arial"/>
          <w:b/>
          <w:bCs/>
          <w:kern w:val="2"/>
          <w:sz w:val="28"/>
          <w:szCs w:val="28"/>
          <w14:ligatures w14:val="standardContextual"/>
        </w:rPr>
        <w:lastRenderedPageBreak/>
        <w:t>10</w:t>
      </w:r>
      <w:r w:rsidR="006B7007" w:rsidRPr="0084248F">
        <w:rPr>
          <w:rFonts w:ascii="Arial" w:eastAsia="Aptos" w:hAnsi="Arial" w:cs="Arial"/>
          <w:b/>
          <w:bCs/>
          <w:kern w:val="2"/>
          <w:sz w:val="28"/>
          <w:szCs w:val="28"/>
          <w14:ligatures w14:val="standardContextual"/>
        </w:rPr>
        <w:t xml:space="preserve">.2 - </w:t>
      </w:r>
      <w:r w:rsidR="009B39CF" w:rsidRPr="0084248F">
        <w:rPr>
          <w:rFonts w:ascii="Arial" w:eastAsia="Aptos" w:hAnsi="Arial" w:cs="Arial"/>
          <w:b/>
          <w:bCs/>
          <w:kern w:val="2"/>
          <w:sz w:val="28"/>
          <w:szCs w:val="28"/>
          <w14:ligatures w14:val="standardContextual"/>
        </w:rPr>
        <w:t>Enforcement penalties for the Minimum Energy Efficiency Standards (MEES) as per The Energy Efficiency (Private Rented Property) (England and Wales) Regulations 2015.</w:t>
      </w:r>
    </w:p>
    <w:tbl>
      <w:tblPr>
        <w:tblStyle w:val="TableGrid"/>
        <w:tblW w:w="9493" w:type="dxa"/>
        <w:tblLook w:val="04A0" w:firstRow="1" w:lastRow="0" w:firstColumn="1" w:lastColumn="0" w:noHBand="0" w:noVBand="1"/>
      </w:tblPr>
      <w:tblGrid>
        <w:gridCol w:w="4531"/>
        <w:gridCol w:w="2410"/>
        <w:gridCol w:w="2552"/>
      </w:tblGrid>
      <w:tr w:rsidR="009B39CF" w:rsidRPr="0084248F" w14:paraId="212259B5" w14:textId="77777777" w:rsidTr="008C1C14">
        <w:tc>
          <w:tcPr>
            <w:tcW w:w="4531" w:type="dxa"/>
          </w:tcPr>
          <w:p w14:paraId="16F00B7C"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Offence Type </w:t>
            </w:r>
          </w:p>
        </w:tc>
        <w:tc>
          <w:tcPr>
            <w:tcW w:w="2410" w:type="dxa"/>
          </w:tcPr>
          <w:p w14:paraId="11F55D08"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Starting Penalty</w:t>
            </w:r>
          </w:p>
        </w:tc>
        <w:tc>
          <w:tcPr>
            <w:tcW w:w="2552" w:type="dxa"/>
          </w:tcPr>
          <w:p w14:paraId="0CFEAC3D"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Statutory Maximum</w:t>
            </w:r>
          </w:p>
        </w:tc>
      </w:tr>
      <w:tr w:rsidR="009B39CF" w:rsidRPr="0084248F" w14:paraId="23C550AA" w14:textId="77777777" w:rsidTr="008C1C14">
        <w:tc>
          <w:tcPr>
            <w:tcW w:w="4531" w:type="dxa"/>
          </w:tcPr>
          <w:p w14:paraId="3DD83B69"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Renting out a non-compliant property (less than 3 months)</w:t>
            </w:r>
          </w:p>
        </w:tc>
        <w:tc>
          <w:tcPr>
            <w:tcW w:w="2410" w:type="dxa"/>
          </w:tcPr>
          <w:p w14:paraId="2B6C1000"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Up to £2,000</w:t>
            </w:r>
          </w:p>
        </w:tc>
        <w:tc>
          <w:tcPr>
            <w:tcW w:w="2552" w:type="dxa"/>
          </w:tcPr>
          <w:p w14:paraId="6BAE9635"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£2,000</w:t>
            </w:r>
          </w:p>
        </w:tc>
      </w:tr>
      <w:tr w:rsidR="009B39CF" w:rsidRPr="0084248F" w14:paraId="41429B8F" w14:textId="77777777" w:rsidTr="008C1C14">
        <w:tc>
          <w:tcPr>
            <w:tcW w:w="4531" w:type="dxa"/>
          </w:tcPr>
          <w:p w14:paraId="63B44254"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Renting out a non-compliant property (3 months or more)</w:t>
            </w:r>
          </w:p>
        </w:tc>
        <w:tc>
          <w:tcPr>
            <w:tcW w:w="2410" w:type="dxa"/>
          </w:tcPr>
          <w:p w14:paraId="15616FAD"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Up to £4,000</w:t>
            </w:r>
          </w:p>
        </w:tc>
        <w:tc>
          <w:tcPr>
            <w:tcW w:w="2552" w:type="dxa"/>
          </w:tcPr>
          <w:p w14:paraId="56060D8C"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£4,000</w:t>
            </w:r>
          </w:p>
        </w:tc>
      </w:tr>
      <w:tr w:rsidR="009B39CF" w:rsidRPr="0084248F" w14:paraId="50C8A619" w14:textId="77777777" w:rsidTr="008C1C14">
        <w:tc>
          <w:tcPr>
            <w:tcW w:w="4531" w:type="dxa"/>
          </w:tcPr>
          <w:p w14:paraId="3356A5C6"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Providing false/misleading info on the Exemption Register</w:t>
            </w:r>
          </w:p>
        </w:tc>
        <w:tc>
          <w:tcPr>
            <w:tcW w:w="2410" w:type="dxa"/>
          </w:tcPr>
          <w:p w14:paraId="1E227B31"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Up to £1,000</w:t>
            </w:r>
          </w:p>
        </w:tc>
        <w:tc>
          <w:tcPr>
            <w:tcW w:w="2552" w:type="dxa"/>
          </w:tcPr>
          <w:p w14:paraId="2BDCCD9C"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£1,000</w:t>
            </w:r>
          </w:p>
        </w:tc>
      </w:tr>
      <w:tr w:rsidR="009B39CF" w:rsidRPr="0084248F" w14:paraId="2BD1FA99" w14:textId="77777777" w:rsidTr="008C1C14">
        <w:tc>
          <w:tcPr>
            <w:tcW w:w="4531" w:type="dxa"/>
          </w:tcPr>
          <w:p w14:paraId="3C98F169"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Failure to comply with a Compliance Notice</w:t>
            </w:r>
          </w:p>
        </w:tc>
        <w:tc>
          <w:tcPr>
            <w:tcW w:w="2410" w:type="dxa"/>
          </w:tcPr>
          <w:p w14:paraId="52722B4D"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Up to £2,000</w:t>
            </w:r>
          </w:p>
        </w:tc>
        <w:tc>
          <w:tcPr>
            <w:tcW w:w="2552" w:type="dxa"/>
          </w:tcPr>
          <w:p w14:paraId="00F400DE"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£2,000</w:t>
            </w:r>
          </w:p>
        </w:tc>
      </w:tr>
      <w:tr w:rsidR="009B39CF" w:rsidRPr="0084248F" w14:paraId="6F890240" w14:textId="77777777" w:rsidTr="008C1C14">
        <w:tc>
          <w:tcPr>
            <w:tcW w:w="4531" w:type="dxa"/>
          </w:tcPr>
          <w:p w14:paraId="31879108"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Total Cumulative Cap</w:t>
            </w:r>
          </w:p>
        </w:tc>
        <w:tc>
          <w:tcPr>
            <w:tcW w:w="2410" w:type="dxa"/>
          </w:tcPr>
          <w:p w14:paraId="38D3AFE5"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w:t>
            </w:r>
          </w:p>
        </w:tc>
        <w:tc>
          <w:tcPr>
            <w:tcW w:w="2552" w:type="dxa"/>
          </w:tcPr>
          <w:p w14:paraId="2C0FA711"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£5,000 per property</w:t>
            </w:r>
          </w:p>
        </w:tc>
      </w:tr>
    </w:tbl>
    <w:p w14:paraId="76285199" w14:textId="77777777" w:rsidR="009B39CF" w:rsidRPr="0084248F" w:rsidRDefault="009B39CF" w:rsidP="009B39CF">
      <w:pPr>
        <w:rPr>
          <w:rFonts w:ascii="Arial" w:eastAsia="Aptos" w:hAnsi="Arial" w:cs="Arial"/>
          <w:b/>
          <w:bCs/>
          <w:kern w:val="2"/>
          <w:sz w:val="28"/>
          <w:szCs w:val="28"/>
          <w14:ligatures w14:val="standardContextual"/>
        </w:rPr>
      </w:pPr>
      <w:r w:rsidRPr="0084248F">
        <w:rPr>
          <w:rFonts w:ascii="Arial" w:eastAsia="Aptos" w:hAnsi="Arial" w:cs="Arial"/>
          <w:b/>
          <w:bCs/>
          <w:kern w:val="2"/>
          <w:sz w:val="28"/>
          <w:szCs w:val="28"/>
          <w14:ligatures w14:val="standardContextual"/>
        </w:rPr>
        <w:br w:type="page"/>
      </w:r>
    </w:p>
    <w:p w14:paraId="03CF60A2" w14:textId="0220726F" w:rsidR="009B39CF" w:rsidRPr="0084248F" w:rsidRDefault="00205209" w:rsidP="009B39CF">
      <w:pPr>
        <w:rPr>
          <w:rFonts w:ascii="Arial" w:eastAsia="Aptos" w:hAnsi="Arial" w:cs="Arial"/>
          <w:b/>
          <w:bCs/>
          <w:kern w:val="2"/>
          <w:sz w:val="28"/>
          <w:szCs w:val="28"/>
          <w14:ligatures w14:val="standardContextual"/>
        </w:rPr>
      </w:pPr>
      <w:r w:rsidRPr="0084248F">
        <w:rPr>
          <w:rFonts w:ascii="Arial" w:eastAsia="Aptos" w:hAnsi="Arial" w:cs="Arial"/>
          <w:b/>
          <w:bCs/>
          <w:kern w:val="2"/>
          <w:sz w:val="28"/>
          <w:szCs w:val="28"/>
          <w14:ligatures w14:val="standardContextual"/>
        </w:rPr>
        <w:lastRenderedPageBreak/>
        <w:t>10</w:t>
      </w:r>
      <w:r w:rsidR="006B7007" w:rsidRPr="0084248F">
        <w:rPr>
          <w:rFonts w:ascii="Arial" w:eastAsia="Aptos" w:hAnsi="Arial" w:cs="Arial"/>
          <w:b/>
          <w:bCs/>
          <w:kern w:val="2"/>
          <w:sz w:val="28"/>
          <w:szCs w:val="28"/>
          <w14:ligatures w14:val="standardContextual"/>
        </w:rPr>
        <w:t xml:space="preserve">.3 - </w:t>
      </w:r>
      <w:r w:rsidR="009B39CF" w:rsidRPr="0084248F">
        <w:rPr>
          <w:rFonts w:ascii="Arial" w:eastAsia="Aptos" w:hAnsi="Arial" w:cs="Arial"/>
          <w:b/>
          <w:bCs/>
          <w:kern w:val="2"/>
          <w:sz w:val="28"/>
          <w:szCs w:val="28"/>
          <w14:ligatures w14:val="standardContextual"/>
        </w:rPr>
        <w:t>Enforcement penalties for breaches of the Electrical Safety Standards in the Private Rented Sector (England) Regulations 2020</w:t>
      </w:r>
    </w:p>
    <w:tbl>
      <w:tblPr>
        <w:tblStyle w:val="TableGrid"/>
        <w:tblW w:w="9493" w:type="dxa"/>
        <w:tblLook w:val="04A0" w:firstRow="1" w:lastRow="0" w:firstColumn="1" w:lastColumn="0" w:noHBand="0" w:noVBand="1"/>
      </w:tblPr>
      <w:tblGrid>
        <w:gridCol w:w="4531"/>
        <w:gridCol w:w="2410"/>
        <w:gridCol w:w="2552"/>
      </w:tblGrid>
      <w:tr w:rsidR="009B39CF" w:rsidRPr="0084248F" w14:paraId="48123AC8" w14:textId="77777777" w:rsidTr="008C1C14">
        <w:tc>
          <w:tcPr>
            <w:tcW w:w="4531" w:type="dxa"/>
          </w:tcPr>
          <w:p w14:paraId="45BAD8AE"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Offence Type </w:t>
            </w:r>
          </w:p>
        </w:tc>
        <w:tc>
          <w:tcPr>
            <w:tcW w:w="2410" w:type="dxa"/>
          </w:tcPr>
          <w:p w14:paraId="2C175D09"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Starting Penalty</w:t>
            </w:r>
          </w:p>
        </w:tc>
        <w:tc>
          <w:tcPr>
            <w:tcW w:w="2552" w:type="dxa"/>
          </w:tcPr>
          <w:p w14:paraId="1758E33C" w14:textId="77777777" w:rsidR="009B39CF" w:rsidRPr="0084248F" w:rsidRDefault="009B39CF" w:rsidP="008C1C14">
            <w:pPr>
              <w:rPr>
                <w:rFonts w:ascii="Arial" w:eastAsia="Aptos" w:hAnsi="Arial" w:cs="Arial"/>
                <w:sz w:val="28"/>
                <w:szCs w:val="28"/>
              </w:rPr>
            </w:pPr>
            <w:r w:rsidRPr="0084248F">
              <w:rPr>
                <w:rFonts w:ascii="Arial" w:eastAsia="Aptos" w:hAnsi="Arial" w:cs="Arial"/>
                <w:color w:val="0A0A0A"/>
                <w:sz w:val="28"/>
                <w:szCs w:val="28"/>
              </w:rPr>
              <w:t>Statutory Maximum</w:t>
            </w:r>
          </w:p>
        </w:tc>
      </w:tr>
      <w:tr w:rsidR="009B39CF" w:rsidRPr="0084248F" w14:paraId="664B25FC" w14:textId="77777777" w:rsidTr="008C1C14">
        <w:tc>
          <w:tcPr>
            <w:tcW w:w="4531" w:type="dxa"/>
          </w:tcPr>
          <w:p w14:paraId="7E65D728"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Failure to ensure electrical installations are inspected and tested at least every five years and failure to obtain or hold a valid Electrical Installation Condition Report (EICR).</w:t>
            </w:r>
          </w:p>
        </w:tc>
        <w:tc>
          <w:tcPr>
            <w:tcW w:w="2410" w:type="dxa"/>
          </w:tcPr>
          <w:p w14:paraId="23FC04D5"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£5,000</w:t>
            </w:r>
          </w:p>
        </w:tc>
        <w:tc>
          <w:tcPr>
            <w:tcW w:w="2552" w:type="dxa"/>
          </w:tcPr>
          <w:p w14:paraId="1652170E"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£30,000</w:t>
            </w:r>
          </w:p>
        </w:tc>
      </w:tr>
      <w:tr w:rsidR="009B39CF" w:rsidRPr="0084248F" w14:paraId="0F68E097" w14:textId="77777777" w:rsidTr="008C1C14">
        <w:tc>
          <w:tcPr>
            <w:tcW w:w="4531" w:type="dxa"/>
          </w:tcPr>
          <w:p w14:paraId="6BFD33B3"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Failure to provide a copy of a valid EICR to existing tenants, prospective tenants, or the local authority when lawfully required to do so.</w:t>
            </w:r>
          </w:p>
        </w:tc>
        <w:tc>
          <w:tcPr>
            <w:tcW w:w="2410" w:type="dxa"/>
          </w:tcPr>
          <w:p w14:paraId="6BB53D3B"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£5,000</w:t>
            </w:r>
          </w:p>
        </w:tc>
        <w:tc>
          <w:tcPr>
            <w:tcW w:w="2552" w:type="dxa"/>
          </w:tcPr>
          <w:p w14:paraId="22FAED28" w14:textId="77777777" w:rsidR="009B39CF" w:rsidRPr="0084248F" w:rsidRDefault="009B39CF" w:rsidP="008C1C14">
            <w:pPr>
              <w:rPr>
                <w:rFonts w:ascii="Arial" w:eastAsia="Aptos" w:hAnsi="Arial" w:cs="Arial"/>
                <w:sz w:val="28"/>
                <w:szCs w:val="28"/>
              </w:rPr>
            </w:pPr>
            <w:r w:rsidRPr="0084248F">
              <w:rPr>
                <w:rFonts w:ascii="Arial" w:eastAsia="Aptos" w:hAnsi="Arial" w:cs="Arial"/>
                <w:sz w:val="28"/>
                <w:szCs w:val="28"/>
              </w:rPr>
              <w:t>£30,000</w:t>
            </w:r>
          </w:p>
        </w:tc>
      </w:tr>
    </w:tbl>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1276"/>
      </w:tblGrid>
      <w:tr w:rsidR="009B39CF" w:rsidRPr="0084248F" w14:paraId="2252FD0A" w14:textId="77777777" w:rsidTr="008C1C14">
        <w:trPr>
          <w:trHeight w:val="300"/>
        </w:trPr>
        <w:tc>
          <w:tcPr>
            <w:tcW w:w="8222" w:type="dxa"/>
            <w:noWrap/>
            <w:hideMark/>
          </w:tcPr>
          <w:p w14:paraId="457CB827" w14:textId="77777777" w:rsidR="009B39CF" w:rsidRPr="0084248F" w:rsidRDefault="009B39CF" w:rsidP="008C1C14">
            <w:pPr>
              <w:tabs>
                <w:tab w:val="right" w:pos="7252"/>
              </w:tabs>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b/>
                <w:kern w:val="2"/>
                <w:sz w:val="28"/>
                <w:szCs w:val="28"/>
                <w:lang w:eastAsia="en-GB"/>
                <w14:ligatures w14:val="standardContextual"/>
              </w:rPr>
              <w:t>Premiums (use all that apply)</w:t>
            </w:r>
            <w:r w:rsidRPr="0084248F">
              <w:rPr>
                <w:rFonts w:ascii="Arial" w:eastAsia="Times New Roman" w:hAnsi="Arial" w:cs="Arial"/>
                <w:b/>
                <w:kern w:val="2"/>
                <w:sz w:val="28"/>
                <w:szCs w:val="28"/>
                <w:lang w:eastAsia="en-GB"/>
                <w14:ligatures w14:val="standardContextual"/>
              </w:rPr>
              <w:tab/>
            </w:r>
          </w:p>
        </w:tc>
        <w:tc>
          <w:tcPr>
            <w:tcW w:w="1276" w:type="dxa"/>
            <w:noWrap/>
            <w:hideMark/>
          </w:tcPr>
          <w:p w14:paraId="5CB18BF4"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w:t>
            </w:r>
          </w:p>
        </w:tc>
      </w:tr>
      <w:tr w:rsidR="009B39CF" w:rsidRPr="0084248F" w14:paraId="5962A7EC" w14:textId="77777777" w:rsidTr="008C1C14">
        <w:trPr>
          <w:trHeight w:val="145"/>
        </w:trPr>
        <w:tc>
          <w:tcPr>
            <w:tcW w:w="8222" w:type="dxa"/>
            <w:noWrap/>
            <w:hideMark/>
          </w:tcPr>
          <w:p w14:paraId="64C22399"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Acts or omissions demonstrating high culpability                                         </w:t>
            </w:r>
          </w:p>
        </w:tc>
        <w:tc>
          <w:tcPr>
            <w:tcW w:w="1276" w:type="dxa"/>
            <w:noWrap/>
            <w:hideMark/>
          </w:tcPr>
          <w:p w14:paraId="06DCA2EA"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9B39CF" w:rsidRPr="0084248F" w14:paraId="30AEAD92" w14:textId="77777777" w:rsidTr="008C1C14">
        <w:trPr>
          <w:trHeight w:val="300"/>
        </w:trPr>
        <w:tc>
          <w:tcPr>
            <w:tcW w:w="8222" w:type="dxa"/>
            <w:noWrap/>
            <w:hideMark/>
          </w:tcPr>
          <w:p w14:paraId="38D0FC6D"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Large housing portfolio (10+ units of accommodation)</w:t>
            </w:r>
            <w:r w:rsidRPr="0084248F">
              <w:rPr>
                <w:rFonts w:ascii="Arial" w:eastAsia="Times New Roman" w:hAnsi="Arial" w:cs="Arial"/>
                <w:kern w:val="2"/>
                <w:sz w:val="28"/>
                <w:szCs w:val="28"/>
                <w:lang w:eastAsia="en-GB"/>
                <w14:ligatures w14:val="standardContextual"/>
              </w:rPr>
              <w:tab/>
            </w:r>
          </w:p>
        </w:tc>
        <w:tc>
          <w:tcPr>
            <w:tcW w:w="1276" w:type="dxa"/>
            <w:noWrap/>
            <w:hideMark/>
          </w:tcPr>
          <w:p w14:paraId="4470A675"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9B39CF" w:rsidRPr="0084248F" w14:paraId="41DBD5D1" w14:textId="77777777" w:rsidTr="008C1C14">
        <w:trPr>
          <w:trHeight w:val="300"/>
        </w:trPr>
        <w:tc>
          <w:tcPr>
            <w:tcW w:w="8222" w:type="dxa"/>
            <w:noWrap/>
            <w:hideMark/>
          </w:tcPr>
          <w:p w14:paraId="3845966D"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Multiple Category 1 or high Category 2 Hazards</w:t>
            </w:r>
            <w:r w:rsidRPr="0084248F">
              <w:rPr>
                <w:rFonts w:ascii="Arial" w:eastAsia="Times New Roman" w:hAnsi="Arial" w:cs="Arial"/>
                <w:kern w:val="2"/>
                <w:sz w:val="28"/>
                <w:szCs w:val="28"/>
                <w:lang w:eastAsia="en-GB"/>
                <w14:ligatures w14:val="standardContextual"/>
              </w:rPr>
              <w:tab/>
            </w:r>
          </w:p>
        </w:tc>
        <w:tc>
          <w:tcPr>
            <w:tcW w:w="1276" w:type="dxa"/>
            <w:noWrap/>
            <w:hideMark/>
          </w:tcPr>
          <w:p w14:paraId="60A8AC03"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9B39CF" w:rsidRPr="0084248F" w14:paraId="4FE1FB20" w14:textId="77777777" w:rsidTr="008C1C14">
        <w:trPr>
          <w:trHeight w:val="300"/>
        </w:trPr>
        <w:tc>
          <w:tcPr>
            <w:tcW w:w="8222" w:type="dxa"/>
            <w:noWrap/>
            <w:hideMark/>
          </w:tcPr>
          <w:p w14:paraId="29A68DE4"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Vulnerable occupant and/or significant harm occurred as a result of housing conditions                                                                                                     </w:t>
            </w:r>
          </w:p>
        </w:tc>
        <w:tc>
          <w:tcPr>
            <w:tcW w:w="1276" w:type="dxa"/>
            <w:noWrap/>
            <w:hideMark/>
          </w:tcPr>
          <w:p w14:paraId="759E2AEF"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9B39CF" w:rsidRPr="0084248F" w14:paraId="6B22220D" w14:textId="77777777" w:rsidTr="008C1C14">
        <w:trPr>
          <w:trHeight w:val="300"/>
        </w:trPr>
        <w:tc>
          <w:tcPr>
            <w:tcW w:w="8222" w:type="dxa"/>
            <w:noWrap/>
            <w:hideMark/>
          </w:tcPr>
          <w:p w14:paraId="2B6BCE79"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Financial Hardship and Ability to Pay</w:t>
            </w:r>
            <w:r w:rsidRPr="0084248F">
              <w:rPr>
                <w:rFonts w:ascii="Arial" w:eastAsia="Times New Roman" w:hAnsi="Arial" w:cs="Arial"/>
                <w:i/>
                <w:kern w:val="2"/>
                <w:sz w:val="28"/>
                <w:szCs w:val="28"/>
                <w:lang w:eastAsia="en-GB"/>
                <w14:ligatures w14:val="standardContextual"/>
              </w:rPr>
              <w:t xml:space="preserve"> </w:t>
            </w:r>
          </w:p>
        </w:tc>
        <w:tc>
          <w:tcPr>
            <w:tcW w:w="1276" w:type="dxa"/>
            <w:noWrap/>
            <w:hideMark/>
          </w:tcPr>
          <w:p w14:paraId="61DCB53F"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-50%</w:t>
            </w:r>
          </w:p>
        </w:tc>
      </w:tr>
    </w:tbl>
    <w:p w14:paraId="178149B5" w14:textId="77777777" w:rsidR="009B39CF" w:rsidRPr="0084248F" w:rsidRDefault="009B39CF" w:rsidP="009B39CF">
      <w:pPr>
        <w:rPr>
          <w:rFonts w:ascii="Arial" w:eastAsia="Aptos" w:hAnsi="Arial" w:cs="Arial"/>
          <w:kern w:val="2"/>
          <w:sz w:val="28"/>
          <w:szCs w:val="28"/>
          <w14:ligatures w14:val="standardContextual"/>
        </w:rPr>
      </w:pPr>
    </w:p>
    <w:p w14:paraId="55F55754" w14:textId="77777777" w:rsidR="009B39CF" w:rsidRPr="0084248F" w:rsidRDefault="009B39CF" w:rsidP="009B39CF">
      <w:pPr>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t>This starting point of £5000 is determined by the council and reflects the safety</w:t>
      </w:r>
      <w:r w:rsidRPr="0084248F">
        <w:rPr>
          <w:rFonts w:ascii="Arial" w:eastAsia="Aptos" w:hAnsi="Arial" w:cs="Arial"/>
          <w:kern w:val="2"/>
          <w:sz w:val="28"/>
          <w:szCs w:val="28"/>
          <w14:ligatures w14:val="standardContextual"/>
        </w:rPr>
        <w:noBreakHyphen/>
        <w:t>critical nature of electrical compliance, the need for effective deterrence, and the requirement for proportionality. Penalty levels may be adjusted upwards where aggravating factors are present, including but not limited to prolonged non</w:t>
      </w:r>
      <w:r w:rsidRPr="0084248F">
        <w:rPr>
          <w:rFonts w:ascii="Arial" w:eastAsia="Aptos" w:hAnsi="Arial" w:cs="Arial"/>
          <w:kern w:val="2"/>
          <w:sz w:val="28"/>
          <w:szCs w:val="28"/>
          <w14:ligatures w14:val="standardContextual"/>
        </w:rPr>
        <w:noBreakHyphen/>
        <w:t>compliance, identified Category 1 hazards, failure to complete remedial works, multiple breaches, or deliberate or reckless behaviour.</w:t>
      </w:r>
    </w:p>
    <w:p w14:paraId="402422A8" w14:textId="77777777" w:rsidR="009B39CF" w:rsidRPr="0084248F" w:rsidRDefault="009B39CF" w:rsidP="009B39CF">
      <w:pPr>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br w:type="page"/>
      </w:r>
    </w:p>
    <w:p w14:paraId="45526B83" w14:textId="2CEC9859" w:rsidR="009B39CF" w:rsidRPr="0084248F" w:rsidRDefault="00205209" w:rsidP="009B39CF">
      <w:pPr>
        <w:ind w:left="-426"/>
        <w:contextualSpacing/>
        <w:rPr>
          <w:rFonts w:ascii="Arial" w:eastAsia="Times New Roman" w:hAnsi="Arial" w:cs="Arial"/>
          <w:b/>
          <w:kern w:val="2"/>
          <w:sz w:val="28"/>
          <w:szCs w:val="28"/>
          <w:lang w:eastAsia="en-GB"/>
          <w14:ligatures w14:val="standardContextual"/>
        </w:rPr>
      </w:pPr>
      <w:r w:rsidRPr="0084248F">
        <w:rPr>
          <w:rFonts w:ascii="Arial" w:eastAsia="Times New Roman" w:hAnsi="Arial" w:cs="Arial"/>
          <w:b/>
          <w:kern w:val="2"/>
          <w:sz w:val="28"/>
          <w:szCs w:val="28"/>
          <w:lang w:eastAsia="en-GB"/>
          <w14:ligatures w14:val="standardContextual"/>
        </w:rPr>
        <w:lastRenderedPageBreak/>
        <w:t>10</w:t>
      </w:r>
      <w:r w:rsidR="006B7007" w:rsidRPr="0084248F">
        <w:rPr>
          <w:rFonts w:ascii="Arial" w:eastAsia="Times New Roman" w:hAnsi="Arial" w:cs="Arial"/>
          <w:b/>
          <w:kern w:val="2"/>
          <w:sz w:val="28"/>
          <w:szCs w:val="28"/>
          <w:lang w:eastAsia="en-GB"/>
          <w14:ligatures w14:val="standardContextual"/>
        </w:rPr>
        <w:t xml:space="preserve">.4 - </w:t>
      </w:r>
      <w:r w:rsidR="009B39CF" w:rsidRPr="0084248F">
        <w:rPr>
          <w:rFonts w:ascii="Arial" w:eastAsia="Times New Roman" w:hAnsi="Arial" w:cs="Arial"/>
          <w:b/>
          <w:kern w:val="2"/>
          <w:sz w:val="28"/>
          <w:szCs w:val="28"/>
          <w:lang w:eastAsia="en-GB"/>
          <w14:ligatures w14:val="standardContextual"/>
        </w:rPr>
        <w:t>Charging table for determining value of Financial Penalties imposed under Housing Act 2004</w:t>
      </w:r>
    </w:p>
    <w:p w14:paraId="37D428CF" w14:textId="77777777" w:rsidR="002A3120" w:rsidRPr="0084248F" w:rsidRDefault="002A3120" w:rsidP="009B39CF">
      <w:pPr>
        <w:ind w:left="-426"/>
        <w:contextualSpacing/>
        <w:rPr>
          <w:rFonts w:ascii="Arial" w:eastAsia="Times New Roman" w:hAnsi="Arial" w:cs="Arial"/>
          <w:b/>
          <w:kern w:val="2"/>
          <w:sz w:val="28"/>
          <w:szCs w:val="28"/>
          <w:lang w:eastAsia="en-GB"/>
          <w14:ligatures w14:val="standardContextual"/>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9"/>
        <w:gridCol w:w="1237"/>
      </w:tblGrid>
      <w:tr w:rsidR="002A3120" w:rsidRPr="0084248F" w14:paraId="49D9E6CB" w14:textId="77777777" w:rsidTr="002A3120">
        <w:trPr>
          <w:trHeight w:val="300"/>
          <w:jc w:val="center"/>
        </w:trPr>
        <w:tc>
          <w:tcPr>
            <w:tcW w:w="8469" w:type="dxa"/>
            <w:noWrap/>
            <w:hideMark/>
          </w:tcPr>
          <w:p w14:paraId="08AD7ACB" w14:textId="6491B8CD" w:rsidR="002A3120" w:rsidRPr="0084248F" w:rsidRDefault="00863B8B" w:rsidP="00BC0695">
            <w:pPr>
              <w:tabs>
                <w:tab w:val="right" w:pos="7252"/>
              </w:tabs>
              <w:spacing w:after="0" w:line="240" w:lineRule="auto"/>
              <w:jc w:val="both"/>
              <w:rPr>
                <w:rFonts w:ascii="Arial" w:eastAsia="Times New Roman" w:hAnsi="Arial" w:cs="Arial"/>
                <w:b/>
                <w:kern w:val="2"/>
                <w:sz w:val="28"/>
                <w:szCs w:val="28"/>
                <w:lang w:eastAsia="en-GB"/>
                <w14:ligatures w14:val="standardContextual"/>
              </w:rPr>
            </w:pPr>
            <w:r w:rsidRPr="00863B8B">
              <w:rPr>
                <w:rFonts w:ascii="Arial" w:eastAsia="Times New Roman" w:hAnsi="Arial" w:cs="Arial"/>
                <w:b/>
                <w:kern w:val="2"/>
                <w:sz w:val="28"/>
                <w:szCs w:val="28"/>
                <w:lang w:eastAsia="en-GB"/>
                <w14:ligatures w14:val="standardContextual"/>
              </w:rPr>
              <w:t>Failure to carry out works that should be obvious and known to the landlord</w:t>
            </w:r>
          </w:p>
        </w:tc>
        <w:tc>
          <w:tcPr>
            <w:tcW w:w="1237" w:type="dxa"/>
            <w:noWrap/>
            <w:hideMark/>
          </w:tcPr>
          <w:p w14:paraId="024C72B9" w14:textId="77777777" w:rsidR="002A3120" w:rsidRPr="0084248F" w:rsidRDefault="002A3120" w:rsidP="00BC0695">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w:t>
            </w:r>
          </w:p>
        </w:tc>
      </w:tr>
      <w:tr w:rsidR="002A3120" w:rsidRPr="0084248F" w14:paraId="65EDF8E8" w14:textId="77777777" w:rsidTr="002A3120">
        <w:trPr>
          <w:trHeight w:val="300"/>
          <w:jc w:val="center"/>
        </w:trPr>
        <w:tc>
          <w:tcPr>
            <w:tcW w:w="8469" w:type="dxa"/>
            <w:noWrap/>
            <w:hideMark/>
          </w:tcPr>
          <w:p w14:paraId="4777CD71" w14:textId="75E26376" w:rsidR="002A3120" w:rsidRPr="0084248F" w:rsidRDefault="002A3120" w:rsidP="00BC0695">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1st offence</w:t>
            </w:r>
            <w:r w:rsidR="00C70825" w:rsidRPr="0084248F">
              <w:rPr>
                <w:rFonts w:ascii="Arial" w:eastAsia="Times New Roman" w:hAnsi="Arial" w:cs="Arial"/>
                <w:kern w:val="2"/>
                <w:sz w:val="28"/>
                <w:szCs w:val="28"/>
                <w:lang w:eastAsia="en-GB"/>
                <w14:ligatures w14:val="standardContextual"/>
              </w:rPr>
              <w:t xml:space="preserve"> where breach is clear but not caused by long-term failure to act.</w:t>
            </w:r>
            <w:r w:rsidRPr="0084248F">
              <w:rPr>
                <w:rFonts w:ascii="Arial" w:eastAsia="Times New Roman" w:hAnsi="Arial" w:cs="Arial"/>
                <w:kern w:val="2"/>
                <w:sz w:val="28"/>
                <w:szCs w:val="28"/>
                <w:lang w:eastAsia="en-GB"/>
                <w14:ligatures w14:val="standardContextual"/>
              </w:rPr>
              <w:t xml:space="preserve">                                                                                        </w:t>
            </w:r>
          </w:p>
        </w:tc>
        <w:tc>
          <w:tcPr>
            <w:tcW w:w="1237" w:type="dxa"/>
            <w:noWrap/>
            <w:hideMark/>
          </w:tcPr>
          <w:p w14:paraId="5A1154C5" w14:textId="7A239F32" w:rsidR="002A3120" w:rsidRPr="0084248F" w:rsidRDefault="002A3120" w:rsidP="00BC0695">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£4,500</w:t>
            </w:r>
          </w:p>
        </w:tc>
      </w:tr>
      <w:tr w:rsidR="002A3120" w:rsidRPr="0084248F" w14:paraId="763BA903" w14:textId="77777777" w:rsidTr="002A3120">
        <w:trPr>
          <w:trHeight w:val="300"/>
          <w:jc w:val="center"/>
        </w:trPr>
        <w:tc>
          <w:tcPr>
            <w:tcW w:w="8469" w:type="dxa"/>
            <w:noWrap/>
          </w:tcPr>
          <w:p w14:paraId="50631577" w14:textId="4637714A" w:rsidR="002A3120" w:rsidRPr="0084248F" w:rsidRDefault="002A3120" w:rsidP="00BC0695">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Serious long-term disrepair with clear </w:t>
            </w:r>
            <w:r w:rsidR="00C70825" w:rsidRPr="0084248F">
              <w:rPr>
                <w:rFonts w:ascii="Arial" w:eastAsia="Times New Roman" w:hAnsi="Arial" w:cs="Arial"/>
                <w:kern w:val="2"/>
                <w:sz w:val="28"/>
                <w:szCs w:val="28"/>
                <w:lang w:eastAsia="en-GB"/>
                <w14:ligatures w14:val="standardContextual"/>
              </w:rPr>
              <w:t>demonstration of failure to act or consider tenant safety</w:t>
            </w:r>
          </w:p>
        </w:tc>
        <w:tc>
          <w:tcPr>
            <w:tcW w:w="1237" w:type="dxa"/>
            <w:noWrap/>
          </w:tcPr>
          <w:p w14:paraId="043B6919" w14:textId="5662D2EC" w:rsidR="002A3120" w:rsidRPr="0084248F" w:rsidRDefault="00C70825" w:rsidP="00BC0695">
            <w:pPr>
              <w:spacing w:after="0" w:line="240" w:lineRule="auto"/>
              <w:jc w:val="both"/>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£7,000</w:t>
            </w:r>
          </w:p>
        </w:tc>
      </w:tr>
      <w:tr w:rsidR="002A3120" w:rsidRPr="0084248F" w14:paraId="2EC1D6D4" w14:textId="77777777" w:rsidTr="002A3120">
        <w:trPr>
          <w:trHeight w:val="300"/>
          <w:jc w:val="center"/>
        </w:trPr>
        <w:tc>
          <w:tcPr>
            <w:tcW w:w="8469" w:type="dxa"/>
            <w:noWrap/>
            <w:hideMark/>
          </w:tcPr>
          <w:p w14:paraId="7572D955" w14:textId="77777777" w:rsidR="002A3120" w:rsidRPr="0084248F" w:rsidRDefault="002A3120" w:rsidP="00BC0695">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2nd subsequent offence by the same person/company</w:t>
            </w:r>
            <w:r w:rsidRPr="0084248F">
              <w:rPr>
                <w:rFonts w:ascii="Arial" w:eastAsia="Times New Roman" w:hAnsi="Arial" w:cs="Arial"/>
                <w:kern w:val="2"/>
                <w:sz w:val="28"/>
                <w:szCs w:val="28"/>
                <w:lang w:eastAsia="en-GB"/>
                <w14:ligatures w14:val="standardContextual"/>
              </w:rPr>
              <w:tab/>
            </w:r>
          </w:p>
        </w:tc>
        <w:tc>
          <w:tcPr>
            <w:tcW w:w="1237" w:type="dxa"/>
            <w:noWrap/>
            <w:hideMark/>
          </w:tcPr>
          <w:p w14:paraId="52089826" w14:textId="66650B46" w:rsidR="002A3120" w:rsidRPr="0084248F" w:rsidRDefault="002A3120" w:rsidP="00BC0695">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£7,000</w:t>
            </w:r>
          </w:p>
        </w:tc>
      </w:tr>
      <w:tr w:rsidR="002A3120" w:rsidRPr="0084248F" w14:paraId="6A1E29BB" w14:textId="77777777" w:rsidTr="002A3120">
        <w:trPr>
          <w:trHeight w:val="300"/>
          <w:jc w:val="center"/>
        </w:trPr>
        <w:tc>
          <w:tcPr>
            <w:tcW w:w="8469" w:type="dxa"/>
            <w:noWrap/>
            <w:hideMark/>
          </w:tcPr>
          <w:p w14:paraId="5D5B4181" w14:textId="77777777" w:rsidR="002A3120" w:rsidRPr="0084248F" w:rsidRDefault="002A3120" w:rsidP="00BC0695">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Subsequent offences by the same person/company                                          </w:t>
            </w:r>
          </w:p>
        </w:tc>
        <w:tc>
          <w:tcPr>
            <w:tcW w:w="1237" w:type="dxa"/>
            <w:noWrap/>
            <w:hideMark/>
          </w:tcPr>
          <w:p w14:paraId="10ECDE70" w14:textId="796EC6AE" w:rsidR="002A3120" w:rsidRPr="0084248F" w:rsidRDefault="002A3120" w:rsidP="00BC0695">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£7,000</w:t>
            </w:r>
          </w:p>
        </w:tc>
      </w:tr>
    </w:tbl>
    <w:p w14:paraId="0C6137FC" w14:textId="77777777" w:rsidR="002A3120" w:rsidRPr="0084248F" w:rsidRDefault="002A3120" w:rsidP="009B39CF">
      <w:pPr>
        <w:ind w:left="-426"/>
        <w:contextualSpacing/>
        <w:rPr>
          <w:rFonts w:ascii="Arial" w:eastAsia="Aptos" w:hAnsi="Arial" w:cs="Arial"/>
          <w:b/>
          <w:kern w:val="2"/>
          <w:sz w:val="28"/>
          <w:szCs w:val="28"/>
          <w14:ligatures w14:val="standardContextual"/>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9"/>
        <w:gridCol w:w="1237"/>
      </w:tblGrid>
      <w:tr w:rsidR="00FA3324" w:rsidRPr="0084248F" w14:paraId="7958BDEA" w14:textId="77777777" w:rsidTr="00C609C2">
        <w:trPr>
          <w:trHeight w:val="300"/>
          <w:jc w:val="center"/>
        </w:trPr>
        <w:tc>
          <w:tcPr>
            <w:tcW w:w="8469" w:type="dxa"/>
            <w:noWrap/>
            <w:hideMark/>
          </w:tcPr>
          <w:p w14:paraId="65F9DF35" w14:textId="42231E11" w:rsidR="00FA3324" w:rsidRPr="0084248F" w:rsidRDefault="00FA3324" w:rsidP="00C609C2">
            <w:pPr>
              <w:tabs>
                <w:tab w:val="right" w:pos="7252"/>
              </w:tabs>
              <w:spacing w:after="0" w:line="240" w:lineRule="auto"/>
              <w:jc w:val="both"/>
              <w:rPr>
                <w:rFonts w:ascii="Arial" w:eastAsia="Times New Roman" w:hAnsi="Arial" w:cs="Arial"/>
                <w:b/>
                <w:kern w:val="2"/>
                <w:sz w:val="28"/>
                <w:szCs w:val="28"/>
                <w:lang w:eastAsia="en-GB"/>
                <w14:ligatures w14:val="standardContextual"/>
              </w:rPr>
            </w:pPr>
            <w:r w:rsidRPr="0084248F">
              <w:rPr>
                <w:rFonts w:ascii="Arial" w:eastAsia="Times New Roman" w:hAnsi="Arial" w:cs="Arial"/>
                <w:b/>
                <w:kern w:val="2"/>
                <w:sz w:val="28"/>
                <w:szCs w:val="28"/>
                <w:lang w:eastAsia="en-GB"/>
                <w14:ligatures w14:val="standardContextual"/>
              </w:rPr>
              <w:t xml:space="preserve">Failure to register on the landlord database                 </w:t>
            </w:r>
          </w:p>
        </w:tc>
        <w:tc>
          <w:tcPr>
            <w:tcW w:w="1237" w:type="dxa"/>
            <w:noWrap/>
            <w:hideMark/>
          </w:tcPr>
          <w:p w14:paraId="3DF4F49B" w14:textId="77777777" w:rsidR="00FA3324" w:rsidRPr="0084248F" w:rsidRDefault="00FA3324"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w:t>
            </w:r>
          </w:p>
        </w:tc>
      </w:tr>
      <w:tr w:rsidR="00FA3324" w:rsidRPr="0084248F" w14:paraId="120F83D4" w14:textId="77777777" w:rsidTr="00C609C2">
        <w:trPr>
          <w:trHeight w:val="300"/>
          <w:jc w:val="center"/>
        </w:trPr>
        <w:tc>
          <w:tcPr>
            <w:tcW w:w="8469" w:type="dxa"/>
            <w:noWrap/>
            <w:hideMark/>
          </w:tcPr>
          <w:p w14:paraId="5C7AB184" w14:textId="77777777" w:rsidR="00FA3324" w:rsidRPr="0084248F" w:rsidRDefault="00FA3324" w:rsidP="00C609C2">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1st offence where breach is clear but not caused by long-term failure to act.                                                                                        </w:t>
            </w:r>
          </w:p>
        </w:tc>
        <w:tc>
          <w:tcPr>
            <w:tcW w:w="1237" w:type="dxa"/>
            <w:noWrap/>
            <w:hideMark/>
          </w:tcPr>
          <w:p w14:paraId="69F90A5D" w14:textId="2C5309C8" w:rsidR="00FA3324" w:rsidRPr="0084248F" w:rsidRDefault="00FA3324"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FA0FE0" w:rsidRPr="0084248F" w14:paraId="7A4B21A3" w14:textId="77777777" w:rsidTr="00C609C2">
        <w:trPr>
          <w:trHeight w:val="300"/>
          <w:jc w:val="center"/>
        </w:trPr>
        <w:tc>
          <w:tcPr>
            <w:tcW w:w="8469" w:type="dxa"/>
            <w:noWrap/>
          </w:tcPr>
          <w:p w14:paraId="624304C9" w14:textId="5999E667" w:rsidR="00FA0FE0" w:rsidRPr="0084248F" w:rsidRDefault="00FA0FE0" w:rsidP="00C609C2">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Multiple properties (portfolio landlord) not registered at first offense.</w:t>
            </w:r>
          </w:p>
        </w:tc>
        <w:tc>
          <w:tcPr>
            <w:tcW w:w="1237" w:type="dxa"/>
            <w:noWrap/>
          </w:tcPr>
          <w:p w14:paraId="401B81B0" w14:textId="7D27DB05" w:rsidR="00FA0FE0" w:rsidRPr="0084248F" w:rsidRDefault="00FA0FE0" w:rsidP="00C609C2">
            <w:pPr>
              <w:spacing w:after="0" w:line="240" w:lineRule="auto"/>
              <w:jc w:val="both"/>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£20,000</w:t>
            </w:r>
          </w:p>
        </w:tc>
      </w:tr>
      <w:tr w:rsidR="00FA3324" w:rsidRPr="0084248F" w14:paraId="26262244" w14:textId="77777777" w:rsidTr="00C609C2">
        <w:trPr>
          <w:trHeight w:val="300"/>
          <w:jc w:val="center"/>
        </w:trPr>
        <w:tc>
          <w:tcPr>
            <w:tcW w:w="8469" w:type="dxa"/>
            <w:noWrap/>
            <w:hideMark/>
          </w:tcPr>
          <w:p w14:paraId="3F7DDFE5" w14:textId="77777777" w:rsidR="00FA3324" w:rsidRPr="0084248F" w:rsidRDefault="00FA3324" w:rsidP="00C609C2">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Subsequent offences by the same person/company                                          </w:t>
            </w:r>
          </w:p>
        </w:tc>
        <w:tc>
          <w:tcPr>
            <w:tcW w:w="1237" w:type="dxa"/>
            <w:noWrap/>
            <w:hideMark/>
          </w:tcPr>
          <w:p w14:paraId="5B033C1E" w14:textId="27CFE9FE" w:rsidR="00FA3324" w:rsidRPr="0084248F" w:rsidRDefault="00FA3324"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w:t>
            </w:r>
            <w:r w:rsidR="009A0E5C" w:rsidRPr="0084248F">
              <w:rPr>
                <w:rFonts w:ascii="Arial" w:eastAsia="Times New Roman" w:hAnsi="Arial" w:cs="Arial"/>
                <w:kern w:val="2"/>
                <w:sz w:val="28"/>
                <w:szCs w:val="28"/>
                <w:lang w:eastAsia="en-GB"/>
                <w14:ligatures w14:val="standardContextual"/>
              </w:rPr>
              <w:t>5</w:t>
            </w:r>
            <w:r w:rsidRPr="0084248F">
              <w:rPr>
                <w:rFonts w:ascii="Arial" w:eastAsia="Times New Roman" w:hAnsi="Arial" w:cs="Arial"/>
                <w:kern w:val="2"/>
                <w:sz w:val="28"/>
                <w:szCs w:val="28"/>
                <w:lang w:eastAsia="en-GB"/>
                <w14:ligatures w14:val="standardContextual"/>
              </w:rPr>
              <w:t>,000</w:t>
            </w:r>
          </w:p>
        </w:tc>
      </w:tr>
    </w:tbl>
    <w:p w14:paraId="55767DD8" w14:textId="77777777" w:rsidR="00FA3324" w:rsidRPr="0084248F" w:rsidRDefault="00FA3324" w:rsidP="009B39CF">
      <w:pPr>
        <w:ind w:left="-426"/>
        <w:contextualSpacing/>
        <w:rPr>
          <w:rFonts w:ascii="Arial" w:eastAsia="Aptos" w:hAnsi="Arial" w:cs="Arial"/>
          <w:b/>
          <w:kern w:val="2"/>
          <w:sz w:val="28"/>
          <w:szCs w:val="28"/>
          <w14:ligatures w14:val="standardContextual"/>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9"/>
        <w:gridCol w:w="1237"/>
      </w:tblGrid>
      <w:tr w:rsidR="00FA3324" w:rsidRPr="0084248F" w14:paraId="413305CF" w14:textId="77777777" w:rsidTr="00C609C2">
        <w:trPr>
          <w:trHeight w:val="300"/>
          <w:jc w:val="center"/>
        </w:trPr>
        <w:tc>
          <w:tcPr>
            <w:tcW w:w="8469" w:type="dxa"/>
            <w:noWrap/>
            <w:hideMark/>
          </w:tcPr>
          <w:p w14:paraId="6D14E92C" w14:textId="42F98176" w:rsidR="00FA3324" w:rsidRPr="0084248F" w:rsidRDefault="00FA3324" w:rsidP="00FA3324">
            <w:pPr>
              <w:tabs>
                <w:tab w:val="right" w:pos="7252"/>
              </w:tabs>
              <w:spacing w:after="0" w:line="240" w:lineRule="auto"/>
              <w:rPr>
                <w:rFonts w:ascii="Arial" w:eastAsia="Times New Roman" w:hAnsi="Arial" w:cs="Arial"/>
                <w:b/>
                <w:bCs/>
                <w:kern w:val="2"/>
                <w:sz w:val="28"/>
                <w:szCs w:val="28"/>
                <w:lang w:eastAsia="en-GB"/>
                <w14:ligatures w14:val="standardContextual"/>
              </w:rPr>
            </w:pPr>
            <w:r w:rsidRPr="0084248F">
              <w:rPr>
                <w:rFonts w:ascii="Arial" w:eastAsia="Aptos" w:hAnsi="Arial" w:cs="Arial"/>
                <w:b/>
                <w:bCs/>
                <w:sz w:val="28"/>
                <w:szCs w:val="28"/>
              </w:rPr>
              <w:t>Reletting/ Marketing/discrimination/rent in advance/ rental bidding</w:t>
            </w:r>
          </w:p>
        </w:tc>
        <w:tc>
          <w:tcPr>
            <w:tcW w:w="1237" w:type="dxa"/>
            <w:noWrap/>
            <w:hideMark/>
          </w:tcPr>
          <w:p w14:paraId="56421BD8" w14:textId="77777777" w:rsidR="00FA3324" w:rsidRPr="0084248F" w:rsidRDefault="00FA3324"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w:t>
            </w:r>
          </w:p>
        </w:tc>
      </w:tr>
      <w:tr w:rsidR="00FA3324" w:rsidRPr="0084248F" w14:paraId="7208D416" w14:textId="77777777" w:rsidTr="00C609C2">
        <w:trPr>
          <w:trHeight w:val="300"/>
          <w:jc w:val="center"/>
        </w:trPr>
        <w:tc>
          <w:tcPr>
            <w:tcW w:w="8469" w:type="dxa"/>
            <w:noWrap/>
            <w:hideMark/>
          </w:tcPr>
          <w:p w14:paraId="5D72B5F5" w14:textId="335861DE" w:rsidR="00FA3324" w:rsidRPr="0084248F" w:rsidRDefault="00FA3324" w:rsidP="00C609C2">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1st offence </w:t>
            </w:r>
          </w:p>
        </w:tc>
        <w:tc>
          <w:tcPr>
            <w:tcW w:w="1237" w:type="dxa"/>
            <w:noWrap/>
            <w:hideMark/>
          </w:tcPr>
          <w:p w14:paraId="14BB5717" w14:textId="77777777" w:rsidR="00FA3324" w:rsidRPr="0084248F" w:rsidRDefault="00FA3324"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£4,500</w:t>
            </w:r>
          </w:p>
        </w:tc>
      </w:tr>
      <w:tr w:rsidR="00FA3324" w:rsidRPr="0084248F" w14:paraId="222DCBBE" w14:textId="77777777" w:rsidTr="00C609C2">
        <w:trPr>
          <w:trHeight w:val="300"/>
          <w:jc w:val="center"/>
        </w:trPr>
        <w:tc>
          <w:tcPr>
            <w:tcW w:w="8469" w:type="dxa"/>
            <w:noWrap/>
          </w:tcPr>
          <w:p w14:paraId="57BD3BD0" w14:textId="3FE22E1F" w:rsidR="00FA3324" w:rsidRPr="0084248F" w:rsidRDefault="00FA3324" w:rsidP="00C609C2">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Serious long-term multiple examples found</w:t>
            </w:r>
          </w:p>
        </w:tc>
        <w:tc>
          <w:tcPr>
            <w:tcW w:w="1237" w:type="dxa"/>
            <w:noWrap/>
          </w:tcPr>
          <w:p w14:paraId="11AC8317" w14:textId="77777777" w:rsidR="00FA3324" w:rsidRPr="0084248F" w:rsidRDefault="00FA3324" w:rsidP="00C609C2">
            <w:pPr>
              <w:spacing w:after="0" w:line="240" w:lineRule="auto"/>
              <w:jc w:val="both"/>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£7,000</w:t>
            </w:r>
          </w:p>
        </w:tc>
      </w:tr>
      <w:tr w:rsidR="00FA3324" w:rsidRPr="0084248F" w14:paraId="6C79AC1C" w14:textId="77777777" w:rsidTr="00C609C2">
        <w:trPr>
          <w:trHeight w:val="300"/>
          <w:jc w:val="center"/>
        </w:trPr>
        <w:tc>
          <w:tcPr>
            <w:tcW w:w="8469" w:type="dxa"/>
            <w:noWrap/>
            <w:hideMark/>
          </w:tcPr>
          <w:p w14:paraId="51EE0F50" w14:textId="77777777" w:rsidR="00FA3324" w:rsidRPr="0084248F" w:rsidRDefault="00FA3324" w:rsidP="00C609C2">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2nd subsequent offence by the same person/company</w:t>
            </w:r>
            <w:r w:rsidRPr="0084248F">
              <w:rPr>
                <w:rFonts w:ascii="Arial" w:eastAsia="Times New Roman" w:hAnsi="Arial" w:cs="Arial"/>
                <w:kern w:val="2"/>
                <w:sz w:val="28"/>
                <w:szCs w:val="28"/>
                <w:lang w:eastAsia="en-GB"/>
                <w14:ligatures w14:val="standardContextual"/>
              </w:rPr>
              <w:tab/>
            </w:r>
          </w:p>
        </w:tc>
        <w:tc>
          <w:tcPr>
            <w:tcW w:w="1237" w:type="dxa"/>
            <w:noWrap/>
            <w:hideMark/>
          </w:tcPr>
          <w:p w14:paraId="34CE615B" w14:textId="77777777" w:rsidR="00FA3324" w:rsidRPr="0084248F" w:rsidRDefault="00FA3324"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£7,000</w:t>
            </w:r>
          </w:p>
        </w:tc>
      </w:tr>
      <w:tr w:rsidR="00FA3324" w:rsidRPr="0084248F" w14:paraId="2F87A787" w14:textId="77777777" w:rsidTr="00C609C2">
        <w:trPr>
          <w:trHeight w:val="300"/>
          <w:jc w:val="center"/>
        </w:trPr>
        <w:tc>
          <w:tcPr>
            <w:tcW w:w="8469" w:type="dxa"/>
            <w:noWrap/>
            <w:hideMark/>
          </w:tcPr>
          <w:p w14:paraId="12CC9607" w14:textId="77777777" w:rsidR="00FA3324" w:rsidRPr="0084248F" w:rsidRDefault="00FA3324" w:rsidP="00C609C2">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Subsequent offences by the same person/company                                          </w:t>
            </w:r>
          </w:p>
        </w:tc>
        <w:tc>
          <w:tcPr>
            <w:tcW w:w="1237" w:type="dxa"/>
            <w:noWrap/>
            <w:hideMark/>
          </w:tcPr>
          <w:p w14:paraId="4DA434BA" w14:textId="77777777" w:rsidR="00FA3324" w:rsidRPr="0084248F" w:rsidRDefault="00FA3324"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£7,000</w:t>
            </w:r>
          </w:p>
        </w:tc>
      </w:tr>
    </w:tbl>
    <w:p w14:paraId="2C7DB1A6" w14:textId="77777777" w:rsidR="00FA3324" w:rsidRPr="0084248F" w:rsidRDefault="00FA3324" w:rsidP="009B39CF">
      <w:pPr>
        <w:ind w:left="-426"/>
        <w:contextualSpacing/>
        <w:rPr>
          <w:rFonts w:ascii="Arial" w:eastAsia="Aptos" w:hAnsi="Arial" w:cs="Arial"/>
          <w:b/>
          <w:kern w:val="2"/>
          <w:sz w:val="28"/>
          <w:szCs w:val="28"/>
          <w14:ligatures w14:val="standardContextual"/>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9"/>
        <w:gridCol w:w="1237"/>
      </w:tblGrid>
      <w:tr w:rsidR="00FA3324" w:rsidRPr="0084248F" w14:paraId="1DAC2D30" w14:textId="77777777" w:rsidTr="00C609C2">
        <w:trPr>
          <w:trHeight w:val="300"/>
          <w:jc w:val="center"/>
        </w:trPr>
        <w:tc>
          <w:tcPr>
            <w:tcW w:w="8469" w:type="dxa"/>
            <w:noWrap/>
            <w:hideMark/>
          </w:tcPr>
          <w:p w14:paraId="531BB544" w14:textId="31279DA9" w:rsidR="00FA3324" w:rsidRPr="0084248F" w:rsidRDefault="00FA3324" w:rsidP="00C609C2">
            <w:pPr>
              <w:tabs>
                <w:tab w:val="right" w:pos="7252"/>
              </w:tabs>
              <w:spacing w:after="0" w:line="240" w:lineRule="auto"/>
              <w:jc w:val="both"/>
              <w:rPr>
                <w:rFonts w:ascii="Arial" w:eastAsia="Times New Roman" w:hAnsi="Arial" w:cs="Arial"/>
                <w:b/>
                <w:kern w:val="2"/>
                <w:sz w:val="28"/>
                <w:szCs w:val="28"/>
                <w:lang w:eastAsia="en-GB"/>
                <w14:ligatures w14:val="standardContextual"/>
              </w:rPr>
            </w:pPr>
            <w:r w:rsidRPr="0084248F">
              <w:rPr>
                <w:rFonts w:ascii="Arial" w:eastAsia="Times New Roman" w:hAnsi="Arial" w:cs="Arial"/>
                <w:b/>
                <w:kern w:val="2"/>
                <w:sz w:val="28"/>
                <w:szCs w:val="28"/>
                <w:lang w:eastAsia="en-GB"/>
                <w14:ligatures w14:val="standardContextual"/>
              </w:rPr>
              <w:t>Failure to provide documents</w:t>
            </w:r>
          </w:p>
        </w:tc>
        <w:tc>
          <w:tcPr>
            <w:tcW w:w="1237" w:type="dxa"/>
            <w:noWrap/>
            <w:hideMark/>
          </w:tcPr>
          <w:p w14:paraId="6905C6E5" w14:textId="77777777" w:rsidR="00FA3324" w:rsidRPr="0084248F" w:rsidRDefault="00FA3324"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w:t>
            </w:r>
          </w:p>
        </w:tc>
      </w:tr>
      <w:tr w:rsidR="00FA3324" w:rsidRPr="0084248F" w14:paraId="56E03F73" w14:textId="77777777" w:rsidTr="00C609C2">
        <w:trPr>
          <w:trHeight w:val="300"/>
          <w:jc w:val="center"/>
        </w:trPr>
        <w:tc>
          <w:tcPr>
            <w:tcW w:w="8469" w:type="dxa"/>
            <w:noWrap/>
            <w:hideMark/>
          </w:tcPr>
          <w:p w14:paraId="714E56C9" w14:textId="77777777" w:rsidR="00FA3324" w:rsidRPr="0084248F" w:rsidRDefault="00FA3324" w:rsidP="00C609C2">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1st offence </w:t>
            </w:r>
          </w:p>
        </w:tc>
        <w:tc>
          <w:tcPr>
            <w:tcW w:w="1237" w:type="dxa"/>
            <w:noWrap/>
            <w:hideMark/>
          </w:tcPr>
          <w:p w14:paraId="656460BE" w14:textId="77777777" w:rsidR="00FA3324" w:rsidRPr="0084248F" w:rsidRDefault="00FA3324"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£4,500</w:t>
            </w:r>
          </w:p>
        </w:tc>
      </w:tr>
      <w:tr w:rsidR="00FA3324" w:rsidRPr="0084248F" w14:paraId="2286840F" w14:textId="77777777" w:rsidTr="00C609C2">
        <w:trPr>
          <w:trHeight w:val="300"/>
          <w:jc w:val="center"/>
        </w:trPr>
        <w:tc>
          <w:tcPr>
            <w:tcW w:w="8469" w:type="dxa"/>
            <w:noWrap/>
          </w:tcPr>
          <w:p w14:paraId="73EF043A" w14:textId="77777777" w:rsidR="00FA3324" w:rsidRPr="0084248F" w:rsidRDefault="00FA3324" w:rsidP="00C609C2">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Serious long-term multiple examples found</w:t>
            </w:r>
          </w:p>
        </w:tc>
        <w:tc>
          <w:tcPr>
            <w:tcW w:w="1237" w:type="dxa"/>
            <w:noWrap/>
          </w:tcPr>
          <w:p w14:paraId="33822307" w14:textId="77777777" w:rsidR="00FA3324" w:rsidRPr="0084248F" w:rsidRDefault="00FA3324" w:rsidP="00C609C2">
            <w:pPr>
              <w:spacing w:after="0" w:line="240" w:lineRule="auto"/>
              <w:jc w:val="both"/>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£7,000</w:t>
            </w:r>
          </w:p>
        </w:tc>
      </w:tr>
      <w:tr w:rsidR="00FA3324" w:rsidRPr="0084248F" w14:paraId="22C6F9FB" w14:textId="77777777" w:rsidTr="00C609C2">
        <w:trPr>
          <w:trHeight w:val="300"/>
          <w:jc w:val="center"/>
        </w:trPr>
        <w:tc>
          <w:tcPr>
            <w:tcW w:w="8469" w:type="dxa"/>
            <w:noWrap/>
            <w:hideMark/>
          </w:tcPr>
          <w:p w14:paraId="1D84F5FD" w14:textId="77777777" w:rsidR="00FA3324" w:rsidRPr="0084248F" w:rsidRDefault="00FA3324" w:rsidP="00C609C2">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2nd subsequent offence by the same person/company</w:t>
            </w:r>
            <w:r w:rsidRPr="0084248F">
              <w:rPr>
                <w:rFonts w:ascii="Arial" w:eastAsia="Times New Roman" w:hAnsi="Arial" w:cs="Arial"/>
                <w:kern w:val="2"/>
                <w:sz w:val="28"/>
                <w:szCs w:val="28"/>
                <w:lang w:eastAsia="en-GB"/>
                <w14:ligatures w14:val="standardContextual"/>
              </w:rPr>
              <w:tab/>
            </w:r>
          </w:p>
        </w:tc>
        <w:tc>
          <w:tcPr>
            <w:tcW w:w="1237" w:type="dxa"/>
            <w:noWrap/>
            <w:hideMark/>
          </w:tcPr>
          <w:p w14:paraId="10DDA9C7" w14:textId="77777777" w:rsidR="00FA3324" w:rsidRPr="0084248F" w:rsidRDefault="00FA3324"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£7,000</w:t>
            </w:r>
          </w:p>
        </w:tc>
      </w:tr>
      <w:tr w:rsidR="00FA3324" w:rsidRPr="0084248F" w14:paraId="455C529C" w14:textId="77777777" w:rsidTr="00C609C2">
        <w:trPr>
          <w:trHeight w:val="300"/>
          <w:jc w:val="center"/>
        </w:trPr>
        <w:tc>
          <w:tcPr>
            <w:tcW w:w="8469" w:type="dxa"/>
            <w:noWrap/>
            <w:hideMark/>
          </w:tcPr>
          <w:p w14:paraId="4670DEFC" w14:textId="77777777" w:rsidR="00FA3324" w:rsidRPr="0084248F" w:rsidRDefault="00FA3324" w:rsidP="00C609C2">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Subsequent offences by the same person/company                                          </w:t>
            </w:r>
          </w:p>
        </w:tc>
        <w:tc>
          <w:tcPr>
            <w:tcW w:w="1237" w:type="dxa"/>
            <w:noWrap/>
            <w:hideMark/>
          </w:tcPr>
          <w:p w14:paraId="73274A5A" w14:textId="77777777" w:rsidR="00FA3324" w:rsidRPr="0084248F" w:rsidRDefault="00FA3324"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£7,000</w:t>
            </w:r>
          </w:p>
        </w:tc>
      </w:tr>
    </w:tbl>
    <w:p w14:paraId="06CC1FD8" w14:textId="77777777" w:rsidR="00FA3324" w:rsidRPr="0084248F" w:rsidRDefault="00FA3324" w:rsidP="009B39CF">
      <w:pPr>
        <w:ind w:left="-426"/>
        <w:contextualSpacing/>
        <w:rPr>
          <w:rFonts w:ascii="Arial" w:eastAsia="Aptos" w:hAnsi="Arial" w:cs="Arial"/>
          <w:b/>
          <w:kern w:val="2"/>
          <w:sz w:val="28"/>
          <w:szCs w:val="28"/>
          <w14:ligatures w14:val="standardContextual"/>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9"/>
        <w:gridCol w:w="1237"/>
      </w:tblGrid>
      <w:tr w:rsidR="00FA3324" w:rsidRPr="0084248F" w14:paraId="3BF293CF" w14:textId="77777777" w:rsidTr="00C609C2">
        <w:trPr>
          <w:trHeight w:val="300"/>
          <w:jc w:val="center"/>
        </w:trPr>
        <w:tc>
          <w:tcPr>
            <w:tcW w:w="8469" w:type="dxa"/>
            <w:noWrap/>
            <w:hideMark/>
          </w:tcPr>
          <w:p w14:paraId="1FCDB065" w14:textId="03793031" w:rsidR="00FA3324" w:rsidRPr="0084248F" w:rsidRDefault="00FA3324" w:rsidP="00C609C2">
            <w:pPr>
              <w:tabs>
                <w:tab w:val="right" w:pos="7252"/>
              </w:tabs>
              <w:spacing w:after="0" w:line="240" w:lineRule="auto"/>
              <w:jc w:val="both"/>
              <w:rPr>
                <w:rFonts w:ascii="Arial" w:eastAsia="Times New Roman" w:hAnsi="Arial" w:cs="Arial"/>
                <w:b/>
                <w:bCs/>
                <w:kern w:val="2"/>
                <w:sz w:val="28"/>
                <w:szCs w:val="28"/>
                <w:lang w:eastAsia="en-GB"/>
                <w14:ligatures w14:val="standardContextual"/>
              </w:rPr>
            </w:pPr>
            <w:r w:rsidRPr="0084248F">
              <w:rPr>
                <w:rFonts w:ascii="Arial" w:eastAsia="Aptos" w:hAnsi="Arial" w:cs="Arial"/>
                <w:b/>
                <w:bCs/>
                <w:sz w:val="28"/>
                <w:szCs w:val="28"/>
              </w:rPr>
              <w:t>Failure to provide documents</w:t>
            </w:r>
            <w:r w:rsidR="00FC015C" w:rsidRPr="0084248F">
              <w:rPr>
                <w:rFonts w:ascii="Arial" w:eastAsia="Aptos" w:hAnsi="Arial" w:cs="Arial"/>
                <w:b/>
                <w:bCs/>
                <w:sz w:val="28"/>
                <w:szCs w:val="28"/>
              </w:rPr>
              <w:t>/rent increase failures (s13)</w:t>
            </w:r>
          </w:p>
        </w:tc>
        <w:tc>
          <w:tcPr>
            <w:tcW w:w="1237" w:type="dxa"/>
            <w:noWrap/>
            <w:hideMark/>
          </w:tcPr>
          <w:p w14:paraId="30F4D741" w14:textId="77777777" w:rsidR="00FA3324" w:rsidRPr="0084248F" w:rsidRDefault="00FA3324"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w:t>
            </w:r>
          </w:p>
        </w:tc>
      </w:tr>
      <w:tr w:rsidR="00FA3324" w:rsidRPr="0084248F" w14:paraId="5E0534EF" w14:textId="77777777" w:rsidTr="00C609C2">
        <w:trPr>
          <w:trHeight w:val="300"/>
          <w:jc w:val="center"/>
        </w:trPr>
        <w:tc>
          <w:tcPr>
            <w:tcW w:w="8469" w:type="dxa"/>
            <w:noWrap/>
            <w:hideMark/>
          </w:tcPr>
          <w:p w14:paraId="641D32B4" w14:textId="77777777" w:rsidR="00FA3324" w:rsidRPr="0084248F" w:rsidRDefault="00FA3324" w:rsidP="00C609C2">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1st offence </w:t>
            </w:r>
          </w:p>
        </w:tc>
        <w:tc>
          <w:tcPr>
            <w:tcW w:w="1237" w:type="dxa"/>
            <w:noWrap/>
            <w:hideMark/>
          </w:tcPr>
          <w:p w14:paraId="4F2F20AC" w14:textId="533D2101" w:rsidR="00FA3324" w:rsidRPr="0084248F" w:rsidRDefault="00FA3324"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£7,000</w:t>
            </w:r>
          </w:p>
        </w:tc>
      </w:tr>
      <w:tr w:rsidR="00FA3324" w:rsidRPr="0084248F" w14:paraId="39A1B667" w14:textId="77777777" w:rsidTr="00C609C2">
        <w:trPr>
          <w:trHeight w:val="300"/>
          <w:jc w:val="center"/>
        </w:trPr>
        <w:tc>
          <w:tcPr>
            <w:tcW w:w="8469" w:type="dxa"/>
            <w:noWrap/>
          </w:tcPr>
          <w:p w14:paraId="08CC957C" w14:textId="77777777" w:rsidR="00FA3324" w:rsidRPr="0084248F" w:rsidRDefault="00FA3324" w:rsidP="00C609C2">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Serious long-term multiple examples found</w:t>
            </w:r>
          </w:p>
        </w:tc>
        <w:tc>
          <w:tcPr>
            <w:tcW w:w="1237" w:type="dxa"/>
            <w:noWrap/>
          </w:tcPr>
          <w:p w14:paraId="2B8F75AA" w14:textId="4E9508BD" w:rsidR="00FA3324" w:rsidRPr="0084248F" w:rsidRDefault="00FA3324" w:rsidP="00C609C2">
            <w:pPr>
              <w:spacing w:after="0" w:line="240" w:lineRule="auto"/>
              <w:jc w:val="both"/>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£20,000</w:t>
            </w:r>
          </w:p>
        </w:tc>
      </w:tr>
      <w:tr w:rsidR="00FA3324" w:rsidRPr="0084248F" w14:paraId="1966A8E0" w14:textId="77777777" w:rsidTr="00C609C2">
        <w:trPr>
          <w:trHeight w:val="300"/>
          <w:jc w:val="center"/>
        </w:trPr>
        <w:tc>
          <w:tcPr>
            <w:tcW w:w="8469" w:type="dxa"/>
            <w:noWrap/>
            <w:hideMark/>
          </w:tcPr>
          <w:p w14:paraId="0BDF5760" w14:textId="77777777" w:rsidR="00FA3324" w:rsidRPr="0084248F" w:rsidRDefault="00FA3324" w:rsidP="00C609C2">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2nd subsequent offence by the same person/company</w:t>
            </w:r>
            <w:r w:rsidRPr="0084248F">
              <w:rPr>
                <w:rFonts w:ascii="Arial" w:eastAsia="Times New Roman" w:hAnsi="Arial" w:cs="Arial"/>
                <w:kern w:val="2"/>
                <w:sz w:val="28"/>
                <w:szCs w:val="28"/>
                <w:lang w:eastAsia="en-GB"/>
                <w14:ligatures w14:val="standardContextual"/>
              </w:rPr>
              <w:tab/>
            </w:r>
          </w:p>
        </w:tc>
        <w:tc>
          <w:tcPr>
            <w:tcW w:w="1237" w:type="dxa"/>
            <w:noWrap/>
            <w:hideMark/>
          </w:tcPr>
          <w:p w14:paraId="1227BC12" w14:textId="52A694E2" w:rsidR="00FA3324" w:rsidRPr="0084248F" w:rsidRDefault="00FA3324"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w:t>
            </w:r>
            <w:r w:rsidR="00FC015C" w:rsidRPr="0084248F">
              <w:rPr>
                <w:rFonts w:ascii="Arial" w:eastAsia="Times New Roman" w:hAnsi="Arial" w:cs="Arial"/>
                <w:kern w:val="2"/>
                <w:sz w:val="28"/>
                <w:szCs w:val="28"/>
                <w:lang w:eastAsia="en-GB"/>
                <w14:ligatures w14:val="standardContextual"/>
              </w:rPr>
              <w:t>20</w:t>
            </w:r>
            <w:r w:rsidRPr="0084248F">
              <w:rPr>
                <w:rFonts w:ascii="Arial" w:eastAsia="Times New Roman" w:hAnsi="Arial" w:cs="Arial"/>
                <w:kern w:val="2"/>
                <w:sz w:val="28"/>
                <w:szCs w:val="28"/>
                <w:lang w:eastAsia="en-GB"/>
                <w14:ligatures w14:val="standardContextual"/>
              </w:rPr>
              <w:t>,000</w:t>
            </w:r>
          </w:p>
        </w:tc>
      </w:tr>
      <w:tr w:rsidR="00FC015C" w:rsidRPr="0084248F" w14:paraId="6FEDF412" w14:textId="77777777" w:rsidTr="00C609C2">
        <w:trPr>
          <w:trHeight w:val="300"/>
          <w:jc w:val="center"/>
        </w:trPr>
        <w:tc>
          <w:tcPr>
            <w:tcW w:w="8469" w:type="dxa"/>
            <w:noWrap/>
          </w:tcPr>
          <w:p w14:paraId="49EEDDD6" w14:textId="453E1F62" w:rsidR="00FC015C" w:rsidRPr="0084248F" w:rsidRDefault="00FC015C" w:rsidP="00C609C2">
            <w:pPr>
              <w:tabs>
                <w:tab w:val="right" w:pos="7252"/>
              </w:tabs>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3rd subsequent offence by the same person/company</w:t>
            </w:r>
          </w:p>
        </w:tc>
        <w:tc>
          <w:tcPr>
            <w:tcW w:w="1237" w:type="dxa"/>
            <w:noWrap/>
          </w:tcPr>
          <w:p w14:paraId="6BC1412B" w14:textId="127FD4F9" w:rsidR="00FC015C" w:rsidRPr="0084248F" w:rsidRDefault="00FC015C" w:rsidP="00C609C2">
            <w:pPr>
              <w:spacing w:after="0" w:line="240" w:lineRule="auto"/>
              <w:jc w:val="both"/>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£30,000</w:t>
            </w:r>
          </w:p>
        </w:tc>
      </w:tr>
      <w:tr w:rsidR="00FA3324" w:rsidRPr="0084248F" w14:paraId="672F9CF0" w14:textId="77777777" w:rsidTr="00C609C2">
        <w:trPr>
          <w:trHeight w:val="300"/>
          <w:jc w:val="center"/>
        </w:trPr>
        <w:tc>
          <w:tcPr>
            <w:tcW w:w="8469" w:type="dxa"/>
            <w:noWrap/>
            <w:hideMark/>
          </w:tcPr>
          <w:p w14:paraId="126964E8" w14:textId="77777777" w:rsidR="00FA3324" w:rsidRPr="0084248F" w:rsidRDefault="00FA3324" w:rsidP="00C609C2">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Subsequent offences by the same person/company                                          </w:t>
            </w:r>
          </w:p>
        </w:tc>
        <w:tc>
          <w:tcPr>
            <w:tcW w:w="1237" w:type="dxa"/>
            <w:noWrap/>
            <w:hideMark/>
          </w:tcPr>
          <w:p w14:paraId="7050CF5A" w14:textId="040B27E8" w:rsidR="00FA3324" w:rsidRPr="0084248F" w:rsidRDefault="00FA3324"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w:t>
            </w:r>
            <w:r w:rsidR="00FC015C" w:rsidRPr="0084248F">
              <w:rPr>
                <w:rFonts w:ascii="Arial" w:eastAsia="Times New Roman" w:hAnsi="Arial" w:cs="Arial"/>
                <w:kern w:val="2"/>
                <w:sz w:val="28"/>
                <w:szCs w:val="28"/>
                <w:lang w:eastAsia="en-GB"/>
                <w14:ligatures w14:val="standardContextual"/>
              </w:rPr>
              <w:t>40</w:t>
            </w:r>
            <w:r w:rsidRPr="0084248F">
              <w:rPr>
                <w:rFonts w:ascii="Arial" w:eastAsia="Times New Roman" w:hAnsi="Arial" w:cs="Arial"/>
                <w:kern w:val="2"/>
                <w:sz w:val="28"/>
                <w:szCs w:val="28"/>
                <w:lang w:eastAsia="en-GB"/>
                <w14:ligatures w14:val="standardContextual"/>
              </w:rPr>
              <w:t>,000</w:t>
            </w:r>
          </w:p>
        </w:tc>
      </w:tr>
    </w:tbl>
    <w:p w14:paraId="05F34A53" w14:textId="77777777" w:rsidR="009B39CF" w:rsidRPr="0084248F" w:rsidRDefault="009B39CF" w:rsidP="009B39CF">
      <w:pPr>
        <w:spacing w:after="0" w:line="240" w:lineRule="auto"/>
        <w:jc w:val="center"/>
        <w:rPr>
          <w:rFonts w:ascii="Arial" w:eastAsia="Times New Roman" w:hAnsi="Arial" w:cs="Arial"/>
          <w:b/>
          <w:bCs/>
          <w:kern w:val="2"/>
          <w:sz w:val="28"/>
          <w:szCs w:val="28"/>
          <w:lang w:eastAsia="en-GB"/>
          <w14:ligatures w14:val="standardContextual"/>
        </w:rPr>
      </w:pPr>
    </w:p>
    <w:p w14:paraId="6A834E79" w14:textId="77777777" w:rsidR="00FC015C" w:rsidRDefault="00FC015C" w:rsidP="009B39CF">
      <w:pPr>
        <w:spacing w:after="0" w:line="240" w:lineRule="auto"/>
        <w:jc w:val="center"/>
        <w:rPr>
          <w:rFonts w:ascii="Arial" w:eastAsia="Times New Roman" w:hAnsi="Arial" w:cs="Arial"/>
          <w:b/>
          <w:bCs/>
          <w:kern w:val="2"/>
          <w:sz w:val="28"/>
          <w:szCs w:val="28"/>
          <w:lang w:eastAsia="en-GB"/>
          <w14:ligatures w14:val="standardContextual"/>
        </w:rPr>
      </w:pPr>
    </w:p>
    <w:p w14:paraId="49DC7804" w14:textId="77777777" w:rsidR="00863B8B" w:rsidRPr="0084248F" w:rsidRDefault="00863B8B" w:rsidP="009B39CF">
      <w:pPr>
        <w:spacing w:after="0" w:line="240" w:lineRule="auto"/>
        <w:jc w:val="center"/>
        <w:rPr>
          <w:rFonts w:ascii="Arial" w:eastAsia="Times New Roman" w:hAnsi="Arial" w:cs="Arial"/>
          <w:b/>
          <w:bCs/>
          <w:kern w:val="2"/>
          <w:sz w:val="28"/>
          <w:szCs w:val="28"/>
          <w:lang w:eastAsia="en-GB"/>
          <w14:ligatures w14:val="standardContextual"/>
        </w:rPr>
      </w:pPr>
    </w:p>
    <w:p w14:paraId="56D1FD70" w14:textId="77777777" w:rsidR="00FC015C" w:rsidRPr="0084248F" w:rsidRDefault="00FC015C" w:rsidP="009B39CF">
      <w:pPr>
        <w:spacing w:after="0" w:line="240" w:lineRule="auto"/>
        <w:jc w:val="center"/>
        <w:rPr>
          <w:rFonts w:ascii="Arial" w:eastAsia="Times New Roman" w:hAnsi="Arial" w:cs="Arial"/>
          <w:b/>
          <w:bCs/>
          <w:kern w:val="2"/>
          <w:sz w:val="28"/>
          <w:szCs w:val="28"/>
          <w:lang w:eastAsia="en-GB"/>
          <w14:ligatures w14:val="standardContextual"/>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9"/>
        <w:gridCol w:w="1237"/>
      </w:tblGrid>
      <w:tr w:rsidR="00FC015C" w:rsidRPr="0084248F" w14:paraId="2E55EB48" w14:textId="77777777" w:rsidTr="00C609C2">
        <w:trPr>
          <w:trHeight w:val="300"/>
          <w:jc w:val="center"/>
        </w:trPr>
        <w:tc>
          <w:tcPr>
            <w:tcW w:w="8469" w:type="dxa"/>
            <w:noWrap/>
            <w:hideMark/>
          </w:tcPr>
          <w:p w14:paraId="10669546" w14:textId="6AB0529A" w:rsidR="00FC015C" w:rsidRPr="0084248F" w:rsidRDefault="00FC015C" w:rsidP="00C609C2">
            <w:pPr>
              <w:tabs>
                <w:tab w:val="right" w:pos="7252"/>
              </w:tabs>
              <w:spacing w:after="0" w:line="240" w:lineRule="auto"/>
              <w:jc w:val="both"/>
              <w:rPr>
                <w:rFonts w:ascii="Arial" w:eastAsia="Times New Roman" w:hAnsi="Arial" w:cs="Arial"/>
                <w:b/>
                <w:bCs/>
                <w:kern w:val="2"/>
                <w:sz w:val="28"/>
                <w:szCs w:val="28"/>
                <w:lang w:eastAsia="en-GB"/>
                <w14:ligatures w14:val="standardContextual"/>
              </w:rPr>
            </w:pPr>
            <w:r w:rsidRPr="0084248F">
              <w:rPr>
                <w:rFonts w:ascii="Arial" w:eastAsia="Aptos" w:hAnsi="Arial" w:cs="Arial"/>
                <w:b/>
                <w:bCs/>
                <w:sz w:val="28"/>
                <w:szCs w:val="28"/>
              </w:rPr>
              <w:t>Illegal eviction</w:t>
            </w:r>
          </w:p>
        </w:tc>
        <w:tc>
          <w:tcPr>
            <w:tcW w:w="1237" w:type="dxa"/>
            <w:noWrap/>
            <w:hideMark/>
          </w:tcPr>
          <w:p w14:paraId="4A796649" w14:textId="77777777" w:rsidR="00FC015C" w:rsidRPr="0084248F" w:rsidRDefault="00FC015C"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w:t>
            </w:r>
          </w:p>
        </w:tc>
      </w:tr>
      <w:tr w:rsidR="00FC015C" w:rsidRPr="0084248F" w14:paraId="3C583BA7" w14:textId="77777777" w:rsidTr="00C609C2">
        <w:trPr>
          <w:trHeight w:val="300"/>
          <w:jc w:val="center"/>
        </w:trPr>
        <w:tc>
          <w:tcPr>
            <w:tcW w:w="8469" w:type="dxa"/>
            <w:noWrap/>
            <w:hideMark/>
          </w:tcPr>
          <w:p w14:paraId="312FE267" w14:textId="77777777" w:rsidR="00FC015C" w:rsidRPr="0084248F" w:rsidRDefault="00FC015C" w:rsidP="00C609C2">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1st offence </w:t>
            </w:r>
          </w:p>
        </w:tc>
        <w:tc>
          <w:tcPr>
            <w:tcW w:w="1237" w:type="dxa"/>
            <w:noWrap/>
            <w:hideMark/>
          </w:tcPr>
          <w:p w14:paraId="150D5A91" w14:textId="299A5710" w:rsidR="00FC015C" w:rsidRPr="0084248F" w:rsidRDefault="00FC015C"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£30,000</w:t>
            </w:r>
          </w:p>
        </w:tc>
      </w:tr>
      <w:tr w:rsidR="00FC015C" w:rsidRPr="0084248F" w14:paraId="6B904EC6" w14:textId="77777777" w:rsidTr="00C609C2">
        <w:trPr>
          <w:trHeight w:val="300"/>
          <w:jc w:val="center"/>
        </w:trPr>
        <w:tc>
          <w:tcPr>
            <w:tcW w:w="8469" w:type="dxa"/>
            <w:noWrap/>
          </w:tcPr>
          <w:p w14:paraId="1FF53A61" w14:textId="5910DEA8" w:rsidR="00FC015C" w:rsidRPr="0084248F" w:rsidRDefault="00FC015C" w:rsidP="00C609C2">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Serious multiple examples found</w:t>
            </w:r>
          </w:p>
        </w:tc>
        <w:tc>
          <w:tcPr>
            <w:tcW w:w="1237" w:type="dxa"/>
            <w:noWrap/>
          </w:tcPr>
          <w:p w14:paraId="1DCD645F" w14:textId="34AD35CB" w:rsidR="00FC015C" w:rsidRPr="0084248F" w:rsidRDefault="00FC015C" w:rsidP="00C609C2">
            <w:pPr>
              <w:spacing w:after="0" w:line="240" w:lineRule="auto"/>
              <w:jc w:val="both"/>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£40,000</w:t>
            </w:r>
          </w:p>
        </w:tc>
      </w:tr>
      <w:tr w:rsidR="00FC015C" w:rsidRPr="0084248F" w14:paraId="6D1BA354" w14:textId="77777777" w:rsidTr="00C609C2">
        <w:trPr>
          <w:trHeight w:val="300"/>
          <w:jc w:val="center"/>
        </w:trPr>
        <w:tc>
          <w:tcPr>
            <w:tcW w:w="8469" w:type="dxa"/>
            <w:noWrap/>
            <w:hideMark/>
          </w:tcPr>
          <w:p w14:paraId="05773F4F" w14:textId="77777777" w:rsidR="00FC015C" w:rsidRPr="0084248F" w:rsidRDefault="00FC015C" w:rsidP="00C609C2">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Subsequent offences by the same person/company                                          </w:t>
            </w:r>
          </w:p>
        </w:tc>
        <w:tc>
          <w:tcPr>
            <w:tcW w:w="1237" w:type="dxa"/>
            <w:noWrap/>
            <w:hideMark/>
          </w:tcPr>
          <w:p w14:paraId="4AC47079" w14:textId="77777777" w:rsidR="00FC015C" w:rsidRPr="0084248F" w:rsidRDefault="00FC015C"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£40,000</w:t>
            </w:r>
          </w:p>
        </w:tc>
      </w:tr>
    </w:tbl>
    <w:p w14:paraId="264AC169" w14:textId="77777777" w:rsidR="00FC015C" w:rsidRPr="0084248F" w:rsidRDefault="00FC015C" w:rsidP="009B39CF">
      <w:pPr>
        <w:spacing w:after="0" w:line="240" w:lineRule="auto"/>
        <w:jc w:val="center"/>
        <w:rPr>
          <w:rFonts w:ascii="Arial" w:eastAsia="Times New Roman" w:hAnsi="Arial" w:cs="Arial"/>
          <w:b/>
          <w:bCs/>
          <w:kern w:val="2"/>
          <w:sz w:val="28"/>
          <w:szCs w:val="28"/>
          <w:lang w:eastAsia="en-GB"/>
          <w14:ligatures w14:val="standardContextual"/>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9"/>
        <w:gridCol w:w="1237"/>
      </w:tblGrid>
      <w:tr w:rsidR="00FC015C" w:rsidRPr="0084248F" w14:paraId="50E8F971" w14:textId="77777777" w:rsidTr="00C609C2">
        <w:trPr>
          <w:trHeight w:val="300"/>
          <w:jc w:val="center"/>
        </w:trPr>
        <w:tc>
          <w:tcPr>
            <w:tcW w:w="8469" w:type="dxa"/>
            <w:noWrap/>
            <w:hideMark/>
          </w:tcPr>
          <w:p w14:paraId="1B4BCB49" w14:textId="7C1DEE5B" w:rsidR="00FC015C" w:rsidRPr="0084248F" w:rsidRDefault="00FC015C" w:rsidP="00C609C2">
            <w:pPr>
              <w:tabs>
                <w:tab w:val="right" w:pos="7252"/>
              </w:tabs>
              <w:spacing w:after="0" w:line="240" w:lineRule="auto"/>
              <w:jc w:val="both"/>
              <w:rPr>
                <w:rFonts w:ascii="Arial" w:eastAsia="Times New Roman" w:hAnsi="Arial" w:cs="Arial"/>
                <w:b/>
                <w:bCs/>
                <w:kern w:val="2"/>
                <w:sz w:val="28"/>
                <w:szCs w:val="28"/>
                <w:lang w:eastAsia="en-GB"/>
                <w14:ligatures w14:val="standardContextual"/>
              </w:rPr>
            </w:pPr>
            <w:r w:rsidRPr="0084248F">
              <w:rPr>
                <w:rFonts w:ascii="Arial" w:eastAsia="Aptos" w:hAnsi="Arial" w:cs="Arial"/>
                <w:b/>
                <w:bCs/>
                <w:sz w:val="28"/>
                <w:szCs w:val="28"/>
              </w:rPr>
              <w:t>Periodic Tenancies</w:t>
            </w:r>
          </w:p>
        </w:tc>
        <w:tc>
          <w:tcPr>
            <w:tcW w:w="1237" w:type="dxa"/>
            <w:noWrap/>
            <w:hideMark/>
          </w:tcPr>
          <w:p w14:paraId="45C27AAC" w14:textId="77777777" w:rsidR="00FC015C" w:rsidRPr="0084248F" w:rsidRDefault="00FC015C"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w:t>
            </w:r>
          </w:p>
        </w:tc>
      </w:tr>
      <w:tr w:rsidR="00FC015C" w:rsidRPr="0084248F" w14:paraId="3FC5927C" w14:textId="77777777" w:rsidTr="00C609C2">
        <w:trPr>
          <w:trHeight w:val="300"/>
          <w:jc w:val="center"/>
        </w:trPr>
        <w:tc>
          <w:tcPr>
            <w:tcW w:w="8469" w:type="dxa"/>
            <w:noWrap/>
            <w:hideMark/>
          </w:tcPr>
          <w:p w14:paraId="14B63F8B" w14:textId="77777777" w:rsidR="00FC015C" w:rsidRPr="0084248F" w:rsidRDefault="00FC015C" w:rsidP="00C609C2">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1st offence </w:t>
            </w:r>
          </w:p>
        </w:tc>
        <w:tc>
          <w:tcPr>
            <w:tcW w:w="1237" w:type="dxa"/>
            <w:noWrap/>
            <w:hideMark/>
          </w:tcPr>
          <w:p w14:paraId="2EB062A8" w14:textId="4869B26F" w:rsidR="00FC015C" w:rsidRPr="0084248F" w:rsidRDefault="00FC015C"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£4,000</w:t>
            </w:r>
          </w:p>
        </w:tc>
      </w:tr>
      <w:tr w:rsidR="00FC015C" w:rsidRPr="0084248F" w14:paraId="0D487107" w14:textId="77777777" w:rsidTr="00C609C2">
        <w:trPr>
          <w:trHeight w:val="300"/>
          <w:jc w:val="center"/>
        </w:trPr>
        <w:tc>
          <w:tcPr>
            <w:tcW w:w="8469" w:type="dxa"/>
            <w:noWrap/>
          </w:tcPr>
          <w:p w14:paraId="19917584" w14:textId="77777777" w:rsidR="00FC015C" w:rsidRPr="0084248F" w:rsidRDefault="00FC015C" w:rsidP="00C609C2">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Serious multiple examples found</w:t>
            </w:r>
          </w:p>
        </w:tc>
        <w:tc>
          <w:tcPr>
            <w:tcW w:w="1237" w:type="dxa"/>
            <w:noWrap/>
          </w:tcPr>
          <w:p w14:paraId="7C5613F4" w14:textId="08F66FA5" w:rsidR="00FC015C" w:rsidRPr="0084248F" w:rsidRDefault="00FC015C" w:rsidP="00C609C2">
            <w:pPr>
              <w:spacing w:after="0" w:line="240" w:lineRule="auto"/>
              <w:jc w:val="both"/>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£20,000</w:t>
            </w:r>
          </w:p>
        </w:tc>
      </w:tr>
      <w:tr w:rsidR="00FC015C" w:rsidRPr="0084248F" w14:paraId="4618D9B6" w14:textId="77777777" w:rsidTr="00C609C2">
        <w:trPr>
          <w:trHeight w:val="300"/>
          <w:jc w:val="center"/>
        </w:trPr>
        <w:tc>
          <w:tcPr>
            <w:tcW w:w="8469" w:type="dxa"/>
            <w:noWrap/>
            <w:hideMark/>
          </w:tcPr>
          <w:p w14:paraId="0A2EF79C" w14:textId="77777777" w:rsidR="00FC015C" w:rsidRPr="0084248F" w:rsidRDefault="00FC015C" w:rsidP="00C609C2">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2nd subsequent offence by the same person/company</w:t>
            </w:r>
            <w:r w:rsidRPr="0084248F">
              <w:rPr>
                <w:rFonts w:ascii="Arial" w:eastAsia="Times New Roman" w:hAnsi="Arial" w:cs="Arial"/>
                <w:kern w:val="2"/>
                <w:sz w:val="28"/>
                <w:szCs w:val="28"/>
                <w:lang w:eastAsia="en-GB"/>
                <w14:ligatures w14:val="standardContextual"/>
              </w:rPr>
              <w:tab/>
            </w:r>
          </w:p>
        </w:tc>
        <w:tc>
          <w:tcPr>
            <w:tcW w:w="1237" w:type="dxa"/>
            <w:noWrap/>
            <w:hideMark/>
          </w:tcPr>
          <w:p w14:paraId="46DDCD46" w14:textId="77777777" w:rsidR="00FC015C" w:rsidRPr="0084248F" w:rsidRDefault="00FC015C"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£20,000</w:t>
            </w:r>
          </w:p>
        </w:tc>
      </w:tr>
      <w:tr w:rsidR="00FC015C" w:rsidRPr="0084248F" w14:paraId="1BCDAE80" w14:textId="77777777" w:rsidTr="00C609C2">
        <w:trPr>
          <w:trHeight w:val="300"/>
          <w:jc w:val="center"/>
        </w:trPr>
        <w:tc>
          <w:tcPr>
            <w:tcW w:w="8469" w:type="dxa"/>
            <w:noWrap/>
          </w:tcPr>
          <w:p w14:paraId="4264E872" w14:textId="77777777" w:rsidR="00FC015C" w:rsidRPr="0084248F" w:rsidRDefault="00FC015C" w:rsidP="00C609C2">
            <w:pPr>
              <w:tabs>
                <w:tab w:val="right" w:pos="7252"/>
              </w:tabs>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3rd subsequent offence by the same person/company</w:t>
            </w:r>
          </w:p>
        </w:tc>
        <w:tc>
          <w:tcPr>
            <w:tcW w:w="1237" w:type="dxa"/>
            <w:noWrap/>
          </w:tcPr>
          <w:p w14:paraId="34362246" w14:textId="77777777" w:rsidR="00FC015C" w:rsidRPr="0084248F" w:rsidRDefault="00FC015C" w:rsidP="00C609C2">
            <w:pPr>
              <w:spacing w:after="0" w:line="240" w:lineRule="auto"/>
              <w:jc w:val="both"/>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£30,000</w:t>
            </w:r>
          </w:p>
        </w:tc>
      </w:tr>
      <w:tr w:rsidR="00FC015C" w:rsidRPr="0084248F" w14:paraId="711FD05D" w14:textId="77777777" w:rsidTr="00C609C2">
        <w:trPr>
          <w:trHeight w:val="300"/>
          <w:jc w:val="center"/>
        </w:trPr>
        <w:tc>
          <w:tcPr>
            <w:tcW w:w="8469" w:type="dxa"/>
            <w:noWrap/>
            <w:hideMark/>
          </w:tcPr>
          <w:p w14:paraId="2F24D6E9" w14:textId="77777777" w:rsidR="00FC015C" w:rsidRPr="0084248F" w:rsidRDefault="00FC015C" w:rsidP="00C609C2">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Subsequent offences by the same person/company                                          </w:t>
            </w:r>
          </w:p>
        </w:tc>
        <w:tc>
          <w:tcPr>
            <w:tcW w:w="1237" w:type="dxa"/>
            <w:noWrap/>
            <w:hideMark/>
          </w:tcPr>
          <w:p w14:paraId="3355796B" w14:textId="77777777" w:rsidR="00FC015C" w:rsidRPr="0084248F" w:rsidRDefault="00FC015C"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£40,000</w:t>
            </w:r>
          </w:p>
        </w:tc>
      </w:tr>
    </w:tbl>
    <w:p w14:paraId="6DCB19CD" w14:textId="77777777" w:rsidR="00FC015C" w:rsidRPr="0084248F" w:rsidRDefault="00FC015C" w:rsidP="009B39CF">
      <w:pPr>
        <w:spacing w:after="0" w:line="240" w:lineRule="auto"/>
        <w:jc w:val="center"/>
        <w:rPr>
          <w:rFonts w:ascii="Arial" w:eastAsia="Times New Roman" w:hAnsi="Arial" w:cs="Arial"/>
          <w:b/>
          <w:bCs/>
          <w:kern w:val="2"/>
          <w:sz w:val="28"/>
          <w:szCs w:val="28"/>
          <w:lang w:eastAsia="en-GB"/>
          <w14:ligatures w14:val="standardContextual"/>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9"/>
        <w:gridCol w:w="1237"/>
      </w:tblGrid>
      <w:tr w:rsidR="00FC015C" w:rsidRPr="0084248F" w14:paraId="516C055D" w14:textId="77777777" w:rsidTr="00C609C2">
        <w:trPr>
          <w:trHeight w:val="300"/>
          <w:jc w:val="center"/>
        </w:trPr>
        <w:tc>
          <w:tcPr>
            <w:tcW w:w="8469" w:type="dxa"/>
            <w:noWrap/>
            <w:hideMark/>
          </w:tcPr>
          <w:p w14:paraId="22EA5333" w14:textId="3A0EE2BC" w:rsidR="00FC015C" w:rsidRPr="0084248F" w:rsidRDefault="00FC015C" w:rsidP="00C609C2">
            <w:pPr>
              <w:tabs>
                <w:tab w:val="right" w:pos="7252"/>
              </w:tabs>
              <w:spacing w:after="0" w:line="240" w:lineRule="auto"/>
              <w:jc w:val="both"/>
              <w:rPr>
                <w:rFonts w:ascii="Arial" w:eastAsia="Times New Roman" w:hAnsi="Arial" w:cs="Arial"/>
                <w:b/>
                <w:bCs/>
                <w:kern w:val="2"/>
                <w:sz w:val="28"/>
                <w:szCs w:val="28"/>
                <w:lang w:eastAsia="en-GB"/>
                <w14:ligatures w14:val="standardContextual"/>
              </w:rPr>
            </w:pPr>
            <w:r w:rsidRPr="0084248F">
              <w:rPr>
                <w:rFonts w:ascii="Arial" w:eastAsia="Aptos" w:hAnsi="Arial" w:cs="Arial"/>
                <w:b/>
                <w:bCs/>
                <w:sz w:val="28"/>
                <w:szCs w:val="28"/>
              </w:rPr>
              <w:t>Use of S21 notice</w:t>
            </w:r>
          </w:p>
        </w:tc>
        <w:tc>
          <w:tcPr>
            <w:tcW w:w="1237" w:type="dxa"/>
            <w:noWrap/>
            <w:hideMark/>
          </w:tcPr>
          <w:p w14:paraId="12869E1A" w14:textId="77777777" w:rsidR="00FC015C" w:rsidRPr="0084248F" w:rsidRDefault="00FC015C"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w:t>
            </w:r>
          </w:p>
        </w:tc>
      </w:tr>
      <w:tr w:rsidR="00FC015C" w:rsidRPr="0084248F" w14:paraId="149887A7" w14:textId="77777777" w:rsidTr="00C609C2">
        <w:trPr>
          <w:trHeight w:val="300"/>
          <w:jc w:val="center"/>
        </w:trPr>
        <w:tc>
          <w:tcPr>
            <w:tcW w:w="8469" w:type="dxa"/>
            <w:noWrap/>
            <w:hideMark/>
          </w:tcPr>
          <w:p w14:paraId="3816AA49" w14:textId="77777777" w:rsidR="00FC015C" w:rsidRPr="0084248F" w:rsidRDefault="00FC015C" w:rsidP="00C609C2">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1st offence </w:t>
            </w:r>
          </w:p>
        </w:tc>
        <w:tc>
          <w:tcPr>
            <w:tcW w:w="1237" w:type="dxa"/>
            <w:noWrap/>
            <w:hideMark/>
          </w:tcPr>
          <w:p w14:paraId="588F82C4" w14:textId="09995173" w:rsidR="00FC015C" w:rsidRPr="0084248F" w:rsidRDefault="00FC015C"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Aptos" w:hAnsi="Arial" w:cs="Arial"/>
                <w:sz w:val="28"/>
                <w:szCs w:val="28"/>
              </w:rPr>
              <w:t>£6,000</w:t>
            </w:r>
          </w:p>
        </w:tc>
      </w:tr>
      <w:tr w:rsidR="00FC015C" w:rsidRPr="0084248F" w14:paraId="38133A94" w14:textId="77777777" w:rsidTr="00C609C2">
        <w:trPr>
          <w:trHeight w:val="300"/>
          <w:jc w:val="center"/>
        </w:trPr>
        <w:tc>
          <w:tcPr>
            <w:tcW w:w="8469" w:type="dxa"/>
            <w:noWrap/>
          </w:tcPr>
          <w:p w14:paraId="3A98BB1B" w14:textId="77777777" w:rsidR="00FC015C" w:rsidRPr="0084248F" w:rsidRDefault="00FC015C" w:rsidP="00C609C2">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Serious multiple examples found</w:t>
            </w:r>
          </w:p>
        </w:tc>
        <w:tc>
          <w:tcPr>
            <w:tcW w:w="1237" w:type="dxa"/>
            <w:noWrap/>
          </w:tcPr>
          <w:p w14:paraId="104EBF72" w14:textId="77777777" w:rsidR="00FC015C" w:rsidRPr="0084248F" w:rsidRDefault="00FC015C" w:rsidP="00C609C2">
            <w:pPr>
              <w:spacing w:after="0" w:line="240" w:lineRule="auto"/>
              <w:jc w:val="both"/>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£20,000</w:t>
            </w:r>
          </w:p>
        </w:tc>
      </w:tr>
      <w:tr w:rsidR="00FC015C" w:rsidRPr="0084248F" w14:paraId="4C309ECC" w14:textId="77777777" w:rsidTr="00C609C2">
        <w:trPr>
          <w:trHeight w:val="300"/>
          <w:jc w:val="center"/>
        </w:trPr>
        <w:tc>
          <w:tcPr>
            <w:tcW w:w="8469" w:type="dxa"/>
            <w:noWrap/>
            <w:hideMark/>
          </w:tcPr>
          <w:p w14:paraId="54BB0227" w14:textId="77777777" w:rsidR="00FC015C" w:rsidRPr="0084248F" w:rsidRDefault="00FC015C" w:rsidP="00C609C2">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2nd subsequent offence by the same person/company</w:t>
            </w:r>
            <w:r w:rsidRPr="0084248F">
              <w:rPr>
                <w:rFonts w:ascii="Arial" w:eastAsia="Times New Roman" w:hAnsi="Arial" w:cs="Arial"/>
                <w:kern w:val="2"/>
                <w:sz w:val="28"/>
                <w:szCs w:val="28"/>
                <w:lang w:eastAsia="en-GB"/>
                <w14:ligatures w14:val="standardContextual"/>
              </w:rPr>
              <w:tab/>
            </w:r>
          </w:p>
        </w:tc>
        <w:tc>
          <w:tcPr>
            <w:tcW w:w="1237" w:type="dxa"/>
            <w:noWrap/>
            <w:hideMark/>
          </w:tcPr>
          <w:p w14:paraId="254E6976" w14:textId="77777777" w:rsidR="00FC015C" w:rsidRPr="0084248F" w:rsidRDefault="00FC015C"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£20,000</w:t>
            </w:r>
          </w:p>
        </w:tc>
      </w:tr>
      <w:tr w:rsidR="00FC015C" w:rsidRPr="0084248F" w14:paraId="72B2AFC9" w14:textId="77777777" w:rsidTr="00C609C2">
        <w:trPr>
          <w:trHeight w:val="300"/>
          <w:jc w:val="center"/>
        </w:trPr>
        <w:tc>
          <w:tcPr>
            <w:tcW w:w="8469" w:type="dxa"/>
            <w:noWrap/>
          </w:tcPr>
          <w:p w14:paraId="0048C42A" w14:textId="77777777" w:rsidR="00FC015C" w:rsidRPr="0084248F" w:rsidRDefault="00FC015C" w:rsidP="00C609C2">
            <w:pPr>
              <w:tabs>
                <w:tab w:val="right" w:pos="7252"/>
              </w:tabs>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3rd subsequent offence by the same person/company</w:t>
            </w:r>
          </w:p>
        </w:tc>
        <w:tc>
          <w:tcPr>
            <w:tcW w:w="1237" w:type="dxa"/>
            <w:noWrap/>
          </w:tcPr>
          <w:p w14:paraId="029A40C0" w14:textId="77777777" w:rsidR="00FC015C" w:rsidRPr="0084248F" w:rsidRDefault="00FC015C" w:rsidP="00C609C2">
            <w:pPr>
              <w:spacing w:after="0" w:line="240" w:lineRule="auto"/>
              <w:jc w:val="both"/>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£30,000</w:t>
            </w:r>
          </w:p>
        </w:tc>
      </w:tr>
      <w:tr w:rsidR="00FC015C" w:rsidRPr="0084248F" w14:paraId="1B34A195" w14:textId="77777777" w:rsidTr="00C609C2">
        <w:trPr>
          <w:trHeight w:val="300"/>
          <w:jc w:val="center"/>
        </w:trPr>
        <w:tc>
          <w:tcPr>
            <w:tcW w:w="8469" w:type="dxa"/>
            <w:noWrap/>
            <w:hideMark/>
          </w:tcPr>
          <w:p w14:paraId="4C0E9669" w14:textId="77777777" w:rsidR="00FC015C" w:rsidRPr="0084248F" w:rsidRDefault="00FC015C" w:rsidP="00C609C2">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Subsequent offences by the same person/company                                          </w:t>
            </w:r>
          </w:p>
        </w:tc>
        <w:tc>
          <w:tcPr>
            <w:tcW w:w="1237" w:type="dxa"/>
            <w:noWrap/>
            <w:hideMark/>
          </w:tcPr>
          <w:p w14:paraId="66AD236B" w14:textId="77777777" w:rsidR="00FC015C" w:rsidRPr="0084248F" w:rsidRDefault="00FC015C" w:rsidP="00C609C2">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£40,000</w:t>
            </w:r>
          </w:p>
        </w:tc>
      </w:tr>
    </w:tbl>
    <w:p w14:paraId="6375AA60" w14:textId="77777777" w:rsidR="00FC015C" w:rsidRPr="0084248F" w:rsidRDefault="00FC015C" w:rsidP="009B39CF">
      <w:pPr>
        <w:spacing w:after="0" w:line="240" w:lineRule="auto"/>
        <w:jc w:val="center"/>
        <w:rPr>
          <w:rFonts w:ascii="Arial" w:eastAsia="Times New Roman" w:hAnsi="Arial" w:cs="Arial"/>
          <w:b/>
          <w:bCs/>
          <w:kern w:val="2"/>
          <w:sz w:val="28"/>
          <w:szCs w:val="28"/>
          <w:lang w:eastAsia="en-GB"/>
          <w14:ligatures w14:val="standardContextual"/>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9"/>
        <w:gridCol w:w="1237"/>
      </w:tblGrid>
      <w:tr w:rsidR="009B39CF" w:rsidRPr="0084248F" w14:paraId="7E269426" w14:textId="77777777" w:rsidTr="008C1C14">
        <w:trPr>
          <w:trHeight w:val="300"/>
          <w:jc w:val="center"/>
        </w:trPr>
        <w:tc>
          <w:tcPr>
            <w:tcW w:w="8465" w:type="dxa"/>
            <w:noWrap/>
            <w:hideMark/>
          </w:tcPr>
          <w:p w14:paraId="6176FB70" w14:textId="77777777" w:rsidR="009B39CF" w:rsidRPr="0084248F" w:rsidRDefault="009B39CF" w:rsidP="008C1C14">
            <w:pPr>
              <w:tabs>
                <w:tab w:val="right" w:pos="7252"/>
              </w:tabs>
              <w:spacing w:after="0" w:line="240" w:lineRule="auto"/>
              <w:jc w:val="both"/>
              <w:rPr>
                <w:rFonts w:ascii="Arial" w:eastAsia="Times New Roman" w:hAnsi="Arial" w:cs="Arial"/>
                <w:b/>
                <w:kern w:val="2"/>
                <w:sz w:val="28"/>
                <w:szCs w:val="28"/>
                <w:lang w:eastAsia="en-GB"/>
                <w14:ligatures w14:val="standardContextual"/>
              </w:rPr>
            </w:pPr>
            <w:r w:rsidRPr="0084248F">
              <w:rPr>
                <w:rFonts w:ascii="Arial" w:eastAsia="Times New Roman" w:hAnsi="Arial" w:cs="Arial"/>
                <w:b/>
                <w:kern w:val="2"/>
                <w:sz w:val="28"/>
                <w:szCs w:val="28"/>
                <w:lang w:eastAsia="en-GB"/>
                <w14:ligatures w14:val="standardContextual"/>
              </w:rPr>
              <w:t xml:space="preserve">Failure to comply with an Improvement Notice (Section 30)                 </w:t>
            </w:r>
          </w:p>
        </w:tc>
        <w:tc>
          <w:tcPr>
            <w:tcW w:w="1236" w:type="dxa"/>
            <w:noWrap/>
            <w:hideMark/>
          </w:tcPr>
          <w:p w14:paraId="2C98D4C0"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w:t>
            </w:r>
          </w:p>
        </w:tc>
      </w:tr>
      <w:tr w:rsidR="009B39CF" w:rsidRPr="0084248F" w14:paraId="3EC8DBC8" w14:textId="77777777" w:rsidTr="008C1C14">
        <w:trPr>
          <w:trHeight w:val="300"/>
          <w:jc w:val="center"/>
        </w:trPr>
        <w:tc>
          <w:tcPr>
            <w:tcW w:w="8465" w:type="dxa"/>
            <w:noWrap/>
            <w:hideMark/>
          </w:tcPr>
          <w:p w14:paraId="290E842C" w14:textId="4E346AD9"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1st offence                                                                                       </w:t>
            </w:r>
          </w:p>
        </w:tc>
        <w:tc>
          <w:tcPr>
            <w:tcW w:w="1236" w:type="dxa"/>
            <w:noWrap/>
            <w:hideMark/>
          </w:tcPr>
          <w:p w14:paraId="2CF143F5"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25,000</w:t>
            </w:r>
          </w:p>
        </w:tc>
      </w:tr>
      <w:tr w:rsidR="009B39CF" w:rsidRPr="0084248F" w14:paraId="2944122D" w14:textId="77777777" w:rsidTr="008C1C14">
        <w:trPr>
          <w:trHeight w:val="300"/>
          <w:jc w:val="center"/>
        </w:trPr>
        <w:tc>
          <w:tcPr>
            <w:tcW w:w="8465" w:type="dxa"/>
            <w:noWrap/>
            <w:hideMark/>
          </w:tcPr>
          <w:p w14:paraId="3AA44FF6"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2nd subsequent offence by the same person/company</w:t>
            </w:r>
            <w:r w:rsidRPr="0084248F">
              <w:rPr>
                <w:rFonts w:ascii="Arial" w:eastAsia="Times New Roman" w:hAnsi="Arial" w:cs="Arial"/>
                <w:kern w:val="2"/>
                <w:sz w:val="28"/>
                <w:szCs w:val="28"/>
                <w:lang w:eastAsia="en-GB"/>
                <w14:ligatures w14:val="standardContextual"/>
              </w:rPr>
              <w:tab/>
            </w:r>
          </w:p>
        </w:tc>
        <w:tc>
          <w:tcPr>
            <w:tcW w:w="1236" w:type="dxa"/>
            <w:noWrap/>
            <w:hideMark/>
          </w:tcPr>
          <w:p w14:paraId="4C9C7512"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35,000</w:t>
            </w:r>
          </w:p>
        </w:tc>
      </w:tr>
      <w:tr w:rsidR="009B39CF" w:rsidRPr="0084248F" w14:paraId="34FC5379" w14:textId="77777777" w:rsidTr="008C1C14">
        <w:trPr>
          <w:trHeight w:val="300"/>
          <w:jc w:val="center"/>
        </w:trPr>
        <w:tc>
          <w:tcPr>
            <w:tcW w:w="8465" w:type="dxa"/>
            <w:noWrap/>
            <w:hideMark/>
          </w:tcPr>
          <w:p w14:paraId="337A0BA2"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Subsequent offences by the same person/company                                          </w:t>
            </w:r>
          </w:p>
        </w:tc>
        <w:tc>
          <w:tcPr>
            <w:tcW w:w="1236" w:type="dxa"/>
            <w:noWrap/>
            <w:hideMark/>
          </w:tcPr>
          <w:p w14:paraId="6C1D2409"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40,000</w:t>
            </w:r>
          </w:p>
        </w:tc>
      </w:tr>
      <w:tr w:rsidR="009B39CF" w:rsidRPr="0084248F" w14:paraId="02EC309C" w14:textId="77777777" w:rsidTr="008C1C14">
        <w:trPr>
          <w:trHeight w:val="300"/>
          <w:jc w:val="center"/>
        </w:trPr>
        <w:tc>
          <w:tcPr>
            <w:tcW w:w="8465" w:type="dxa"/>
            <w:noWrap/>
            <w:hideMark/>
          </w:tcPr>
          <w:p w14:paraId="4F1B1981"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w:t>
            </w:r>
          </w:p>
        </w:tc>
        <w:tc>
          <w:tcPr>
            <w:tcW w:w="1236" w:type="dxa"/>
            <w:noWrap/>
            <w:hideMark/>
          </w:tcPr>
          <w:p w14:paraId="5DAE4DD1"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w:t>
            </w:r>
          </w:p>
        </w:tc>
      </w:tr>
      <w:tr w:rsidR="009B39CF" w:rsidRPr="0084248F" w14:paraId="6828AA77" w14:textId="77777777" w:rsidTr="008C1C14">
        <w:trPr>
          <w:trHeight w:val="300"/>
          <w:jc w:val="center"/>
        </w:trPr>
        <w:tc>
          <w:tcPr>
            <w:tcW w:w="8465" w:type="dxa"/>
            <w:noWrap/>
            <w:hideMark/>
          </w:tcPr>
          <w:p w14:paraId="3A117071" w14:textId="77777777" w:rsidR="009B39CF" w:rsidRPr="0084248F" w:rsidRDefault="009B39CF" w:rsidP="008C1C14">
            <w:pPr>
              <w:tabs>
                <w:tab w:val="right" w:pos="7252"/>
              </w:tabs>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b/>
                <w:kern w:val="2"/>
                <w:sz w:val="28"/>
                <w:szCs w:val="28"/>
                <w:lang w:eastAsia="en-GB"/>
                <w14:ligatures w14:val="standardContextual"/>
              </w:rPr>
              <w:t>Premiums (use all that apply)</w:t>
            </w:r>
            <w:r w:rsidRPr="0084248F">
              <w:rPr>
                <w:rFonts w:ascii="Arial" w:eastAsia="Times New Roman" w:hAnsi="Arial" w:cs="Arial"/>
                <w:b/>
                <w:kern w:val="2"/>
                <w:sz w:val="28"/>
                <w:szCs w:val="28"/>
                <w:lang w:eastAsia="en-GB"/>
                <w14:ligatures w14:val="standardContextual"/>
              </w:rPr>
              <w:tab/>
            </w:r>
          </w:p>
        </w:tc>
        <w:tc>
          <w:tcPr>
            <w:tcW w:w="1236" w:type="dxa"/>
            <w:noWrap/>
            <w:hideMark/>
          </w:tcPr>
          <w:p w14:paraId="4A13797E"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w:t>
            </w:r>
          </w:p>
        </w:tc>
      </w:tr>
      <w:tr w:rsidR="009B39CF" w:rsidRPr="0084248F" w14:paraId="07E8A61E" w14:textId="77777777" w:rsidTr="008C1C14">
        <w:trPr>
          <w:trHeight w:val="145"/>
          <w:jc w:val="center"/>
        </w:trPr>
        <w:tc>
          <w:tcPr>
            <w:tcW w:w="8465" w:type="dxa"/>
            <w:noWrap/>
            <w:hideMark/>
          </w:tcPr>
          <w:p w14:paraId="7B20934F"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Acts or omissions demonstrating high culpability                                         </w:t>
            </w:r>
          </w:p>
        </w:tc>
        <w:tc>
          <w:tcPr>
            <w:tcW w:w="1236" w:type="dxa"/>
            <w:noWrap/>
            <w:hideMark/>
          </w:tcPr>
          <w:p w14:paraId="2BC0361C"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9B39CF" w:rsidRPr="0084248F" w14:paraId="5B839B1E" w14:textId="77777777" w:rsidTr="008C1C14">
        <w:trPr>
          <w:trHeight w:val="300"/>
          <w:jc w:val="center"/>
        </w:trPr>
        <w:tc>
          <w:tcPr>
            <w:tcW w:w="8465" w:type="dxa"/>
            <w:noWrap/>
            <w:hideMark/>
          </w:tcPr>
          <w:p w14:paraId="03398D7E"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Large housing portfolio (10+ units of accommodation)</w:t>
            </w:r>
            <w:r w:rsidRPr="0084248F">
              <w:rPr>
                <w:rFonts w:ascii="Arial" w:eastAsia="Times New Roman" w:hAnsi="Arial" w:cs="Arial"/>
                <w:kern w:val="2"/>
                <w:sz w:val="28"/>
                <w:szCs w:val="28"/>
                <w:lang w:eastAsia="en-GB"/>
                <w14:ligatures w14:val="standardContextual"/>
              </w:rPr>
              <w:tab/>
            </w:r>
          </w:p>
        </w:tc>
        <w:tc>
          <w:tcPr>
            <w:tcW w:w="1236" w:type="dxa"/>
            <w:noWrap/>
            <w:hideMark/>
          </w:tcPr>
          <w:p w14:paraId="51F5BDEA"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9B39CF" w:rsidRPr="0084248F" w14:paraId="717706F0" w14:textId="77777777" w:rsidTr="008C1C14">
        <w:trPr>
          <w:trHeight w:val="300"/>
          <w:jc w:val="center"/>
        </w:trPr>
        <w:tc>
          <w:tcPr>
            <w:tcW w:w="8465" w:type="dxa"/>
            <w:noWrap/>
            <w:hideMark/>
          </w:tcPr>
          <w:p w14:paraId="62E2A7F6"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Multiple Category 1 or high Category 2 Hazards</w:t>
            </w:r>
            <w:r w:rsidRPr="0084248F">
              <w:rPr>
                <w:rFonts w:ascii="Arial" w:eastAsia="Times New Roman" w:hAnsi="Arial" w:cs="Arial"/>
                <w:kern w:val="2"/>
                <w:sz w:val="28"/>
                <w:szCs w:val="28"/>
                <w:lang w:eastAsia="en-GB"/>
                <w14:ligatures w14:val="standardContextual"/>
              </w:rPr>
              <w:tab/>
            </w:r>
          </w:p>
        </w:tc>
        <w:tc>
          <w:tcPr>
            <w:tcW w:w="1236" w:type="dxa"/>
            <w:noWrap/>
            <w:hideMark/>
          </w:tcPr>
          <w:p w14:paraId="2C526EF2"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9B39CF" w:rsidRPr="0084248F" w14:paraId="350BB3A5" w14:textId="77777777" w:rsidTr="008C1C14">
        <w:trPr>
          <w:trHeight w:val="300"/>
          <w:jc w:val="center"/>
        </w:trPr>
        <w:tc>
          <w:tcPr>
            <w:tcW w:w="8465" w:type="dxa"/>
            <w:noWrap/>
            <w:hideMark/>
          </w:tcPr>
          <w:p w14:paraId="7E521AE5"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Vulnerable occupant and/or significant harm occurred as a result of housing conditions                                                                                                     </w:t>
            </w:r>
          </w:p>
        </w:tc>
        <w:tc>
          <w:tcPr>
            <w:tcW w:w="1236" w:type="dxa"/>
            <w:noWrap/>
            <w:hideMark/>
          </w:tcPr>
          <w:p w14:paraId="2EDED12F"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9B39CF" w:rsidRPr="0084248F" w14:paraId="62D69340" w14:textId="77777777" w:rsidTr="008C1C14">
        <w:trPr>
          <w:trHeight w:val="300"/>
          <w:jc w:val="center"/>
        </w:trPr>
        <w:tc>
          <w:tcPr>
            <w:tcW w:w="8465" w:type="dxa"/>
            <w:noWrap/>
            <w:hideMark/>
          </w:tcPr>
          <w:p w14:paraId="1CF783EE"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Financial Hardship and Ability to Pay</w:t>
            </w:r>
            <w:r w:rsidRPr="0084248F">
              <w:rPr>
                <w:rFonts w:ascii="Arial" w:eastAsia="Times New Roman" w:hAnsi="Arial" w:cs="Arial"/>
                <w:i/>
                <w:kern w:val="2"/>
                <w:sz w:val="28"/>
                <w:szCs w:val="28"/>
                <w:lang w:eastAsia="en-GB"/>
                <w14:ligatures w14:val="standardContextual"/>
              </w:rPr>
              <w:t xml:space="preserve"> </w:t>
            </w:r>
          </w:p>
        </w:tc>
        <w:tc>
          <w:tcPr>
            <w:tcW w:w="1236" w:type="dxa"/>
            <w:noWrap/>
            <w:hideMark/>
          </w:tcPr>
          <w:p w14:paraId="5E8D03C5"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-50%</w:t>
            </w:r>
          </w:p>
        </w:tc>
      </w:tr>
      <w:tr w:rsidR="009B39CF" w:rsidRPr="0084248F" w14:paraId="53F2B6BE" w14:textId="77777777" w:rsidTr="008C1C14">
        <w:trPr>
          <w:trHeight w:val="315"/>
          <w:jc w:val="center"/>
        </w:trPr>
        <w:tc>
          <w:tcPr>
            <w:tcW w:w="9701" w:type="dxa"/>
            <w:gridSpan w:val="2"/>
            <w:tcBorders>
              <w:left w:val="nil"/>
              <w:right w:val="nil"/>
            </w:tcBorders>
            <w:noWrap/>
            <w:hideMark/>
          </w:tcPr>
          <w:p w14:paraId="5CDBF3A9"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p>
          <w:p w14:paraId="7D1F8C6F"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p>
          <w:p w14:paraId="3E5B69B2"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p>
        </w:tc>
      </w:tr>
      <w:tr w:rsidR="009B39CF" w:rsidRPr="0084248F" w14:paraId="77516B83" w14:textId="77777777" w:rsidTr="008C1C14">
        <w:trPr>
          <w:trHeight w:val="300"/>
          <w:jc w:val="center"/>
        </w:trPr>
        <w:tc>
          <w:tcPr>
            <w:tcW w:w="8465" w:type="dxa"/>
            <w:noWrap/>
            <w:hideMark/>
          </w:tcPr>
          <w:p w14:paraId="21597223" w14:textId="77777777" w:rsidR="009B39CF" w:rsidRPr="0084248F" w:rsidRDefault="009B39CF" w:rsidP="008C1C14">
            <w:pPr>
              <w:tabs>
                <w:tab w:val="right" w:pos="7252"/>
              </w:tabs>
              <w:spacing w:after="0" w:line="240" w:lineRule="auto"/>
              <w:rPr>
                <w:rFonts w:ascii="Arial" w:eastAsia="Times New Roman" w:hAnsi="Arial" w:cs="Arial"/>
                <w:b/>
                <w:i/>
                <w:kern w:val="2"/>
                <w:sz w:val="28"/>
                <w:szCs w:val="28"/>
                <w:lang w:eastAsia="en-GB"/>
                <w14:ligatures w14:val="standardContextual"/>
              </w:rPr>
            </w:pPr>
            <w:r w:rsidRPr="0084248F">
              <w:rPr>
                <w:rFonts w:ascii="Arial" w:eastAsia="Times New Roman" w:hAnsi="Arial" w:cs="Arial"/>
                <w:b/>
                <w:kern w:val="2"/>
                <w:sz w:val="28"/>
                <w:szCs w:val="28"/>
                <w:lang w:eastAsia="en-GB"/>
                <w14:ligatures w14:val="standardContextual"/>
              </w:rPr>
              <w:t xml:space="preserve">Offences in relation to licensing of HMOs </w:t>
            </w:r>
            <w:r w:rsidRPr="0084248F">
              <w:rPr>
                <w:rFonts w:ascii="Arial" w:eastAsia="Times New Roman" w:hAnsi="Arial" w:cs="Arial"/>
                <w:b/>
                <w:kern w:val="2"/>
                <w:sz w:val="28"/>
                <w:szCs w:val="28"/>
                <w:lang w:eastAsia="en-GB"/>
                <w14:ligatures w14:val="standardContextual"/>
              </w:rPr>
              <w:tab/>
            </w:r>
          </w:p>
          <w:p w14:paraId="7F7C7DC1" w14:textId="77777777" w:rsidR="009B39CF" w:rsidRPr="0084248F" w:rsidRDefault="009B39CF" w:rsidP="008C1C14">
            <w:pPr>
              <w:tabs>
                <w:tab w:val="right" w:pos="7252"/>
              </w:tabs>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b/>
                <w:kern w:val="2"/>
                <w:sz w:val="28"/>
                <w:szCs w:val="28"/>
                <w:lang w:eastAsia="en-GB"/>
                <w14:ligatures w14:val="standardContextual"/>
              </w:rPr>
              <w:t>under Part 2 of the Act (Section 72)</w:t>
            </w:r>
            <w:r w:rsidRPr="0084248F">
              <w:rPr>
                <w:rFonts w:ascii="Arial" w:eastAsia="Times New Roman" w:hAnsi="Arial" w:cs="Arial"/>
                <w:b/>
                <w:i/>
                <w:kern w:val="2"/>
                <w:sz w:val="28"/>
                <w:szCs w:val="28"/>
                <w:lang w:eastAsia="en-GB"/>
                <w14:ligatures w14:val="standardContextual"/>
              </w:rPr>
              <w:tab/>
            </w:r>
          </w:p>
        </w:tc>
        <w:tc>
          <w:tcPr>
            <w:tcW w:w="1236" w:type="dxa"/>
            <w:noWrap/>
            <w:hideMark/>
          </w:tcPr>
          <w:p w14:paraId="65F15B88"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w:t>
            </w:r>
          </w:p>
        </w:tc>
      </w:tr>
      <w:tr w:rsidR="009B39CF" w:rsidRPr="0084248F" w14:paraId="0B12C09B" w14:textId="77777777" w:rsidTr="008C1C14">
        <w:trPr>
          <w:trHeight w:val="300"/>
          <w:jc w:val="center"/>
        </w:trPr>
        <w:tc>
          <w:tcPr>
            <w:tcW w:w="8465" w:type="dxa"/>
            <w:noWrap/>
            <w:hideMark/>
          </w:tcPr>
          <w:p w14:paraId="09966B24"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Failure to obtain property Licence (section 72(1))</w:t>
            </w:r>
            <w:r w:rsidRPr="0084248F">
              <w:rPr>
                <w:rFonts w:ascii="Arial" w:eastAsia="Times New Roman" w:hAnsi="Arial" w:cs="Arial"/>
                <w:kern w:val="2"/>
                <w:sz w:val="28"/>
                <w:szCs w:val="28"/>
                <w:lang w:eastAsia="en-GB"/>
                <w14:ligatures w14:val="standardContextual"/>
              </w:rPr>
              <w:tab/>
            </w:r>
          </w:p>
        </w:tc>
        <w:tc>
          <w:tcPr>
            <w:tcW w:w="1236" w:type="dxa"/>
            <w:noWrap/>
            <w:hideMark/>
          </w:tcPr>
          <w:p w14:paraId="6A9902F1"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17,000</w:t>
            </w:r>
          </w:p>
        </w:tc>
      </w:tr>
      <w:tr w:rsidR="009B39CF" w:rsidRPr="0084248F" w14:paraId="2B106BB7" w14:textId="77777777" w:rsidTr="008C1C14">
        <w:trPr>
          <w:trHeight w:val="300"/>
          <w:jc w:val="center"/>
        </w:trPr>
        <w:tc>
          <w:tcPr>
            <w:tcW w:w="8465" w:type="dxa"/>
            <w:noWrap/>
            <w:hideMark/>
          </w:tcPr>
          <w:p w14:paraId="6973A0BF"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2nd subsequent offence by the same person/company                                     </w:t>
            </w:r>
          </w:p>
        </w:tc>
        <w:tc>
          <w:tcPr>
            <w:tcW w:w="1236" w:type="dxa"/>
            <w:noWrap/>
            <w:hideMark/>
          </w:tcPr>
          <w:p w14:paraId="13EAA032"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40,000</w:t>
            </w:r>
          </w:p>
        </w:tc>
      </w:tr>
      <w:tr w:rsidR="009B39CF" w:rsidRPr="0084248F" w14:paraId="632FFA5D" w14:textId="77777777" w:rsidTr="008C1C14">
        <w:trPr>
          <w:trHeight w:val="300"/>
          <w:jc w:val="center"/>
        </w:trPr>
        <w:tc>
          <w:tcPr>
            <w:tcW w:w="8465" w:type="dxa"/>
            <w:noWrap/>
            <w:hideMark/>
          </w:tcPr>
          <w:p w14:paraId="3001253F"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Financial Hardship and Ability to Pay</w:t>
            </w:r>
            <w:r w:rsidRPr="0084248F">
              <w:rPr>
                <w:rFonts w:ascii="Arial" w:eastAsia="Times New Roman" w:hAnsi="Arial" w:cs="Arial"/>
                <w:kern w:val="2"/>
                <w:sz w:val="28"/>
                <w:szCs w:val="28"/>
                <w:lang w:eastAsia="en-GB"/>
                <w14:ligatures w14:val="standardContextual"/>
              </w:rPr>
              <w:tab/>
            </w:r>
          </w:p>
        </w:tc>
        <w:tc>
          <w:tcPr>
            <w:tcW w:w="1236" w:type="dxa"/>
            <w:noWrap/>
            <w:hideMark/>
          </w:tcPr>
          <w:p w14:paraId="36FEAC97"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-50%</w:t>
            </w:r>
          </w:p>
        </w:tc>
      </w:tr>
      <w:tr w:rsidR="009B39CF" w:rsidRPr="0084248F" w14:paraId="0D297704" w14:textId="77777777" w:rsidTr="008C1C14">
        <w:trPr>
          <w:trHeight w:val="300"/>
          <w:jc w:val="center"/>
        </w:trPr>
        <w:tc>
          <w:tcPr>
            <w:tcW w:w="8465" w:type="dxa"/>
            <w:noWrap/>
            <w:hideMark/>
          </w:tcPr>
          <w:p w14:paraId="42A4B600"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w:t>
            </w:r>
          </w:p>
        </w:tc>
        <w:tc>
          <w:tcPr>
            <w:tcW w:w="1236" w:type="dxa"/>
            <w:noWrap/>
            <w:hideMark/>
          </w:tcPr>
          <w:p w14:paraId="43E6ED46"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w:t>
            </w:r>
          </w:p>
        </w:tc>
      </w:tr>
      <w:tr w:rsidR="009B39CF" w:rsidRPr="0084248F" w14:paraId="65658732" w14:textId="77777777" w:rsidTr="008C1C14">
        <w:trPr>
          <w:trHeight w:val="300"/>
          <w:jc w:val="center"/>
        </w:trPr>
        <w:tc>
          <w:tcPr>
            <w:tcW w:w="8465" w:type="dxa"/>
            <w:noWrap/>
            <w:hideMark/>
          </w:tcPr>
          <w:p w14:paraId="0AC78D1A"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Breach of Licence conditions (Section 72(2) and (3)) - Per licence breach</w:t>
            </w:r>
          </w:p>
        </w:tc>
        <w:tc>
          <w:tcPr>
            <w:tcW w:w="1236" w:type="dxa"/>
            <w:noWrap/>
            <w:hideMark/>
          </w:tcPr>
          <w:p w14:paraId="247CDE36"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7,000</w:t>
            </w:r>
          </w:p>
        </w:tc>
      </w:tr>
      <w:tr w:rsidR="009B39CF" w:rsidRPr="0084248F" w14:paraId="353B9CE3" w14:textId="77777777" w:rsidTr="008C1C14">
        <w:trPr>
          <w:trHeight w:val="315"/>
          <w:jc w:val="center"/>
        </w:trPr>
        <w:tc>
          <w:tcPr>
            <w:tcW w:w="8465" w:type="dxa"/>
            <w:noWrap/>
            <w:hideMark/>
          </w:tcPr>
          <w:p w14:paraId="0300713E"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lastRenderedPageBreak/>
              <w:t>Financial Hardship and Ability to Pay</w:t>
            </w:r>
            <w:r w:rsidRPr="0084248F">
              <w:rPr>
                <w:rFonts w:ascii="Arial" w:eastAsia="Times New Roman" w:hAnsi="Arial" w:cs="Arial"/>
                <w:kern w:val="2"/>
                <w:sz w:val="28"/>
                <w:szCs w:val="28"/>
                <w:lang w:eastAsia="en-GB"/>
                <w14:ligatures w14:val="standardContextual"/>
              </w:rPr>
              <w:tab/>
            </w:r>
          </w:p>
        </w:tc>
        <w:tc>
          <w:tcPr>
            <w:tcW w:w="1236" w:type="dxa"/>
            <w:noWrap/>
            <w:hideMark/>
          </w:tcPr>
          <w:p w14:paraId="43051677"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-50%</w:t>
            </w:r>
          </w:p>
        </w:tc>
      </w:tr>
      <w:tr w:rsidR="009B39CF" w:rsidRPr="0084248F" w14:paraId="7370FD96" w14:textId="77777777" w:rsidTr="008C1C14">
        <w:trPr>
          <w:trHeight w:val="315"/>
          <w:jc w:val="center"/>
        </w:trPr>
        <w:tc>
          <w:tcPr>
            <w:tcW w:w="9701" w:type="dxa"/>
            <w:gridSpan w:val="2"/>
            <w:tcBorders>
              <w:left w:val="nil"/>
              <w:right w:val="nil"/>
            </w:tcBorders>
            <w:noWrap/>
            <w:hideMark/>
          </w:tcPr>
          <w:p w14:paraId="4AFE9026"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w:t>
            </w:r>
          </w:p>
          <w:p w14:paraId="22ECD9EC"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p>
        </w:tc>
      </w:tr>
      <w:tr w:rsidR="009B39CF" w:rsidRPr="0084248F" w14:paraId="2E7349B1" w14:textId="77777777" w:rsidTr="008C1C14">
        <w:trPr>
          <w:trHeight w:val="300"/>
          <w:jc w:val="center"/>
        </w:trPr>
        <w:tc>
          <w:tcPr>
            <w:tcW w:w="8465" w:type="dxa"/>
            <w:noWrap/>
            <w:hideMark/>
          </w:tcPr>
          <w:p w14:paraId="50BD4EF0" w14:textId="77777777" w:rsidR="009B39CF" w:rsidRPr="0084248F" w:rsidRDefault="009B39CF" w:rsidP="008C1C14">
            <w:pPr>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b/>
                <w:kern w:val="2"/>
                <w:sz w:val="28"/>
                <w:szCs w:val="28"/>
                <w:lang w:eastAsia="en-GB"/>
                <w14:ligatures w14:val="standardContextual"/>
              </w:rPr>
              <w:t xml:space="preserve">Offences in relation to licensing of HMOs </w:t>
            </w:r>
          </w:p>
          <w:p w14:paraId="098A3950" w14:textId="77777777" w:rsidR="009B39CF" w:rsidRPr="0084248F" w:rsidRDefault="009B39CF" w:rsidP="008C1C14">
            <w:pPr>
              <w:tabs>
                <w:tab w:val="left" w:pos="6975"/>
                <w:tab w:val="right" w:pos="7252"/>
              </w:tabs>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b/>
                <w:kern w:val="2"/>
                <w:sz w:val="28"/>
                <w:szCs w:val="28"/>
                <w:lang w:eastAsia="en-GB"/>
                <w14:ligatures w14:val="standardContextual"/>
              </w:rPr>
              <w:t xml:space="preserve">under Part 3 of the Act (Section 95)                                                          </w:t>
            </w:r>
          </w:p>
        </w:tc>
        <w:tc>
          <w:tcPr>
            <w:tcW w:w="1236" w:type="dxa"/>
            <w:noWrap/>
            <w:hideMark/>
          </w:tcPr>
          <w:p w14:paraId="16C569AA"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w:t>
            </w:r>
          </w:p>
        </w:tc>
      </w:tr>
      <w:tr w:rsidR="009B39CF" w:rsidRPr="0084248F" w14:paraId="7624FFA7" w14:textId="77777777" w:rsidTr="008C1C14">
        <w:trPr>
          <w:trHeight w:val="300"/>
          <w:jc w:val="center"/>
        </w:trPr>
        <w:tc>
          <w:tcPr>
            <w:tcW w:w="8465" w:type="dxa"/>
            <w:noWrap/>
            <w:hideMark/>
          </w:tcPr>
          <w:p w14:paraId="17DEE837" w14:textId="77777777" w:rsidR="009B39CF" w:rsidRPr="0084248F" w:rsidRDefault="009B39CF" w:rsidP="008C1C14">
            <w:pPr>
              <w:tabs>
                <w:tab w:val="right" w:pos="7252"/>
              </w:tabs>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b/>
                <w:kern w:val="2"/>
                <w:sz w:val="28"/>
                <w:szCs w:val="28"/>
                <w:lang w:eastAsia="en-GB"/>
                <w14:ligatures w14:val="standardContextual"/>
              </w:rPr>
              <w:t>Failure to Licence (Section 95(1))</w:t>
            </w:r>
            <w:r w:rsidRPr="0084248F">
              <w:rPr>
                <w:rFonts w:ascii="Arial" w:eastAsia="Times New Roman" w:hAnsi="Arial" w:cs="Arial"/>
                <w:b/>
                <w:kern w:val="2"/>
                <w:sz w:val="28"/>
                <w:szCs w:val="28"/>
                <w:lang w:eastAsia="en-GB"/>
                <w14:ligatures w14:val="standardContextual"/>
              </w:rPr>
              <w:tab/>
            </w:r>
          </w:p>
        </w:tc>
        <w:tc>
          <w:tcPr>
            <w:tcW w:w="1236" w:type="dxa"/>
            <w:noWrap/>
            <w:hideMark/>
          </w:tcPr>
          <w:p w14:paraId="5D7F4272"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17,000</w:t>
            </w:r>
          </w:p>
        </w:tc>
      </w:tr>
      <w:tr w:rsidR="009B39CF" w:rsidRPr="0084248F" w14:paraId="21D81E5F" w14:textId="77777777" w:rsidTr="008C1C14">
        <w:trPr>
          <w:trHeight w:val="300"/>
          <w:jc w:val="center"/>
        </w:trPr>
        <w:tc>
          <w:tcPr>
            <w:tcW w:w="8465" w:type="dxa"/>
            <w:noWrap/>
            <w:hideMark/>
          </w:tcPr>
          <w:p w14:paraId="0470AD9F" w14:textId="77777777" w:rsidR="009B39CF" w:rsidRPr="0084248F" w:rsidRDefault="009B39CF" w:rsidP="008C1C14">
            <w:pPr>
              <w:tabs>
                <w:tab w:val="right" w:pos="7252"/>
              </w:tabs>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2nd subsequent offence by same person/company</w:t>
            </w:r>
            <w:r w:rsidRPr="0084248F">
              <w:rPr>
                <w:rFonts w:ascii="Arial" w:eastAsia="Times New Roman" w:hAnsi="Arial" w:cs="Arial"/>
                <w:kern w:val="2"/>
                <w:sz w:val="28"/>
                <w:szCs w:val="28"/>
                <w:lang w:eastAsia="en-GB"/>
                <w14:ligatures w14:val="standardContextual"/>
              </w:rPr>
              <w:tab/>
            </w:r>
          </w:p>
        </w:tc>
        <w:tc>
          <w:tcPr>
            <w:tcW w:w="1236" w:type="dxa"/>
            <w:noWrap/>
            <w:hideMark/>
          </w:tcPr>
          <w:p w14:paraId="71C15B4A"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40,000</w:t>
            </w:r>
          </w:p>
        </w:tc>
      </w:tr>
      <w:tr w:rsidR="009B39CF" w:rsidRPr="0084248F" w14:paraId="7594E54B" w14:textId="77777777" w:rsidTr="008C1C14">
        <w:trPr>
          <w:trHeight w:val="300"/>
          <w:jc w:val="center"/>
        </w:trPr>
        <w:tc>
          <w:tcPr>
            <w:tcW w:w="8465" w:type="dxa"/>
            <w:noWrap/>
            <w:hideMark/>
          </w:tcPr>
          <w:p w14:paraId="7B11D8FB"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Financial Hardship and Ability to Pay</w:t>
            </w:r>
            <w:r w:rsidRPr="0084248F">
              <w:rPr>
                <w:rFonts w:ascii="Arial" w:eastAsia="Times New Roman" w:hAnsi="Arial" w:cs="Arial"/>
                <w:kern w:val="2"/>
                <w:sz w:val="28"/>
                <w:szCs w:val="28"/>
                <w:lang w:eastAsia="en-GB"/>
                <w14:ligatures w14:val="standardContextual"/>
              </w:rPr>
              <w:tab/>
            </w:r>
          </w:p>
        </w:tc>
        <w:tc>
          <w:tcPr>
            <w:tcW w:w="1236" w:type="dxa"/>
            <w:noWrap/>
            <w:hideMark/>
          </w:tcPr>
          <w:p w14:paraId="76BE1768"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-50%</w:t>
            </w:r>
          </w:p>
        </w:tc>
      </w:tr>
      <w:tr w:rsidR="009B39CF" w:rsidRPr="0084248F" w14:paraId="59D73ABA" w14:textId="77777777" w:rsidTr="008C1C14">
        <w:trPr>
          <w:trHeight w:val="300"/>
          <w:jc w:val="center"/>
        </w:trPr>
        <w:tc>
          <w:tcPr>
            <w:tcW w:w="8465" w:type="dxa"/>
            <w:noWrap/>
            <w:hideMark/>
          </w:tcPr>
          <w:p w14:paraId="6C2D5977"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w:t>
            </w:r>
          </w:p>
        </w:tc>
        <w:tc>
          <w:tcPr>
            <w:tcW w:w="1236" w:type="dxa"/>
            <w:noWrap/>
            <w:hideMark/>
          </w:tcPr>
          <w:p w14:paraId="22CE27BD"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w:t>
            </w:r>
          </w:p>
        </w:tc>
      </w:tr>
      <w:tr w:rsidR="009B39CF" w:rsidRPr="0084248F" w14:paraId="7FC5A33C" w14:textId="77777777" w:rsidTr="008C1C14">
        <w:trPr>
          <w:trHeight w:val="300"/>
          <w:jc w:val="center"/>
        </w:trPr>
        <w:tc>
          <w:tcPr>
            <w:tcW w:w="8465" w:type="dxa"/>
            <w:noWrap/>
            <w:hideMark/>
          </w:tcPr>
          <w:p w14:paraId="30F4CCD6"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Breach of Licence conditions (Section 95(2)) - Per licence breach</w:t>
            </w:r>
          </w:p>
        </w:tc>
        <w:tc>
          <w:tcPr>
            <w:tcW w:w="1236" w:type="dxa"/>
            <w:noWrap/>
            <w:hideMark/>
          </w:tcPr>
          <w:p w14:paraId="3A62EA5C"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7,000</w:t>
            </w:r>
          </w:p>
        </w:tc>
      </w:tr>
      <w:tr w:rsidR="009B39CF" w:rsidRPr="0084248F" w14:paraId="3F55384E" w14:textId="77777777" w:rsidTr="008C1C14">
        <w:trPr>
          <w:trHeight w:val="315"/>
          <w:jc w:val="center"/>
        </w:trPr>
        <w:tc>
          <w:tcPr>
            <w:tcW w:w="8465" w:type="dxa"/>
            <w:tcBorders>
              <w:bottom w:val="single" w:sz="4" w:space="0" w:color="auto"/>
            </w:tcBorders>
            <w:noWrap/>
            <w:hideMark/>
          </w:tcPr>
          <w:p w14:paraId="5C143081"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Financial Hardship and Ability to Pay</w:t>
            </w:r>
            <w:r w:rsidRPr="0084248F">
              <w:rPr>
                <w:rFonts w:ascii="Arial" w:eastAsia="Times New Roman" w:hAnsi="Arial" w:cs="Arial"/>
                <w:kern w:val="2"/>
                <w:sz w:val="28"/>
                <w:szCs w:val="28"/>
                <w:lang w:eastAsia="en-GB"/>
                <w14:ligatures w14:val="standardContextual"/>
              </w:rPr>
              <w:tab/>
            </w:r>
          </w:p>
        </w:tc>
        <w:tc>
          <w:tcPr>
            <w:tcW w:w="1236" w:type="dxa"/>
            <w:tcBorders>
              <w:bottom w:val="single" w:sz="4" w:space="0" w:color="auto"/>
            </w:tcBorders>
            <w:noWrap/>
            <w:hideMark/>
          </w:tcPr>
          <w:p w14:paraId="0D959A82"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-50%</w:t>
            </w:r>
          </w:p>
        </w:tc>
      </w:tr>
      <w:tr w:rsidR="009B39CF" w:rsidRPr="0084248F" w14:paraId="03C069C4" w14:textId="77777777" w:rsidTr="008C1C14">
        <w:trPr>
          <w:trHeight w:val="315"/>
          <w:jc w:val="center"/>
        </w:trPr>
        <w:tc>
          <w:tcPr>
            <w:tcW w:w="9701" w:type="dxa"/>
            <w:gridSpan w:val="2"/>
            <w:tcBorders>
              <w:left w:val="nil"/>
              <w:bottom w:val="nil"/>
              <w:right w:val="nil"/>
            </w:tcBorders>
            <w:noWrap/>
          </w:tcPr>
          <w:p w14:paraId="435DE253"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p>
        </w:tc>
      </w:tr>
      <w:tr w:rsidR="009B39CF" w:rsidRPr="0084248F" w14:paraId="0D656EE3" w14:textId="77777777" w:rsidTr="008C1C14">
        <w:trPr>
          <w:trHeight w:val="315"/>
          <w:jc w:val="center"/>
        </w:trPr>
        <w:tc>
          <w:tcPr>
            <w:tcW w:w="9701" w:type="dxa"/>
            <w:gridSpan w:val="2"/>
            <w:tcBorders>
              <w:top w:val="nil"/>
              <w:left w:val="nil"/>
              <w:right w:val="nil"/>
            </w:tcBorders>
            <w:noWrap/>
          </w:tcPr>
          <w:p w14:paraId="07A62EFE"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p>
        </w:tc>
      </w:tr>
      <w:tr w:rsidR="009B39CF" w:rsidRPr="0084248F" w14:paraId="5B4D2EF3" w14:textId="77777777" w:rsidTr="008C1C14">
        <w:trPr>
          <w:trHeight w:val="300"/>
          <w:jc w:val="center"/>
        </w:trPr>
        <w:tc>
          <w:tcPr>
            <w:tcW w:w="8465" w:type="dxa"/>
            <w:noWrap/>
            <w:hideMark/>
          </w:tcPr>
          <w:p w14:paraId="075BBF2E" w14:textId="77777777" w:rsidR="009B39CF" w:rsidRPr="0084248F" w:rsidRDefault="009B39CF" w:rsidP="008C1C14">
            <w:pPr>
              <w:tabs>
                <w:tab w:val="left" w:pos="7162"/>
                <w:tab w:val="right" w:pos="7252"/>
              </w:tabs>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b/>
                <w:kern w:val="2"/>
                <w:sz w:val="28"/>
                <w:szCs w:val="28"/>
                <w:lang w:eastAsia="en-GB"/>
                <w14:ligatures w14:val="standardContextual"/>
              </w:rPr>
              <w:t xml:space="preserve">Offences of contravention of an overcrowding notice (section 139)     </w:t>
            </w:r>
          </w:p>
        </w:tc>
        <w:tc>
          <w:tcPr>
            <w:tcW w:w="1236" w:type="dxa"/>
            <w:noWrap/>
            <w:hideMark/>
          </w:tcPr>
          <w:p w14:paraId="65C1EA7A"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w:t>
            </w:r>
          </w:p>
        </w:tc>
      </w:tr>
      <w:tr w:rsidR="009B39CF" w:rsidRPr="0084248F" w14:paraId="77A71599" w14:textId="77777777" w:rsidTr="008C1C14">
        <w:trPr>
          <w:trHeight w:val="300"/>
          <w:jc w:val="center"/>
        </w:trPr>
        <w:tc>
          <w:tcPr>
            <w:tcW w:w="8465" w:type="dxa"/>
            <w:noWrap/>
            <w:hideMark/>
          </w:tcPr>
          <w:p w14:paraId="3B0EF7F2"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1st relevant offences</w:t>
            </w:r>
            <w:r w:rsidRPr="0084248F">
              <w:rPr>
                <w:rFonts w:ascii="Arial" w:eastAsia="Times New Roman" w:hAnsi="Arial" w:cs="Arial"/>
                <w:kern w:val="2"/>
                <w:sz w:val="28"/>
                <w:szCs w:val="28"/>
                <w:lang w:eastAsia="en-GB"/>
                <w14:ligatures w14:val="standardContextual"/>
              </w:rPr>
              <w:tab/>
            </w:r>
          </w:p>
        </w:tc>
        <w:tc>
          <w:tcPr>
            <w:tcW w:w="1236" w:type="dxa"/>
            <w:noWrap/>
            <w:hideMark/>
          </w:tcPr>
          <w:p w14:paraId="484AC652"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20,000</w:t>
            </w:r>
          </w:p>
        </w:tc>
      </w:tr>
      <w:tr w:rsidR="009B39CF" w:rsidRPr="0084248F" w14:paraId="74B8D65C" w14:textId="77777777" w:rsidTr="008C1C14">
        <w:trPr>
          <w:trHeight w:val="300"/>
          <w:jc w:val="center"/>
        </w:trPr>
        <w:tc>
          <w:tcPr>
            <w:tcW w:w="8465" w:type="dxa"/>
            <w:noWrap/>
            <w:hideMark/>
          </w:tcPr>
          <w:p w14:paraId="5FF4784E"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2nd subsequent offence by same person/company                                     </w:t>
            </w:r>
          </w:p>
        </w:tc>
        <w:tc>
          <w:tcPr>
            <w:tcW w:w="1236" w:type="dxa"/>
            <w:noWrap/>
            <w:hideMark/>
          </w:tcPr>
          <w:p w14:paraId="40B82D90"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40,000</w:t>
            </w:r>
          </w:p>
        </w:tc>
      </w:tr>
      <w:tr w:rsidR="009B39CF" w:rsidRPr="0084248F" w14:paraId="100B1079" w14:textId="77777777" w:rsidTr="008C1C14">
        <w:trPr>
          <w:trHeight w:val="300"/>
          <w:jc w:val="center"/>
        </w:trPr>
        <w:tc>
          <w:tcPr>
            <w:tcW w:w="8465" w:type="dxa"/>
            <w:noWrap/>
            <w:hideMark/>
          </w:tcPr>
          <w:p w14:paraId="72047A95"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w:t>
            </w:r>
          </w:p>
        </w:tc>
        <w:tc>
          <w:tcPr>
            <w:tcW w:w="1236" w:type="dxa"/>
            <w:noWrap/>
            <w:hideMark/>
          </w:tcPr>
          <w:p w14:paraId="30DFAD60"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w:t>
            </w:r>
          </w:p>
        </w:tc>
      </w:tr>
      <w:tr w:rsidR="009B39CF" w:rsidRPr="0084248F" w14:paraId="6252B1FB" w14:textId="77777777" w:rsidTr="008C1C14">
        <w:trPr>
          <w:trHeight w:val="300"/>
          <w:jc w:val="center"/>
        </w:trPr>
        <w:tc>
          <w:tcPr>
            <w:tcW w:w="8465" w:type="dxa"/>
            <w:noWrap/>
            <w:hideMark/>
          </w:tcPr>
          <w:p w14:paraId="1383A835" w14:textId="77777777" w:rsidR="009B39CF" w:rsidRPr="0084248F" w:rsidRDefault="009B39CF" w:rsidP="008C1C14">
            <w:pPr>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b/>
                <w:kern w:val="2"/>
                <w:sz w:val="28"/>
                <w:szCs w:val="28"/>
                <w:lang w:eastAsia="en-GB"/>
                <w14:ligatures w14:val="standardContextual"/>
              </w:rPr>
              <w:t>Premiums (use all that apply)</w:t>
            </w:r>
          </w:p>
        </w:tc>
        <w:tc>
          <w:tcPr>
            <w:tcW w:w="1236" w:type="dxa"/>
            <w:noWrap/>
            <w:hideMark/>
          </w:tcPr>
          <w:p w14:paraId="3CD8C036"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w:t>
            </w:r>
          </w:p>
        </w:tc>
      </w:tr>
      <w:tr w:rsidR="009B39CF" w:rsidRPr="0084248F" w14:paraId="32F34C4E" w14:textId="77777777" w:rsidTr="008C1C14">
        <w:trPr>
          <w:trHeight w:val="300"/>
          <w:jc w:val="center"/>
        </w:trPr>
        <w:tc>
          <w:tcPr>
            <w:tcW w:w="8465" w:type="dxa"/>
            <w:noWrap/>
            <w:hideMark/>
          </w:tcPr>
          <w:p w14:paraId="1982C646"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Acts or omissions demonstrating high culpability                                         </w:t>
            </w:r>
            <w:r w:rsidRPr="0084248F">
              <w:rPr>
                <w:rFonts w:ascii="Arial" w:eastAsia="Times New Roman" w:hAnsi="Arial" w:cs="Arial"/>
                <w:kern w:val="2"/>
                <w:sz w:val="28"/>
                <w:szCs w:val="28"/>
                <w:lang w:eastAsia="en-GB"/>
                <w14:ligatures w14:val="standardContextual"/>
              </w:rPr>
              <w:tab/>
            </w:r>
          </w:p>
        </w:tc>
        <w:tc>
          <w:tcPr>
            <w:tcW w:w="1236" w:type="dxa"/>
            <w:noWrap/>
            <w:hideMark/>
          </w:tcPr>
          <w:p w14:paraId="48FD27F9"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9B39CF" w:rsidRPr="0084248F" w14:paraId="416FADC1" w14:textId="77777777" w:rsidTr="008C1C14">
        <w:trPr>
          <w:trHeight w:val="300"/>
          <w:jc w:val="center"/>
        </w:trPr>
        <w:tc>
          <w:tcPr>
            <w:tcW w:w="8465" w:type="dxa"/>
            <w:noWrap/>
            <w:hideMark/>
          </w:tcPr>
          <w:p w14:paraId="3AC325CD"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Vulnerable occupant and/or significant harm occurred as result of overcrowding   </w:t>
            </w:r>
          </w:p>
        </w:tc>
        <w:tc>
          <w:tcPr>
            <w:tcW w:w="1236" w:type="dxa"/>
            <w:noWrap/>
            <w:hideMark/>
          </w:tcPr>
          <w:p w14:paraId="6B8DFEAA"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9B39CF" w:rsidRPr="0084248F" w14:paraId="09A60A49" w14:textId="77777777" w:rsidTr="008C1C14">
        <w:trPr>
          <w:trHeight w:val="300"/>
          <w:jc w:val="center"/>
        </w:trPr>
        <w:tc>
          <w:tcPr>
            <w:tcW w:w="8465" w:type="dxa"/>
            <w:tcBorders>
              <w:bottom w:val="single" w:sz="4" w:space="0" w:color="auto"/>
            </w:tcBorders>
            <w:noWrap/>
            <w:hideMark/>
          </w:tcPr>
          <w:p w14:paraId="74699176"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Financial Hardship and Ability to Pay</w:t>
            </w:r>
            <w:r w:rsidRPr="0084248F">
              <w:rPr>
                <w:rFonts w:ascii="Arial" w:eastAsia="Times New Roman" w:hAnsi="Arial" w:cs="Arial"/>
                <w:kern w:val="2"/>
                <w:sz w:val="28"/>
                <w:szCs w:val="28"/>
                <w:lang w:eastAsia="en-GB"/>
                <w14:ligatures w14:val="standardContextual"/>
              </w:rPr>
              <w:tab/>
            </w:r>
          </w:p>
        </w:tc>
        <w:tc>
          <w:tcPr>
            <w:tcW w:w="1236" w:type="dxa"/>
            <w:tcBorders>
              <w:bottom w:val="single" w:sz="4" w:space="0" w:color="auto"/>
            </w:tcBorders>
            <w:noWrap/>
            <w:hideMark/>
          </w:tcPr>
          <w:p w14:paraId="10FE5F98" w14:textId="77777777" w:rsidR="009B39CF" w:rsidRPr="0084248F" w:rsidRDefault="009B39CF" w:rsidP="008C1C14">
            <w:pPr>
              <w:spacing w:after="0" w:line="240" w:lineRule="auto"/>
              <w:jc w:val="both"/>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-50%</w:t>
            </w:r>
          </w:p>
        </w:tc>
      </w:tr>
    </w:tbl>
    <w:p w14:paraId="41E5519C" w14:textId="77777777" w:rsidR="009B39CF" w:rsidRPr="0084248F" w:rsidRDefault="009B39CF" w:rsidP="009B39CF">
      <w:pPr>
        <w:tabs>
          <w:tab w:val="center" w:pos="4513"/>
          <w:tab w:val="right" w:pos="9026"/>
          <w:tab w:val="left" w:pos="15660"/>
        </w:tabs>
        <w:spacing w:after="240" w:line="240" w:lineRule="auto"/>
        <w:rPr>
          <w:rFonts w:ascii="Aptos" w:eastAsia="Aptos" w:hAnsi="Aptos" w:cs="Arial"/>
          <w:b/>
          <w:sz w:val="28"/>
          <w:szCs w:val="28"/>
        </w:rPr>
      </w:pPr>
    </w:p>
    <w:p w14:paraId="5068E224" w14:textId="74B1ED11" w:rsidR="009B39CF" w:rsidRPr="0084248F" w:rsidRDefault="00205209" w:rsidP="009B39CF">
      <w:pPr>
        <w:ind w:left="-284"/>
        <w:rPr>
          <w:rFonts w:ascii="Aptos" w:eastAsia="Aptos" w:hAnsi="Aptos" w:cs="Arial"/>
          <w:b/>
          <w:sz w:val="28"/>
          <w:szCs w:val="28"/>
        </w:rPr>
      </w:pPr>
      <w:r w:rsidRPr="0084248F">
        <w:rPr>
          <w:rFonts w:ascii="Arial" w:eastAsia="Aptos" w:hAnsi="Arial" w:cs="Arial"/>
          <w:b/>
          <w:bCs/>
          <w:kern w:val="2"/>
          <w:sz w:val="28"/>
          <w:szCs w:val="28"/>
          <w14:ligatures w14:val="standardContextual"/>
        </w:rPr>
        <w:t>10</w:t>
      </w:r>
      <w:r w:rsidR="006B7007" w:rsidRPr="0084248F">
        <w:rPr>
          <w:rFonts w:ascii="Arial" w:eastAsia="Aptos" w:hAnsi="Arial" w:cs="Arial"/>
          <w:b/>
          <w:bCs/>
          <w:kern w:val="2"/>
          <w:sz w:val="28"/>
          <w:szCs w:val="28"/>
          <w14:ligatures w14:val="standardContextual"/>
        </w:rPr>
        <w:t xml:space="preserve">.5 - </w:t>
      </w:r>
      <w:r w:rsidR="009B39CF" w:rsidRPr="0084248F">
        <w:rPr>
          <w:rFonts w:ascii="Arial" w:eastAsia="Aptos" w:hAnsi="Arial" w:cs="Arial"/>
          <w:b/>
          <w:bCs/>
          <w:kern w:val="2"/>
          <w:sz w:val="28"/>
          <w:szCs w:val="28"/>
          <w14:ligatures w14:val="standardContextual"/>
        </w:rPr>
        <w:t>Charging table relating to offences committed under the  Management of Houses in Multiple Occupation (England) Regulations 2006</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236"/>
      </w:tblGrid>
      <w:tr w:rsidR="009B39CF" w:rsidRPr="0084248F" w14:paraId="66418893" w14:textId="77777777" w:rsidTr="008C1C14">
        <w:trPr>
          <w:trHeight w:val="300"/>
          <w:jc w:val="center"/>
        </w:trPr>
        <w:tc>
          <w:tcPr>
            <w:tcW w:w="8505" w:type="dxa"/>
            <w:tcBorders>
              <w:top w:val="single" w:sz="4" w:space="0" w:color="auto"/>
            </w:tcBorders>
            <w:noWrap/>
            <w:hideMark/>
          </w:tcPr>
          <w:p w14:paraId="62B86102" w14:textId="77777777" w:rsidR="009B39CF" w:rsidRPr="0084248F" w:rsidRDefault="009B39CF" w:rsidP="008C1C14">
            <w:pPr>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b/>
                <w:kern w:val="2"/>
                <w:sz w:val="28"/>
                <w:szCs w:val="28"/>
                <w:lang w:eastAsia="en-GB"/>
                <w14:ligatures w14:val="standardContextual"/>
              </w:rPr>
              <w:t xml:space="preserve">Failure to comply with management regulations in respect of HMOs (Section 234) </w:t>
            </w:r>
            <w:r w:rsidRPr="0084248F">
              <w:rPr>
                <w:rFonts w:ascii="Arial" w:eastAsia="Times New Roman" w:hAnsi="Arial" w:cs="Arial"/>
                <w:b/>
                <w:i/>
                <w:kern w:val="2"/>
                <w:sz w:val="28"/>
                <w:szCs w:val="28"/>
                <w:lang w:eastAsia="en-GB"/>
                <w14:ligatures w14:val="standardContextual"/>
              </w:rPr>
              <w:tab/>
            </w:r>
            <w:r w:rsidRPr="0084248F">
              <w:rPr>
                <w:rFonts w:ascii="Arial" w:eastAsia="Times New Roman" w:hAnsi="Arial" w:cs="Arial"/>
                <w:i/>
                <w:kern w:val="2"/>
                <w:sz w:val="28"/>
                <w:szCs w:val="28"/>
                <w:lang w:eastAsia="en-GB"/>
                <w14:ligatures w14:val="standardContextual"/>
              </w:rPr>
              <w:t xml:space="preserve">                                                                                            </w:t>
            </w:r>
          </w:p>
        </w:tc>
        <w:tc>
          <w:tcPr>
            <w:tcW w:w="1236" w:type="dxa"/>
            <w:tcBorders>
              <w:top w:val="single" w:sz="4" w:space="0" w:color="auto"/>
            </w:tcBorders>
            <w:noWrap/>
            <w:hideMark/>
          </w:tcPr>
          <w:p w14:paraId="566E7313"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w:t>
            </w:r>
          </w:p>
        </w:tc>
      </w:tr>
      <w:tr w:rsidR="009B39CF" w:rsidRPr="0084248F" w14:paraId="49311489" w14:textId="77777777" w:rsidTr="008C1C14">
        <w:trPr>
          <w:trHeight w:val="300"/>
          <w:jc w:val="center"/>
        </w:trPr>
        <w:tc>
          <w:tcPr>
            <w:tcW w:w="8505" w:type="dxa"/>
            <w:tcBorders>
              <w:top w:val="single" w:sz="4" w:space="0" w:color="auto"/>
            </w:tcBorders>
            <w:noWrap/>
          </w:tcPr>
          <w:p w14:paraId="7B216616" w14:textId="77777777" w:rsidR="009B39CF" w:rsidRPr="0084248F" w:rsidRDefault="009B39CF" w:rsidP="008C1C14">
            <w:pPr>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b/>
                <w:bCs/>
                <w:kern w:val="2"/>
                <w:sz w:val="28"/>
                <w:szCs w:val="28"/>
                <w:lang w:eastAsia="en-GB"/>
                <w14:ligatures w14:val="standardContextual"/>
              </w:rPr>
              <w:t>Failure to take safety measures</w:t>
            </w:r>
          </w:p>
        </w:tc>
        <w:tc>
          <w:tcPr>
            <w:tcW w:w="1236" w:type="dxa"/>
            <w:tcBorders>
              <w:top w:val="single" w:sz="4" w:space="0" w:color="auto"/>
            </w:tcBorders>
            <w:noWrap/>
          </w:tcPr>
          <w:p w14:paraId="4B564F68"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p>
        </w:tc>
      </w:tr>
      <w:tr w:rsidR="009B39CF" w:rsidRPr="0084248F" w14:paraId="38313AA9" w14:textId="77777777" w:rsidTr="008C1C14">
        <w:trPr>
          <w:trHeight w:val="300"/>
          <w:jc w:val="center"/>
        </w:trPr>
        <w:tc>
          <w:tcPr>
            <w:tcW w:w="8505" w:type="dxa"/>
            <w:noWrap/>
            <w:hideMark/>
          </w:tcPr>
          <w:p w14:paraId="7AED97BE"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w:t>
            </w:r>
            <w:r w:rsidRPr="0084248F">
              <w:rPr>
                <w:rFonts w:ascii="Arial" w:eastAsia="Times New Roman" w:hAnsi="Arial" w:cs="Arial"/>
                <w:kern w:val="2"/>
                <w:sz w:val="28"/>
                <w:szCs w:val="28"/>
                <w:vertAlign w:val="superscript"/>
                <w:lang w:eastAsia="en-GB"/>
                <w14:ligatures w14:val="standardContextual"/>
              </w:rPr>
              <w:t>st</w:t>
            </w:r>
            <w:r w:rsidRPr="0084248F">
              <w:rPr>
                <w:rFonts w:ascii="Arial" w:eastAsia="Times New Roman" w:hAnsi="Arial" w:cs="Arial"/>
                <w:kern w:val="2"/>
                <w:sz w:val="28"/>
                <w:szCs w:val="28"/>
                <w:lang w:eastAsia="en-GB"/>
                <w14:ligatures w14:val="standardContextual"/>
              </w:rPr>
              <w:t xml:space="preserve"> relevant offence                                                                                      </w:t>
            </w:r>
            <w:r w:rsidRPr="0084248F">
              <w:rPr>
                <w:rFonts w:ascii="Arial" w:eastAsia="Times New Roman" w:hAnsi="Arial" w:cs="Arial"/>
                <w:i/>
                <w:kern w:val="2"/>
                <w:sz w:val="28"/>
                <w:szCs w:val="28"/>
                <w:lang w:eastAsia="en-GB"/>
                <w14:ligatures w14:val="standardContextual"/>
              </w:rPr>
              <w:t>(note1)</w:t>
            </w:r>
          </w:p>
        </w:tc>
        <w:tc>
          <w:tcPr>
            <w:tcW w:w="1236" w:type="dxa"/>
            <w:noWrap/>
            <w:hideMark/>
          </w:tcPr>
          <w:p w14:paraId="07E35B46"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20,000</w:t>
            </w:r>
          </w:p>
        </w:tc>
      </w:tr>
      <w:tr w:rsidR="009B39CF" w:rsidRPr="0084248F" w14:paraId="0E6ACCF1" w14:textId="77777777" w:rsidTr="008C1C14">
        <w:trPr>
          <w:trHeight w:val="300"/>
          <w:jc w:val="center"/>
        </w:trPr>
        <w:tc>
          <w:tcPr>
            <w:tcW w:w="8505" w:type="dxa"/>
            <w:noWrap/>
            <w:hideMark/>
          </w:tcPr>
          <w:p w14:paraId="53A44201"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Second subsequent offences by same person/company for the same offence</w:t>
            </w:r>
          </w:p>
        </w:tc>
        <w:tc>
          <w:tcPr>
            <w:tcW w:w="1236" w:type="dxa"/>
            <w:noWrap/>
            <w:hideMark/>
          </w:tcPr>
          <w:p w14:paraId="5F850DAF"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40,000</w:t>
            </w:r>
          </w:p>
        </w:tc>
      </w:tr>
      <w:tr w:rsidR="009B39CF" w:rsidRPr="0084248F" w14:paraId="186A3B18" w14:textId="77777777" w:rsidTr="008C1C14">
        <w:trPr>
          <w:trHeight w:val="300"/>
          <w:jc w:val="center"/>
        </w:trPr>
        <w:tc>
          <w:tcPr>
            <w:tcW w:w="8505" w:type="dxa"/>
            <w:noWrap/>
          </w:tcPr>
          <w:p w14:paraId="3244EF47"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b/>
                <w:bCs/>
                <w:kern w:val="2"/>
                <w:sz w:val="28"/>
                <w:szCs w:val="28"/>
                <w:lang w:eastAsia="en-GB"/>
                <w14:ligatures w14:val="standardContextual"/>
              </w:rPr>
              <w:t>Failure to supply/maintain gas &amp; electricity</w:t>
            </w:r>
          </w:p>
        </w:tc>
        <w:tc>
          <w:tcPr>
            <w:tcW w:w="1236" w:type="dxa"/>
            <w:noWrap/>
          </w:tcPr>
          <w:p w14:paraId="199C3356"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p>
        </w:tc>
      </w:tr>
      <w:tr w:rsidR="009B39CF" w:rsidRPr="0084248F" w14:paraId="62FA5FAD" w14:textId="77777777" w:rsidTr="008C1C14">
        <w:trPr>
          <w:trHeight w:val="300"/>
          <w:jc w:val="center"/>
        </w:trPr>
        <w:tc>
          <w:tcPr>
            <w:tcW w:w="8505" w:type="dxa"/>
            <w:noWrap/>
            <w:hideMark/>
          </w:tcPr>
          <w:p w14:paraId="3E69BAD2" w14:textId="77777777" w:rsidR="009B39CF" w:rsidRPr="0084248F" w:rsidRDefault="009B39CF" w:rsidP="008C1C14">
            <w:pPr>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w:t>
            </w:r>
            <w:r w:rsidRPr="0084248F">
              <w:rPr>
                <w:rFonts w:ascii="Arial" w:eastAsia="Times New Roman" w:hAnsi="Arial" w:cs="Arial"/>
                <w:kern w:val="2"/>
                <w:sz w:val="28"/>
                <w:szCs w:val="28"/>
                <w:vertAlign w:val="superscript"/>
                <w:lang w:eastAsia="en-GB"/>
                <w14:ligatures w14:val="standardContextual"/>
              </w:rPr>
              <w:t>st</w:t>
            </w:r>
            <w:r w:rsidRPr="0084248F">
              <w:rPr>
                <w:rFonts w:ascii="Arial" w:eastAsia="Times New Roman" w:hAnsi="Arial" w:cs="Arial"/>
                <w:kern w:val="2"/>
                <w:sz w:val="28"/>
                <w:szCs w:val="28"/>
                <w:lang w:eastAsia="en-GB"/>
                <w14:ligatures w14:val="standardContextual"/>
              </w:rPr>
              <w:t xml:space="preserve"> relevant offence                                                                                      </w:t>
            </w:r>
            <w:r w:rsidRPr="0084248F">
              <w:rPr>
                <w:rFonts w:ascii="Arial" w:eastAsia="Times New Roman" w:hAnsi="Arial" w:cs="Arial"/>
                <w:i/>
                <w:kern w:val="2"/>
                <w:sz w:val="28"/>
                <w:szCs w:val="28"/>
                <w:lang w:eastAsia="en-GB"/>
                <w14:ligatures w14:val="standardContextual"/>
              </w:rPr>
              <w:t>(note1)</w:t>
            </w:r>
          </w:p>
        </w:tc>
        <w:tc>
          <w:tcPr>
            <w:tcW w:w="1236" w:type="dxa"/>
            <w:noWrap/>
            <w:hideMark/>
          </w:tcPr>
          <w:p w14:paraId="7930DF7B"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12,000</w:t>
            </w:r>
          </w:p>
        </w:tc>
      </w:tr>
      <w:tr w:rsidR="009B39CF" w:rsidRPr="0084248F" w14:paraId="4EB3ABC3" w14:textId="77777777" w:rsidTr="008C1C14">
        <w:trPr>
          <w:trHeight w:val="300"/>
          <w:jc w:val="center"/>
        </w:trPr>
        <w:tc>
          <w:tcPr>
            <w:tcW w:w="8505" w:type="dxa"/>
            <w:noWrap/>
          </w:tcPr>
          <w:p w14:paraId="3A356290" w14:textId="77777777" w:rsidR="009B39CF" w:rsidRPr="0084248F" w:rsidRDefault="009B39CF" w:rsidP="008C1C14">
            <w:pPr>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Second subsequent offences by same person/company for the same offence</w:t>
            </w:r>
          </w:p>
        </w:tc>
        <w:tc>
          <w:tcPr>
            <w:tcW w:w="1236" w:type="dxa"/>
            <w:noWrap/>
          </w:tcPr>
          <w:p w14:paraId="2D130BAD"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20,000</w:t>
            </w:r>
          </w:p>
        </w:tc>
      </w:tr>
      <w:tr w:rsidR="009B39CF" w:rsidRPr="0084248F" w14:paraId="0D0D31E2" w14:textId="77777777" w:rsidTr="008C1C14">
        <w:trPr>
          <w:trHeight w:val="300"/>
          <w:jc w:val="center"/>
        </w:trPr>
        <w:tc>
          <w:tcPr>
            <w:tcW w:w="8505" w:type="dxa"/>
            <w:noWrap/>
          </w:tcPr>
          <w:p w14:paraId="5DD12F5B" w14:textId="77777777" w:rsidR="009B39CF" w:rsidRPr="0084248F" w:rsidRDefault="009B39CF" w:rsidP="008C1C14">
            <w:pPr>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b/>
                <w:bCs/>
                <w:kern w:val="2"/>
                <w:sz w:val="28"/>
                <w:szCs w:val="28"/>
                <w:lang w:eastAsia="en-GB"/>
                <w14:ligatures w14:val="standardContextual"/>
              </w:rPr>
              <w:t>Failure to maintain water supply &amp; drainage</w:t>
            </w:r>
          </w:p>
        </w:tc>
        <w:tc>
          <w:tcPr>
            <w:tcW w:w="1236" w:type="dxa"/>
            <w:noWrap/>
          </w:tcPr>
          <w:p w14:paraId="3D1295E4"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p>
        </w:tc>
      </w:tr>
      <w:tr w:rsidR="009B39CF" w:rsidRPr="0084248F" w14:paraId="0664A0FF" w14:textId="77777777" w:rsidTr="008C1C14">
        <w:trPr>
          <w:trHeight w:val="300"/>
          <w:jc w:val="center"/>
        </w:trPr>
        <w:tc>
          <w:tcPr>
            <w:tcW w:w="8505" w:type="dxa"/>
            <w:noWrap/>
          </w:tcPr>
          <w:p w14:paraId="4E3F6DB6" w14:textId="77777777" w:rsidR="009B39CF" w:rsidRPr="0084248F" w:rsidRDefault="009B39CF" w:rsidP="008C1C14">
            <w:pPr>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lastRenderedPageBreak/>
              <w:t>1</w:t>
            </w:r>
            <w:r w:rsidRPr="0084248F">
              <w:rPr>
                <w:rFonts w:ascii="Arial" w:eastAsia="Times New Roman" w:hAnsi="Arial" w:cs="Arial"/>
                <w:kern w:val="2"/>
                <w:sz w:val="28"/>
                <w:szCs w:val="28"/>
                <w:vertAlign w:val="superscript"/>
                <w:lang w:eastAsia="en-GB"/>
                <w14:ligatures w14:val="standardContextual"/>
              </w:rPr>
              <w:t>st</w:t>
            </w:r>
            <w:r w:rsidRPr="0084248F">
              <w:rPr>
                <w:rFonts w:ascii="Arial" w:eastAsia="Times New Roman" w:hAnsi="Arial" w:cs="Arial"/>
                <w:kern w:val="2"/>
                <w:sz w:val="28"/>
                <w:szCs w:val="28"/>
                <w:lang w:eastAsia="en-GB"/>
                <w14:ligatures w14:val="standardContextual"/>
              </w:rPr>
              <w:t xml:space="preserve"> relevant offence                                                                                      </w:t>
            </w:r>
            <w:r w:rsidRPr="0084248F">
              <w:rPr>
                <w:rFonts w:ascii="Arial" w:eastAsia="Times New Roman" w:hAnsi="Arial" w:cs="Arial"/>
                <w:i/>
                <w:kern w:val="2"/>
                <w:sz w:val="28"/>
                <w:szCs w:val="28"/>
                <w:lang w:eastAsia="en-GB"/>
                <w14:ligatures w14:val="standardContextual"/>
              </w:rPr>
              <w:t>(note1)</w:t>
            </w:r>
          </w:p>
        </w:tc>
        <w:tc>
          <w:tcPr>
            <w:tcW w:w="1236" w:type="dxa"/>
            <w:noWrap/>
          </w:tcPr>
          <w:p w14:paraId="7260CB50"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9B39CF" w:rsidRPr="0084248F" w14:paraId="430A6903" w14:textId="77777777" w:rsidTr="008C1C14">
        <w:trPr>
          <w:trHeight w:val="300"/>
          <w:jc w:val="center"/>
        </w:trPr>
        <w:tc>
          <w:tcPr>
            <w:tcW w:w="8505" w:type="dxa"/>
            <w:noWrap/>
          </w:tcPr>
          <w:p w14:paraId="5D80FD86" w14:textId="77777777" w:rsidR="009B39CF" w:rsidRPr="0084248F" w:rsidRDefault="009B39CF" w:rsidP="008C1C14">
            <w:pPr>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Second subsequent offences by same person/company for the same offence</w:t>
            </w:r>
          </w:p>
        </w:tc>
        <w:tc>
          <w:tcPr>
            <w:tcW w:w="1236" w:type="dxa"/>
            <w:noWrap/>
          </w:tcPr>
          <w:p w14:paraId="388AE1EF"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20,000</w:t>
            </w:r>
          </w:p>
        </w:tc>
      </w:tr>
      <w:tr w:rsidR="009B39CF" w:rsidRPr="0084248F" w14:paraId="6AD9B592" w14:textId="77777777" w:rsidTr="008C1C14">
        <w:trPr>
          <w:trHeight w:val="300"/>
          <w:jc w:val="center"/>
        </w:trPr>
        <w:tc>
          <w:tcPr>
            <w:tcW w:w="8505" w:type="dxa"/>
            <w:noWrap/>
          </w:tcPr>
          <w:p w14:paraId="016B741B"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b/>
                <w:bCs/>
                <w:kern w:val="2"/>
                <w:sz w:val="28"/>
                <w:szCs w:val="28"/>
                <w:lang w:eastAsia="en-GB"/>
                <w14:ligatures w14:val="standardContextual"/>
              </w:rPr>
              <w:t>Failure to maintain common parts / living space</w:t>
            </w:r>
          </w:p>
        </w:tc>
        <w:tc>
          <w:tcPr>
            <w:tcW w:w="1236" w:type="dxa"/>
            <w:noWrap/>
          </w:tcPr>
          <w:p w14:paraId="1251E563"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p>
        </w:tc>
      </w:tr>
      <w:tr w:rsidR="009B39CF" w:rsidRPr="0084248F" w14:paraId="461598A6" w14:textId="77777777" w:rsidTr="008C1C14">
        <w:trPr>
          <w:trHeight w:val="300"/>
          <w:jc w:val="center"/>
        </w:trPr>
        <w:tc>
          <w:tcPr>
            <w:tcW w:w="8505" w:type="dxa"/>
            <w:noWrap/>
          </w:tcPr>
          <w:p w14:paraId="3D1786A1"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w:t>
            </w:r>
            <w:r w:rsidRPr="0084248F">
              <w:rPr>
                <w:rFonts w:ascii="Arial" w:eastAsia="Times New Roman" w:hAnsi="Arial" w:cs="Arial"/>
                <w:kern w:val="2"/>
                <w:sz w:val="28"/>
                <w:szCs w:val="28"/>
                <w:vertAlign w:val="superscript"/>
                <w:lang w:eastAsia="en-GB"/>
                <w14:ligatures w14:val="standardContextual"/>
              </w:rPr>
              <w:t>st</w:t>
            </w:r>
            <w:r w:rsidRPr="0084248F">
              <w:rPr>
                <w:rFonts w:ascii="Arial" w:eastAsia="Times New Roman" w:hAnsi="Arial" w:cs="Arial"/>
                <w:kern w:val="2"/>
                <w:sz w:val="28"/>
                <w:szCs w:val="28"/>
                <w:lang w:eastAsia="en-GB"/>
                <w14:ligatures w14:val="standardContextual"/>
              </w:rPr>
              <w:t xml:space="preserve"> relevant offence                                                                                      </w:t>
            </w:r>
            <w:r w:rsidRPr="0084248F">
              <w:rPr>
                <w:rFonts w:ascii="Arial" w:eastAsia="Times New Roman" w:hAnsi="Arial" w:cs="Arial"/>
                <w:i/>
                <w:kern w:val="2"/>
                <w:sz w:val="28"/>
                <w:szCs w:val="28"/>
                <w:lang w:eastAsia="en-GB"/>
                <w14:ligatures w14:val="standardContextual"/>
              </w:rPr>
              <w:t>(note1)</w:t>
            </w:r>
          </w:p>
        </w:tc>
        <w:tc>
          <w:tcPr>
            <w:tcW w:w="1236" w:type="dxa"/>
            <w:noWrap/>
          </w:tcPr>
          <w:p w14:paraId="4A94B5F7"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7,000</w:t>
            </w:r>
          </w:p>
        </w:tc>
      </w:tr>
      <w:tr w:rsidR="009B39CF" w:rsidRPr="0084248F" w14:paraId="1E44A46F" w14:textId="77777777" w:rsidTr="008C1C14">
        <w:trPr>
          <w:trHeight w:val="300"/>
          <w:jc w:val="center"/>
        </w:trPr>
        <w:tc>
          <w:tcPr>
            <w:tcW w:w="8505" w:type="dxa"/>
            <w:noWrap/>
          </w:tcPr>
          <w:p w14:paraId="458E02ED"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Second subsequent offences by same person/company for the same offence</w:t>
            </w:r>
          </w:p>
        </w:tc>
        <w:tc>
          <w:tcPr>
            <w:tcW w:w="1236" w:type="dxa"/>
            <w:noWrap/>
          </w:tcPr>
          <w:p w14:paraId="74132A24"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20,000</w:t>
            </w:r>
          </w:p>
        </w:tc>
      </w:tr>
      <w:tr w:rsidR="009B39CF" w:rsidRPr="0084248F" w14:paraId="417F4231" w14:textId="77777777" w:rsidTr="008C1C14">
        <w:trPr>
          <w:trHeight w:val="300"/>
          <w:jc w:val="center"/>
        </w:trPr>
        <w:tc>
          <w:tcPr>
            <w:tcW w:w="8505" w:type="dxa"/>
            <w:noWrap/>
          </w:tcPr>
          <w:p w14:paraId="4A650BD1"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b/>
                <w:bCs/>
                <w:kern w:val="2"/>
                <w:sz w:val="28"/>
                <w:szCs w:val="28"/>
                <w:lang w:eastAsia="en-GB"/>
                <w14:ligatures w14:val="standardContextual"/>
              </w:rPr>
              <w:t>Failure to provide adequate waste disposal</w:t>
            </w:r>
          </w:p>
        </w:tc>
        <w:tc>
          <w:tcPr>
            <w:tcW w:w="1236" w:type="dxa"/>
            <w:noWrap/>
          </w:tcPr>
          <w:p w14:paraId="2183346F"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p>
        </w:tc>
      </w:tr>
      <w:tr w:rsidR="009B39CF" w:rsidRPr="0084248F" w14:paraId="342B9B51" w14:textId="77777777" w:rsidTr="008C1C14">
        <w:trPr>
          <w:trHeight w:val="300"/>
          <w:jc w:val="center"/>
        </w:trPr>
        <w:tc>
          <w:tcPr>
            <w:tcW w:w="8505" w:type="dxa"/>
            <w:noWrap/>
          </w:tcPr>
          <w:p w14:paraId="4A1B30A9"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w:t>
            </w:r>
            <w:r w:rsidRPr="0084248F">
              <w:rPr>
                <w:rFonts w:ascii="Arial" w:eastAsia="Times New Roman" w:hAnsi="Arial" w:cs="Arial"/>
                <w:kern w:val="2"/>
                <w:sz w:val="28"/>
                <w:szCs w:val="28"/>
                <w:vertAlign w:val="superscript"/>
                <w:lang w:eastAsia="en-GB"/>
                <w14:ligatures w14:val="standardContextual"/>
              </w:rPr>
              <w:t>st</w:t>
            </w:r>
            <w:r w:rsidRPr="0084248F">
              <w:rPr>
                <w:rFonts w:ascii="Arial" w:eastAsia="Times New Roman" w:hAnsi="Arial" w:cs="Arial"/>
                <w:kern w:val="2"/>
                <w:sz w:val="28"/>
                <w:szCs w:val="28"/>
                <w:lang w:eastAsia="en-GB"/>
                <w14:ligatures w14:val="standardContextual"/>
              </w:rPr>
              <w:t xml:space="preserve"> relevant offence                                                                                      </w:t>
            </w:r>
            <w:r w:rsidRPr="0084248F">
              <w:rPr>
                <w:rFonts w:ascii="Arial" w:eastAsia="Times New Roman" w:hAnsi="Arial" w:cs="Arial"/>
                <w:i/>
                <w:kern w:val="2"/>
                <w:sz w:val="28"/>
                <w:szCs w:val="28"/>
                <w:lang w:eastAsia="en-GB"/>
                <w14:ligatures w14:val="standardContextual"/>
              </w:rPr>
              <w:t>(note1)</w:t>
            </w:r>
          </w:p>
        </w:tc>
        <w:tc>
          <w:tcPr>
            <w:tcW w:w="1236" w:type="dxa"/>
            <w:noWrap/>
          </w:tcPr>
          <w:p w14:paraId="10269B97"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7,000</w:t>
            </w:r>
          </w:p>
        </w:tc>
      </w:tr>
      <w:tr w:rsidR="009B39CF" w:rsidRPr="0084248F" w14:paraId="2CCB4E91" w14:textId="77777777" w:rsidTr="008C1C14">
        <w:trPr>
          <w:trHeight w:val="300"/>
          <w:jc w:val="center"/>
        </w:trPr>
        <w:tc>
          <w:tcPr>
            <w:tcW w:w="8505" w:type="dxa"/>
            <w:noWrap/>
          </w:tcPr>
          <w:p w14:paraId="07F23364"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Second subsequent offences by same person/company for the same offence</w:t>
            </w:r>
          </w:p>
        </w:tc>
        <w:tc>
          <w:tcPr>
            <w:tcW w:w="1236" w:type="dxa"/>
            <w:noWrap/>
          </w:tcPr>
          <w:p w14:paraId="71AA494F"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20,000</w:t>
            </w:r>
          </w:p>
        </w:tc>
      </w:tr>
      <w:tr w:rsidR="009B39CF" w:rsidRPr="0084248F" w14:paraId="4C8E24E9" w14:textId="77777777" w:rsidTr="008C1C14">
        <w:trPr>
          <w:trHeight w:val="300"/>
          <w:jc w:val="center"/>
        </w:trPr>
        <w:tc>
          <w:tcPr>
            <w:tcW w:w="8505" w:type="dxa"/>
            <w:noWrap/>
          </w:tcPr>
          <w:p w14:paraId="0E91D5B0"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b/>
                <w:bCs/>
                <w:kern w:val="2"/>
                <w:sz w:val="28"/>
                <w:szCs w:val="28"/>
                <w:lang w:eastAsia="en-GB"/>
                <w14:ligatures w14:val="standardContextual"/>
              </w:rPr>
              <w:t>Failure to provide manager info to occupier</w:t>
            </w:r>
          </w:p>
        </w:tc>
        <w:tc>
          <w:tcPr>
            <w:tcW w:w="1236" w:type="dxa"/>
            <w:noWrap/>
          </w:tcPr>
          <w:p w14:paraId="0BBF7F95"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p>
        </w:tc>
      </w:tr>
      <w:tr w:rsidR="009B39CF" w:rsidRPr="0084248F" w14:paraId="4D565937" w14:textId="77777777" w:rsidTr="008C1C14">
        <w:trPr>
          <w:trHeight w:val="300"/>
          <w:jc w:val="center"/>
        </w:trPr>
        <w:tc>
          <w:tcPr>
            <w:tcW w:w="8505" w:type="dxa"/>
            <w:noWrap/>
          </w:tcPr>
          <w:p w14:paraId="042AD7D0"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w:t>
            </w:r>
            <w:r w:rsidRPr="0084248F">
              <w:rPr>
                <w:rFonts w:ascii="Arial" w:eastAsia="Times New Roman" w:hAnsi="Arial" w:cs="Arial"/>
                <w:kern w:val="2"/>
                <w:sz w:val="28"/>
                <w:szCs w:val="28"/>
                <w:vertAlign w:val="superscript"/>
                <w:lang w:eastAsia="en-GB"/>
                <w14:ligatures w14:val="standardContextual"/>
              </w:rPr>
              <w:t>st</w:t>
            </w:r>
            <w:r w:rsidRPr="0084248F">
              <w:rPr>
                <w:rFonts w:ascii="Arial" w:eastAsia="Times New Roman" w:hAnsi="Arial" w:cs="Arial"/>
                <w:kern w:val="2"/>
                <w:sz w:val="28"/>
                <w:szCs w:val="28"/>
                <w:lang w:eastAsia="en-GB"/>
                <w14:ligatures w14:val="standardContextual"/>
              </w:rPr>
              <w:t xml:space="preserve"> relevant offence                                                                                      </w:t>
            </w:r>
            <w:r w:rsidRPr="0084248F">
              <w:rPr>
                <w:rFonts w:ascii="Arial" w:eastAsia="Times New Roman" w:hAnsi="Arial" w:cs="Arial"/>
                <w:i/>
                <w:kern w:val="2"/>
                <w:sz w:val="28"/>
                <w:szCs w:val="28"/>
                <w:lang w:eastAsia="en-GB"/>
                <w14:ligatures w14:val="standardContextual"/>
              </w:rPr>
              <w:t>(note1)</w:t>
            </w:r>
          </w:p>
        </w:tc>
        <w:tc>
          <w:tcPr>
            <w:tcW w:w="1236" w:type="dxa"/>
            <w:noWrap/>
          </w:tcPr>
          <w:p w14:paraId="7AA5FFE1"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3,000</w:t>
            </w:r>
          </w:p>
        </w:tc>
      </w:tr>
      <w:tr w:rsidR="009B39CF" w:rsidRPr="0084248F" w14:paraId="44B115A5" w14:textId="77777777" w:rsidTr="008C1C14">
        <w:trPr>
          <w:trHeight w:val="300"/>
          <w:jc w:val="center"/>
        </w:trPr>
        <w:tc>
          <w:tcPr>
            <w:tcW w:w="8505" w:type="dxa"/>
            <w:noWrap/>
          </w:tcPr>
          <w:p w14:paraId="04A98433"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Second subsequent offences by same person/company for the same offence</w:t>
            </w:r>
          </w:p>
        </w:tc>
        <w:tc>
          <w:tcPr>
            <w:tcW w:w="1236" w:type="dxa"/>
            <w:noWrap/>
          </w:tcPr>
          <w:p w14:paraId="76415D9C" w14:textId="77777777" w:rsidR="009B39CF" w:rsidRPr="0084248F" w:rsidRDefault="009B39CF" w:rsidP="008C1C14">
            <w:pPr>
              <w:spacing w:after="0" w:line="240" w:lineRule="auto"/>
              <w:rPr>
                <w:rFonts w:ascii="Arial" w:eastAsia="Times New Roman" w:hAnsi="Arial" w:cs="Arial"/>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9B39CF" w:rsidRPr="0084248F" w14:paraId="0DC3E01F" w14:textId="77777777" w:rsidTr="008C1C14">
        <w:trPr>
          <w:trHeight w:val="300"/>
          <w:jc w:val="center"/>
        </w:trPr>
        <w:tc>
          <w:tcPr>
            <w:tcW w:w="8505" w:type="dxa"/>
            <w:noWrap/>
            <w:hideMark/>
          </w:tcPr>
          <w:p w14:paraId="58982B0A" w14:textId="77777777" w:rsidR="009B39CF" w:rsidRPr="0084248F" w:rsidRDefault="009B39CF" w:rsidP="008C1C14">
            <w:pPr>
              <w:spacing w:after="0" w:line="240" w:lineRule="auto"/>
              <w:rPr>
                <w:rFonts w:ascii="Arial" w:eastAsia="Times New Roman" w:hAnsi="Arial" w:cs="Arial"/>
                <w:b/>
                <w:kern w:val="2"/>
                <w:sz w:val="28"/>
                <w:szCs w:val="28"/>
                <w:lang w:eastAsia="en-GB"/>
                <w14:ligatures w14:val="standardContextual"/>
              </w:rPr>
            </w:pPr>
            <w:r w:rsidRPr="0084248F">
              <w:rPr>
                <w:rFonts w:ascii="Arial" w:eastAsia="Times New Roman" w:hAnsi="Arial" w:cs="Arial"/>
                <w:b/>
                <w:kern w:val="2"/>
                <w:sz w:val="28"/>
                <w:szCs w:val="28"/>
                <w:lang w:eastAsia="en-GB"/>
                <w14:ligatures w14:val="standardContextual"/>
              </w:rPr>
              <w:t>Premiums (use all that apply)</w:t>
            </w:r>
          </w:p>
        </w:tc>
        <w:tc>
          <w:tcPr>
            <w:tcW w:w="1236" w:type="dxa"/>
            <w:noWrap/>
            <w:hideMark/>
          </w:tcPr>
          <w:p w14:paraId="60B7FF24"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w:t>
            </w:r>
          </w:p>
        </w:tc>
      </w:tr>
      <w:tr w:rsidR="009B39CF" w:rsidRPr="0084248F" w14:paraId="0D09B854" w14:textId="77777777" w:rsidTr="008C1C14">
        <w:trPr>
          <w:trHeight w:val="300"/>
          <w:jc w:val="center"/>
        </w:trPr>
        <w:tc>
          <w:tcPr>
            <w:tcW w:w="8505" w:type="dxa"/>
            <w:noWrap/>
            <w:hideMark/>
          </w:tcPr>
          <w:p w14:paraId="2E79C926"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Acts or omissions demonstrating high culpability                                         </w:t>
            </w:r>
          </w:p>
        </w:tc>
        <w:tc>
          <w:tcPr>
            <w:tcW w:w="1236" w:type="dxa"/>
            <w:noWrap/>
            <w:hideMark/>
          </w:tcPr>
          <w:p w14:paraId="11268003"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9B39CF" w:rsidRPr="0084248F" w14:paraId="44A8047D" w14:textId="77777777" w:rsidTr="008C1C14">
        <w:trPr>
          <w:trHeight w:val="300"/>
          <w:jc w:val="center"/>
        </w:trPr>
        <w:tc>
          <w:tcPr>
            <w:tcW w:w="8505" w:type="dxa"/>
            <w:noWrap/>
            <w:hideMark/>
          </w:tcPr>
          <w:p w14:paraId="48F11BB2"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Large housing portfolio (10+ units of accommodation)</w:t>
            </w:r>
            <w:r w:rsidRPr="0084248F">
              <w:rPr>
                <w:rFonts w:ascii="Arial" w:eastAsia="Times New Roman" w:hAnsi="Arial" w:cs="Arial"/>
                <w:kern w:val="2"/>
                <w:sz w:val="28"/>
                <w:szCs w:val="28"/>
                <w:lang w:eastAsia="en-GB"/>
                <w14:ligatures w14:val="standardContextual"/>
              </w:rPr>
              <w:tab/>
            </w:r>
          </w:p>
        </w:tc>
        <w:tc>
          <w:tcPr>
            <w:tcW w:w="1236" w:type="dxa"/>
            <w:noWrap/>
            <w:hideMark/>
          </w:tcPr>
          <w:p w14:paraId="64C069CF"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9B39CF" w:rsidRPr="0084248F" w14:paraId="65278CF2" w14:textId="77777777" w:rsidTr="008C1C14">
        <w:trPr>
          <w:trHeight w:val="300"/>
          <w:jc w:val="center"/>
        </w:trPr>
        <w:tc>
          <w:tcPr>
            <w:tcW w:w="8505" w:type="dxa"/>
            <w:tcBorders>
              <w:bottom w:val="single" w:sz="4" w:space="0" w:color="auto"/>
            </w:tcBorders>
            <w:noWrap/>
            <w:hideMark/>
          </w:tcPr>
          <w:p w14:paraId="7CC10486"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 xml:space="preserve">Vulnerable occupant and/or significant harm occurred as result of housing </w:t>
            </w:r>
          </w:p>
          <w:p w14:paraId="13D79613" w14:textId="77777777" w:rsidR="009B39CF" w:rsidRPr="0084248F" w:rsidRDefault="009B39CF" w:rsidP="008C1C14">
            <w:pPr>
              <w:tabs>
                <w:tab w:val="right" w:pos="7252"/>
              </w:tabs>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conditions</w:t>
            </w:r>
            <w:r w:rsidRPr="0084248F">
              <w:rPr>
                <w:rFonts w:ascii="Arial" w:eastAsia="Times New Roman" w:hAnsi="Arial" w:cs="Arial"/>
                <w:kern w:val="2"/>
                <w:sz w:val="28"/>
                <w:szCs w:val="28"/>
                <w:lang w:eastAsia="en-GB"/>
                <w14:ligatures w14:val="standardContextual"/>
              </w:rPr>
              <w:tab/>
            </w:r>
          </w:p>
        </w:tc>
        <w:tc>
          <w:tcPr>
            <w:tcW w:w="1236" w:type="dxa"/>
            <w:tcBorders>
              <w:bottom w:val="single" w:sz="4" w:space="0" w:color="auto"/>
            </w:tcBorders>
            <w:noWrap/>
            <w:hideMark/>
          </w:tcPr>
          <w:p w14:paraId="50A50116"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+10,000</w:t>
            </w:r>
          </w:p>
        </w:tc>
      </w:tr>
      <w:tr w:rsidR="009B39CF" w:rsidRPr="0084248F" w14:paraId="3CF67D22" w14:textId="77777777" w:rsidTr="008C1C14">
        <w:trPr>
          <w:trHeight w:val="300"/>
          <w:jc w:val="center"/>
        </w:trPr>
        <w:tc>
          <w:tcPr>
            <w:tcW w:w="8505" w:type="dxa"/>
            <w:tcBorders>
              <w:bottom w:val="single" w:sz="4" w:space="0" w:color="auto"/>
            </w:tcBorders>
            <w:noWrap/>
            <w:hideMark/>
          </w:tcPr>
          <w:p w14:paraId="39570598" w14:textId="77777777" w:rsidR="009B39CF" w:rsidRPr="0084248F" w:rsidRDefault="009B39CF" w:rsidP="008C1C14">
            <w:pPr>
              <w:tabs>
                <w:tab w:val="right" w:pos="7252"/>
              </w:tabs>
              <w:spacing w:after="0" w:line="240" w:lineRule="auto"/>
              <w:rPr>
                <w:rFonts w:ascii="Arial" w:eastAsia="Times New Roman" w:hAnsi="Arial" w:cs="Arial"/>
                <w:b/>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Financial Hardship and Ability to Pay</w:t>
            </w:r>
            <w:r w:rsidRPr="0084248F">
              <w:rPr>
                <w:rFonts w:ascii="Arial" w:eastAsia="Times New Roman" w:hAnsi="Arial" w:cs="Arial"/>
                <w:kern w:val="2"/>
                <w:sz w:val="28"/>
                <w:szCs w:val="28"/>
                <w:lang w:eastAsia="en-GB"/>
                <w14:ligatures w14:val="standardContextual"/>
              </w:rPr>
              <w:tab/>
            </w:r>
          </w:p>
        </w:tc>
        <w:tc>
          <w:tcPr>
            <w:tcW w:w="1236" w:type="dxa"/>
            <w:tcBorders>
              <w:bottom w:val="single" w:sz="4" w:space="0" w:color="auto"/>
            </w:tcBorders>
            <w:noWrap/>
            <w:hideMark/>
          </w:tcPr>
          <w:p w14:paraId="5A7E5E5A" w14:textId="77777777" w:rsidR="009B39CF" w:rsidRPr="0084248F" w:rsidRDefault="009B39CF" w:rsidP="008C1C14">
            <w:pPr>
              <w:spacing w:after="0" w:line="240" w:lineRule="auto"/>
              <w:rPr>
                <w:rFonts w:ascii="Arial" w:eastAsia="Times New Roman" w:hAnsi="Arial" w:cs="Arial"/>
                <w:bCs/>
                <w:kern w:val="2"/>
                <w:sz w:val="28"/>
                <w:szCs w:val="28"/>
                <w:lang w:eastAsia="en-GB"/>
                <w14:ligatures w14:val="standardContextual"/>
              </w:rPr>
            </w:pPr>
            <w:r w:rsidRPr="0084248F">
              <w:rPr>
                <w:rFonts w:ascii="Arial" w:eastAsia="Times New Roman" w:hAnsi="Arial" w:cs="Arial"/>
                <w:kern w:val="2"/>
                <w:sz w:val="28"/>
                <w:szCs w:val="28"/>
                <w:lang w:eastAsia="en-GB"/>
                <w14:ligatures w14:val="standardContextual"/>
              </w:rPr>
              <w:t>-50%</w:t>
            </w:r>
          </w:p>
        </w:tc>
      </w:tr>
    </w:tbl>
    <w:p w14:paraId="1813F545" w14:textId="77777777" w:rsidR="009B39CF" w:rsidRPr="0084248F" w:rsidRDefault="009B39CF" w:rsidP="009B39CF">
      <w:pPr>
        <w:contextualSpacing/>
        <w:rPr>
          <w:rFonts w:ascii="Arial" w:eastAsia="Aptos" w:hAnsi="Arial" w:cs="Arial"/>
          <w:b/>
          <w:bCs/>
          <w:kern w:val="2"/>
          <w:sz w:val="28"/>
          <w:szCs w:val="28"/>
          <w14:ligatures w14:val="standardContextual"/>
        </w:rPr>
      </w:pPr>
    </w:p>
    <w:p w14:paraId="572B6468" w14:textId="316BB602" w:rsidR="009B39CF" w:rsidRPr="0084248F" w:rsidRDefault="00205209" w:rsidP="009B39CF">
      <w:pPr>
        <w:ind w:left="284" w:hanging="710"/>
        <w:contextualSpacing/>
        <w:rPr>
          <w:rFonts w:ascii="Arial" w:eastAsia="Aptos" w:hAnsi="Arial" w:cs="Arial"/>
          <w:b/>
          <w:bCs/>
          <w:kern w:val="2"/>
          <w:sz w:val="28"/>
          <w:szCs w:val="28"/>
          <w14:ligatures w14:val="standardContextual"/>
        </w:rPr>
      </w:pPr>
      <w:r w:rsidRPr="0084248F">
        <w:rPr>
          <w:rFonts w:ascii="Arial" w:eastAsia="Aptos" w:hAnsi="Arial" w:cs="Arial"/>
          <w:b/>
          <w:bCs/>
          <w:kern w:val="2"/>
          <w:sz w:val="28"/>
          <w:szCs w:val="28"/>
          <w14:ligatures w14:val="standardContextual"/>
        </w:rPr>
        <w:t>10</w:t>
      </w:r>
      <w:r w:rsidR="006B7007" w:rsidRPr="0084248F">
        <w:rPr>
          <w:rFonts w:ascii="Arial" w:eastAsia="Aptos" w:hAnsi="Arial" w:cs="Arial"/>
          <w:b/>
          <w:bCs/>
          <w:kern w:val="2"/>
          <w:sz w:val="28"/>
          <w:szCs w:val="28"/>
          <w14:ligatures w14:val="standardContextual"/>
        </w:rPr>
        <w:t xml:space="preserve">.6 - </w:t>
      </w:r>
      <w:r w:rsidR="009B39CF" w:rsidRPr="0084248F">
        <w:rPr>
          <w:rFonts w:ascii="Arial" w:eastAsia="Aptos" w:hAnsi="Arial" w:cs="Arial"/>
          <w:b/>
          <w:bCs/>
          <w:kern w:val="2"/>
          <w:sz w:val="28"/>
          <w:szCs w:val="28"/>
          <w14:ligatures w14:val="standardContextual"/>
        </w:rPr>
        <w:t>Summary of Adjustments</w:t>
      </w:r>
    </w:p>
    <w:p w14:paraId="31C3A40A" w14:textId="77777777" w:rsidR="009B39CF" w:rsidRPr="0084248F" w:rsidRDefault="009B39CF" w:rsidP="009B39CF">
      <w:pPr>
        <w:ind w:left="284" w:hanging="710"/>
        <w:contextualSpacing/>
        <w:rPr>
          <w:rFonts w:ascii="Arial" w:eastAsia="Aptos" w:hAnsi="Arial" w:cs="Arial"/>
          <w:b/>
          <w:bCs/>
          <w:kern w:val="2"/>
          <w:sz w:val="28"/>
          <w:szCs w:val="28"/>
          <w14:ligatures w14:val="standardContextual"/>
        </w:rPr>
      </w:pPr>
    </w:p>
    <w:tbl>
      <w:tblPr>
        <w:tblStyle w:val="TableGrid"/>
        <w:tblW w:w="9640" w:type="dxa"/>
        <w:tblInd w:w="-289" w:type="dxa"/>
        <w:tblLook w:val="04A0" w:firstRow="1" w:lastRow="0" w:firstColumn="1" w:lastColumn="0" w:noHBand="0" w:noVBand="1"/>
      </w:tblPr>
      <w:tblGrid>
        <w:gridCol w:w="5104"/>
        <w:gridCol w:w="4536"/>
      </w:tblGrid>
      <w:tr w:rsidR="009B39CF" w:rsidRPr="0084248F" w14:paraId="7451D47F" w14:textId="77777777" w:rsidTr="006B7007">
        <w:tc>
          <w:tcPr>
            <w:tcW w:w="5104" w:type="dxa"/>
            <w:hideMark/>
          </w:tcPr>
          <w:p w14:paraId="36B7C891" w14:textId="77777777" w:rsidR="009B39CF" w:rsidRPr="0084248F" w:rsidRDefault="009B39CF" w:rsidP="009B39CF">
            <w:pPr>
              <w:ind w:left="284" w:hanging="284"/>
              <w:rPr>
                <w:rFonts w:ascii="Arial" w:eastAsia="Aptos" w:hAnsi="Arial" w:cs="Arial"/>
                <w:b/>
                <w:bCs/>
                <w:kern w:val="2"/>
                <w:sz w:val="28"/>
                <w:szCs w:val="28"/>
                <w14:ligatures w14:val="standardContextual"/>
              </w:rPr>
            </w:pPr>
            <w:r w:rsidRPr="0084248F">
              <w:rPr>
                <w:rFonts w:ascii="Arial" w:eastAsia="Aptos" w:hAnsi="Arial" w:cs="Arial"/>
                <w:b/>
                <w:bCs/>
                <w:kern w:val="2"/>
                <w:sz w:val="28"/>
                <w:szCs w:val="28"/>
                <w14:ligatures w14:val="standardContextual"/>
              </w:rPr>
              <w:t>Factor</w:t>
            </w:r>
          </w:p>
        </w:tc>
        <w:tc>
          <w:tcPr>
            <w:tcW w:w="4536" w:type="dxa"/>
            <w:hideMark/>
          </w:tcPr>
          <w:p w14:paraId="439633E6" w14:textId="77777777" w:rsidR="009B39CF" w:rsidRPr="0084248F" w:rsidRDefault="009B39CF" w:rsidP="009B39CF">
            <w:pPr>
              <w:ind w:left="284" w:hanging="284"/>
              <w:rPr>
                <w:rFonts w:ascii="Arial" w:eastAsia="Aptos" w:hAnsi="Arial" w:cs="Arial"/>
                <w:b/>
                <w:bCs/>
                <w:kern w:val="2"/>
                <w:sz w:val="28"/>
                <w:szCs w:val="28"/>
                <w14:ligatures w14:val="standardContextual"/>
              </w:rPr>
            </w:pPr>
            <w:r w:rsidRPr="0084248F">
              <w:rPr>
                <w:rFonts w:ascii="Arial" w:eastAsia="Aptos" w:hAnsi="Arial" w:cs="Arial"/>
                <w:b/>
                <w:bCs/>
                <w:kern w:val="2"/>
                <w:sz w:val="28"/>
                <w:szCs w:val="28"/>
                <w14:ligatures w14:val="standardContextual"/>
              </w:rPr>
              <w:t>Typical Impact on Fine</w:t>
            </w:r>
          </w:p>
        </w:tc>
      </w:tr>
      <w:tr w:rsidR="009B39CF" w:rsidRPr="0084248F" w14:paraId="7899D2C5" w14:textId="77777777" w:rsidTr="006B7007">
        <w:tc>
          <w:tcPr>
            <w:tcW w:w="5104" w:type="dxa"/>
            <w:hideMark/>
          </w:tcPr>
          <w:p w14:paraId="0251F318" w14:textId="77777777" w:rsidR="009B39CF" w:rsidRPr="0084248F" w:rsidRDefault="009B39CF" w:rsidP="009B39CF">
            <w:pPr>
              <w:ind w:left="284" w:hanging="284"/>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t>Professional Landlord (10+ properties)</w:t>
            </w:r>
          </w:p>
        </w:tc>
        <w:tc>
          <w:tcPr>
            <w:tcW w:w="4536" w:type="dxa"/>
            <w:hideMark/>
          </w:tcPr>
          <w:p w14:paraId="1CE78303" w14:textId="77777777" w:rsidR="009B39CF" w:rsidRPr="0084248F" w:rsidRDefault="009B39CF" w:rsidP="009B39CF">
            <w:pPr>
              <w:ind w:left="284" w:hanging="284"/>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t>Increases from starting point</w:t>
            </w:r>
          </w:p>
        </w:tc>
      </w:tr>
      <w:tr w:rsidR="009B39CF" w:rsidRPr="0084248F" w14:paraId="3B97DD40" w14:textId="77777777" w:rsidTr="006B7007">
        <w:tc>
          <w:tcPr>
            <w:tcW w:w="5104" w:type="dxa"/>
            <w:hideMark/>
          </w:tcPr>
          <w:p w14:paraId="4037C7C0" w14:textId="77777777" w:rsidR="009B39CF" w:rsidRPr="0084248F" w:rsidRDefault="009B39CF" w:rsidP="009B39CF">
            <w:pPr>
              <w:ind w:left="284" w:hanging="284"/>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t>Vulnerable tenants affected</w:t>
            </w:r>
          </w:p>
        </w:tc>
        <w:tc>
          <w:tcPr>
            <w:tcW w:w="4536" w:type="dxa"/>
            <w:hideMark/>
          </w:tcPr>
          <w:p w14:paraId="36F6F814" w14:textId="77777777" w:rsidR="009B39CF" w:rsidRPr="0084248F" w:rsidRDefault="009B39CF" w:rsidP="009B39CF">
            <w:pPr>
              <w:ind w:left="284" w:hanging="284"/>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t>Increases toward maximum</w:t>
            </w:r>
          </w:p>
        </w:tc>
      </w:tr>
      <w:tr w:rsidR="009B39CF" w:rsidRPr="0086360F" w14:paraId="47C40365" w14:textId="77777777" w:rsidTr="006B7007">
        <w:tc>
          <w:tcPr>
            <w:tcW w:w="5104" w:type="dxa"/>
            <w:hideMark/>
          </w:tcPr>
          <w:p w14:paraId="4C0FACC0" w14:textId="77777777" w:rsidR="009B39CF" w:rsidRPr="0084248F" w:rsidRDefault="009B39CF" w:rsidP="009B39CF">
            <w:pPr>
              <w:ind w:left="284" w:hanging="284"/>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t>Deliberate or reckless act</w:t>
            </w:r>
          </w:p>
        </w:tc>
        <w:tc>
          <w:tcPr>
            <w:tcW w:w="4536" w:type="dxa"/>
            <w:hideMark/>
          </w:tcPr>
          <w:p w14:paraId="10632D0D" w14:textId="77777777" w:rsidR="009B39CF" w:rsidRPr="0086360F" w:rsidRDefault="009B39CF" w:rsidP="009B39CF">
            <w:pPr>
              <w:ind w:left="284" w:hanging="284"/>
              <w:rPr>
                <w:rFonts w:ascii="Arial" w:eastAsia="Aptos" w:hAnsi="Arial" w:cs="Arial"/>
                <w:kern w:val="2"/>
                <w:sz w:val="28"/>
                <w:szCs w:val="28"/>
                <w14:ligatures w14:val="standardContextual"/>
              </w:rPr>
            </w:pPr>
            <w:r w:rsidRPr="0084248F">
              <w:rPr>
                <w:rFonts w:ascii="Arial" w:eastAsia="Aptos" w:hAnsi="Arial" w:cs="Arial"/>
                <w:kern w:val="2"/>
                <w:sz w:val="28"/>
                <w:szCs w:val="28"/>
                <w14:ligatures w14:val="standardContextual"/>
              </w:rPr>
              <w:t>Increases toward maximum</w:t>
            </w:r>
          </w:p>
        </w:tc>
      </w:tr>
      <w:tr w:rsidR="009B39CF" w:rsidRPr="0086360F" w14:paraId="501B9AF3" w14:textId="77777777" w:rsidTr="006B7007">
        <w:tc>
          <w:tcPr>
            <w:tcW w:w="5104" w:type="dxa"/>
            <w:hideMark/>
          </w:tcPr>
          <w:p w14:paraId="45C311F5" w14:textId="77777777" w:rsidR="009B39CF" w:rsidRPr="0086360F" w:rsidRDefault="009B39CF" w:rsidP="009B39CF">
            <w:pPr>
              <w:ind w:left="284" w:hanging="284"/>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Promptly fixed the issue</w:t>
            </w:r>
          </w:p>
        </w:tc>
        <w:tc>
          <w:tcPr>
            <w:tcW w:w="4536" w:type="dxa"/>
            <w:hideMark/>
          </w:tcPr>
          <w:p w14:paraId="6794BCCB" w14:textId="77777777" w:rsidR="009B39CF" w:rsidRPr="0086360F" w:rsidRDefault="009B39CF" w:rsidP="009B39CF">
            <w:pPr>
              <w:ind w:left="284" w:hanging="284"/>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Decreases (Mitigation)</w:t>
            </w:r>
          </w:p>
        </w:tc>
      </w:tr>
      <w:tr w:rsidR="009B39CF" w:rsidRPr="0086360F" w14:paraId="13596CE1" w14:textId="77777777" w:rsidTr="006B7007">
        <w:tc>
          <w:tcPr>
            <w:tcW w:w="5104" w:type="dxa"/>
            <w:hideMark/>
          </w:tcPr>
          <w:p w14:paraId="4E1448FF" w14:textId="77777777" w:rsidR="009B39CF" w:rsidRPr="0086360F" w:rsidRDefault="009B39CF" w:rsidP="009B39CF">
            <w:pPr>
              <w:ind w:left="284" w:hanging="284"/>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First-time offence / Low harm</w:t>
            </w:r>
          </w:p>
        </w:tc>
        <w:tc>
          <w:tcPr>
            <w:tcW w:w="4536" w:type="dxa"/>
            <w:hideMark/>
          </w:tcPr>
          <w:p w14:paraId="7B414DFA" w14:textId="77777777" w:rsidR="009B39CF" w:rsidRPr="0086360F" w:rsidRDefault="009B39CF" w:rsidP="009B39CF">
            <w:pPr>
              <w:ind w:left="284" w:hanging="284"/>
              <w:rPr>
                <w:rFonts w:ascii="Arial" w:eastAsia="Aptos" w:hAnsi="Arial" w:cs="Arial"/>
                <w:kern w:val="2"/>
                <w:sz w:val="28"/>
                <w:szCs w:val="28"/>
                <w14:ligatures w14:val="standardContextual"/>
              </w:rPr>
            </w:pPr>
            <w:r w:rsidRPr="0086360F">
              <w:rPr>
                <w:rFonts w:ascii="Arial" w:eastAsia="Aptos" w:hAnsi="Arial" w:cs="Arial"/>
                <w:kern w:val="2"/>
                <w:sz w:val="28"/>
                <w:szCs w:val="28"/>
                <w14:ligatures w14:val="standardContextual"/>
              </w:rPr>
              <w:t>Stays near Starting Point</w:t>
            </w:r>
          </w:p>
        </w:tc>
      </w:tr>
    </w:tbl>
    <w:p w14:paraId="68B2AD5B" w14:textId="77777777" w:rsidR="009B39CF" w:rsidRPr="0086360F" w:rsidRDefault="009B39CF" w:rsidP="009B39CF">
      <w:pPr>
        <w:rPr>
          <w:rFonts w:ascii="Arial" w:hAnsi="Arial" w:cs="Arial"/>
          <w:sz w:val="28"/>
          <w:szCs w:val="28"/>
        </w:rPr>
      </w:pPr>
    </w:p>
    <w:p w14:paraId="1CD4C53B" w14:textId="5C812C72" w:rsidR="0086360F" w:rsidRPr="0086360F" w:rsidRDefault="0086360F">
      <w:pPr>
        <w:rPr>
          <w:sz w:val="28"/>
          <w:szCs w:val="28"/>
        </w:rPr>
      </w:pPr>
    </w:p>
    <w:sectPr w:rsidR="0086360F" w:rsidRPr="0086360F" w:rsidSect="00BD3B65">
      <w:footerReference w:type="defaul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2B749" w14:textId="77777777" w:rsidR="00CC76E2" w:rsidRDefault="00CC76E2" w:rsidP="00BD3B65">
      <w:pPr>
        <w:spacing w:after="0" w:line="240" w:lineRule="auto"/>
      </w:pPr>
      <w:r>
        <w:separator/>
      </w:r>
    </w:p>
  </w:endnote>
  <w:endnote w:type="continuationSeparator" w:id="0">
    <w:p w14:paraId="1693765F" w14:textId="77777777" w:rsidR="00CC76E2" w:rsidRDefault="00CC76E2" w:rsidP="00BD3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212268"/>
      <w:docPartObj>
        <w:docPartGallery w:val="Page Numbers (Bottom of Page)"/>
        <w:docPartUnique/>
      </w:docPartObj>
    </w:sdtPr>
    <w:sdtEndPr>
      <w:rPr>
        <w:noProof/>
      </w:rPr>
    </w:sdtEndPr>
    <w:sdtContent>
      <w:p w14:paraId="4A3034A4" w14:textId="678ABB96" w:rsidR="00BD3B65" w:rsidRDefault="00BD3B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E39740"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BDF85" w14:textId="77777777" w:rsidR="00CC76E2" w:rsidRDefault="00CC76E2" w:rsidP="00BD3B65">
      <w:pPr>
        <w:spacing w:after="0" w:line="240" w:lineRule="auto"/>
      </w:pPr>
      <w:r>
        <w:separator/>
      </w:r>
    </w:p>
  </w:footnote>
  <w:footnote w:type="continuationSeparator" w:id="0">
    <w:p w14:paraId="5A915E59" w14:textId="77777777" w:rsidR="00CC76E2" w:rsidRDefault="00CC76E2" w:rsidP="00BD3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D39F1"/>
    <w:multiLevelType w:val="hybridMultilevel"/>
    <w:tmpl w:val="4796BEC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331310F9"/>
    <w:multiLevelType w:val="hybridMultilevel"/>
    <w:tmpl w:val="83E8FBC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34DA4B96"/>
    <w:multiLevelType w:val="hybridMultilevel"/>
    <w:tmpl w:val="F378DD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6E65FC8"/>
    <w:multiLevelType w:val="hybridMultilevel"/>
    <w:tmpl w:val="94282538"/>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3B0F704D"/>
    <w:multiLevelType w:val="hybridMultilevel"/>
    <w:tmpl w:val="FFC86B0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3ECD03CF"/>
    <w:multiLevelType w:val="hybridMultilevel"/>
    <w:tmpl w:val="9A58D2F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3F3D47AD"/>
    <w:multiLevelType w:val="hybridMultilevel"/>
    <w:tmpl w:val="FCE456F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41F76627"/>
    <w:multiLevelType w:val="hybridMultilevel"/>
    <w:tmpl w:val="73284E8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44F81F94"/>
    <w:multiLevelType w:val="hybridMultilevel"/>
    <w:tmpl w:val="5510D620"/>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9" w15:restartNumberingAfterBreak="0">
    <w:nsid w:val="45B33A13"/>
    <w:multiLevelType w:val="hybridMultilevel"/>
    <w:tmpl w:val="F746D53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5BC8594E"/>
    <w:multiLevelType w:val="hybridMultilevel"/>
    <w:tmpl w:val="BE3EFDD2"/>
    <w:lvl w:ilvl="0" w:tplc="08090001">
      <w:start w:val="1"/>
      <w:numFmt w:val="bullet"/>
      <w:lvlText w:val=""/>
      <w:lvlJc w:val="left"/>
      <w:pPr>
        <w:ind w:left="1300" w:hanging="360"/>
      </w:pPr>
      <w:rPr>
        <w:rFonts w:ascii="Symbol" w:hAnsi="Symbol"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11" w15:restartNumberingAfterBreak="0">
    <w:nsid w:val="5EA11561"/>
    <w:multiLevelType w:val="hybridMultilevel"/>
    <w:tmpl w:val="C0E6F0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62E47FC4"/>
    <w:multiLevelType w:val="hybridMultilevel"/>
    <w:tmpl w:val="E1A07A4E"/>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67C70BDF"/>
    <w:multiLevelType w:val="multilevel"/>
    <w:tmpl w:val="880CABFE"/>
    <w:lvl w:ilvl="0">
      <w:start w:val="1"/>
      <w:numFmt w:val="decimal"/>
      <w:lvlText w:val="%1."/>
      <w:lvlJc w:val="left"/>
      <w:pPr>
        <w:ind w:left="360" w:hanging="360"/>
      </w:pPr>
      <w:rPr>
        <w:rFonts w:hint="default"/>
      </w:rPr>
    </w:lvl>
    <w:lvl w:ilvl="1">
      <w:start w:val="1"/>
      <w:numFmt w:val="decimal"/>
      <w:isLgl/>
      <w:lvlText w:val="%1.%2"/>
      <w:lvlJc w:val="left"/>
      <w:pPr>
        <w:ind w:left="502"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6C79358C"/>
    <w:multiLevelType w:val="hybridMultilevel"/>
    <w:tmpl w:val="0E6A5BE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13F50A5"/>
    <w:multiLevelType w:val="hybridMultilevel"/>
    <w:tmpl w:val="FB56B8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9626550"/>
    <w:multiLevelType w:val="hybridMultilevel"/>
    <w:tmpl w:val="079EB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B024E3F"/>
    <w:multiLevelType w:val="hybridMultilevel"/>
    <w:tmpl w:val="D77E7428"/>
    <w:lvl w:ilvl="0" w:tplc="5EF4286A">
      <w:start w:val="60"/>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4924342">
    <w:abstractNumId w:val="13"/>
  </w:num>
  <w:num w:numId="2" w16cid:durableId="1042680377">
    <w:abstractNumId w:val="14"/>
  </w:num>
  <w:num w:numId="3" w16cid:durableId="1077752757">
    <w:abstractNumId w:val="15"/>
  </w:num>
  <w:num w:numId="4" w16cid:durableId="1959020919">
    <w:abstractNumId w:val="0"/>
  </w:num>
  <w:num w:numId="5" w16cid:durableId="297732285">
    <w:abstractNumId w:val="11"/>
  </w:num>
  <w:num w:numId="6" w16cid:durableId="132021402">
    <w:abstractNumId w:val="12"/>
  </w:num>
  <w:num w:numId="7" w16cid:durableId="713887675">
    <w:abstractNumId w:val="17"/>
  </w:num>
  <w:num w:numId="8" w16cid:durableId="1071974301">
    <w:abstractNumId w:val="5"/>
  </w:num>
  <w:num w:numId="9" w16cid:durableId="456218654">
    <w:abstractNumId w:val="2"/>
  </w:num>
  <w:num w:numId="10" w16cid:durableId="1950821333">
    <w:abstractNumId w:val="3"/>
  </w:num>
  <w:num w:numId="11" w16cid:durableId="291205379">
    <w:abstractNumId w:val="8"/>
  </w:num>
  <w:num w:numId="12" w16cid:durableId="1295714375">
    <w:abstractNumId w:val="9"/>
  </w:num>
  <w:num w:numId="13" w16cid:durableId="1597321967">
    <w:abstractNumId w:val="4"/>
  </w:num>
  <w:num w:numId="14" w16cid:durableId="840631578">
    <w:abstractNumId w:val="16"/>
  </w:num>
  <w:num w:numId="15" w16cid:durableId="1033388550">
    <w:abstractNumId w:val="1"/>
  </w:num>
  <w:num w:numId="16" w16cid:durableId="224799170">
    <w:abstractNumId w:val="7"/>
  </w:num>
  <w:num w:numId="17" w16cid:durableId="1176380713">
    <w:abstractNumId w:val="6"/>
  </w:num>
  <w:num w:numId="18" w16cid:durableId="1607620859">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10281"/>
    <w:rsid w:val="00012142"/>
    <w:rsid w:val="00074E24"/>
    <w:rsid w:val="000B01DF"/>
    <w:rsid w:val="00124062"/>
    <w:rsid w:val="001301AE"/>
    <w:rsid w:val="001C446F"/>
    <w:rsid w:val="001C7989"/>
    <w:rsid w:val="00205209"/>
    <w:rsid w:val="00236900"/>
    <w:rsid w:val="00264193"/>
    <w:rsid w:val="00272A5C"/>
    <w:rsid w:val="00284ABF"/>
    <w:rsid w:val="002A3120"/>
    <w:rsid w:val="002A5E13"/>
    <w:rsid w:val="002D24EC"/>
    <w:rsid w:val="003242B0"/>
    <w:rsid w:val="003253F2"/>
    <w:rsid w:val="00331693"/>
    <w:rsid w:val="003337B7"/>
    <w:rsid w:val="003866AB"/>
    <w:rsid w:val="003946A1"/>
    <w:rsid w:val="0039730E"/>
    <w:rsid w:val="003A1541"/>
    <w:rsid w:val="003A1AF0"/>
    <w:rsid w:val="003A2A3E"/>
    <w:rsid w:val="003B76F7"/>
    <w:rsid w:val="003D2B21"/>
    <w:rsid w:val="003D6E4F"/>
    <w:rsid w:val="0044074A"/>
    <w:rsid w:val="0045700D"/>
    <w:rsid w:val="0046492D"/>
    <w:rsid w:val="00466D68"/>
    <w:rsid w:val="00483D6B"/>
    <w:rsid w:val="004F34A5"/>
    <w:rsid w:val="00546E9A"/>
    <w:rsid w:val="00561839"/>
    <w:rsid w:val="00574EA2"/>
    <w:rsid w:val="005908B3"/>
    <w:rsid w:val="005A298F"/>
    <w:rsid w:val="006172CC"/>
    <w:rsid w:val="00640A1D"/>
    <w:rsid w:val="00644BB1"/>
    <w:rsid w:val="00665317"/>
    <w:rsid w:val="0067613A"/>
    <w:rsid w:val="006B0D4B"/>
    <w:rsid w:val="006B7007"/>
    <w:rsid w:val="006C1A7A"/>
    <w:rsid w:val="006E6484"/>
    <w:rsid w:val="0071105A"/>
    <w:rsid w:val="00775A60"/>
    <w:rsid w:val="007800AC"/>
    <w:rsid w:val="007C7581"/>
    <w:rsid w:val="007C7824"/>
    <w:rsid w:val="007E3F0F"/>
    <w:rsid w:val="0081297B"/>
    <w:rsid w:val="0084248F"/>
    <w:rsid w:val="0085068B"/>
    <w:rsid w:val="0085070B"/>
    <w:rsid w:val="0086360F"/>
    <w:rsid w:val="00863B8B"/>
    <w:rsid w:val="00866512"/>
    <w:rsid w:val="008A286E"/>
    <w:rsid w:val="008F699E"/>
    <w:rsid w:val="0091525F"/>
    <w:rsid w:val="009448BC"/>
    <w:rsid w:val="0095387D"/>
    <w:rsid w:val="00975ACA"/>
    <w:rsid w:val="009A0E5C"/>
    <w:rsid w:val="009B0512"/>
    <w:rsid w:val="009B39CF"/>
    <w:rsid w:val="009B57FA"/>
    <w:rsid w:val="009C322B"/>
    <w:rsid w:val="009C4BEC"/>
    <w:rsid w:val="009D1289"/>
    <w:rsid w:val="009D7A7A"/>
    <w:rsid w:val="009E4358"/>
    <w:rsid w:val="009F6999"/>
    <w:rsid w:val="00A00C18"/>
    <w:rsid w:val="00A40ADE"/>
    <w:rsid w:val="00A91775"/>
    <w:rsid w:val="00AA61DE"/>
    <w:rsid w:val="00AB57CA"/>
    <w:rsid w:val="00AD3313"/>
    <w:rsid w:val="00AE554F"/>
    <w:rsid w:val="00B0455B"/>
    <w:rsid w:val="00B1353B"/>
    <w:rsid w:val="00B379E8"/>
    <w:rsid w:val="00B54D4B"/>
    <w:rsid w:val="00B63737"/>
    <w:rsid w:val="00B652C7"/>
    <w:rsid w:val="00BA610E"/>
    <w:rsid w:val="00BD1AEE"/>
    <w:rsid w:val="00BD342A"/>
    <w:rsid w:val="00BD3B65"/>
    <w:rsid w:val="00BF2A29"/>
    <w:rsid w:val="00C13F6F"/>
    <w:rsid w:val="00C364B4"/>
    <w:rsid w:val="00C55911"/>
    <w:rsid w:val="00C656EB"/>
    <w:rsid w:val="00C70825"/>
    <w:rsid w:val="00C930CD"/>
    <w:rsid w:val="00C94578"/>
    <w:rsid w:val="00CA06F0"/>
    <w:rsid w:val="00CA4080"/>
    <w:rsid w:val="00CC1C8F"/>
    <w:rsid w:val="00CC76E2"/>
    <w:rsid w:val="00CE3528"/>
    <w:rsid w:val="00D077A3"/>
    <w:rsid w:val="00D259C9"/>
    <w:rsid w:val="00D62F6A"/>
    <w:rsid w:val="00D702C7"/>
    <w:rsid w:val="00D75347"/>
    <w:rsid w:val="00D83715"/>
    <w:rsid w:val="00DA5F53"/>
    <w:rsid w:val="00DC209E"/>
    <w:rsid w:val="00DC3EDD"/>
    <w:rsid w:val="00DD7006"/>
    <w:rsid w:val="00DD7CAE"/>
    <w:rsid w:val="00DE2676"/>
    <w:rsid w:val="00DF05C6"/>
    <w:rsid w:val="00E31550"/>
    <w:rsid w:val="00E831E5"/>
    <w:rsid w:val="00E90E75"/>
    <w:rsid w:val="00E94015"/>
    <w:rsid w:val="00EA6229"/>
    <w:rsid w:val="00EA6C7E"/>
    <w:rsid w:val="00EB19EE"/>
    <w:rsid w:val="00F015C5"/>
    <w:rsid w:val="00F21691"/>
    <w:rsid w:val="00F5655E"/>
    <w:rsid w:val="00F6706A"/>
    <w:rsid w:val="00F700E2"/>
    <w:rsid w:val="00FA0FE0"/>
    <w:rsid w:val="00FA3324"/>
    <w:rsid w:val="00FB0E20"/>
    <w:rsid w:val="00FC015C"/>
    <w:rsid w:val="00FC0CB1"/>
    <w:rsid w:val="00FC170A"/>
    <w:rsid w:val="00FD71FB"/>
    <w:rsid w:val="00FE7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6ED7"/>
  <w15:chartTrackingRefBased/>
  <w15:docId w15:val="{D7619E83-20C1-4ACB-B9CA-BFE81B70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29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B57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205209"/>
    <w:pPr>
      <w:tabs>
        <w:tab w:val="left" w:pos="480"/>
        <w:tab w:val="right" w:leader="dot" w:pos="9016"/>
      </w:tabs>
      <w:spacing w:after="100"/>
    </w:pPr>
    <w:rPr>
      <w:rFonts w:ascii="Arial" w:eastAsia="Times New Roman" w:hAnsi="Arial" w:cs="Arial"/>
      <w:b/>
      <w:bCs/>
      <w:noProof/>
      <w:color w:val="000000" w:themeColor="text1"/>
      <w:sz w:val="28"/>
      <w:szCs w:val="28"/>
    </w:r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 w:type="paragraph" w:styleId="NormalWeb">
    <w:name w:val="Normal (Web)"/>
    <w:basedOn w:val="Normal"/>
    <w:uiPriority w:val="99"/>
    <w:semiHidden/>
    <w:unhideWhenUsed/>
    <w:rsid w:val="00AB57CA"/>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AB57C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284ABF"/>
    <w:rPr>
      <w:b/>
      <w:bCs/>
    </w:rPr>
  </w:style>
  <w:style w:type="character" w:customStyle="1" w:styleId="vkekvd">
    <w:name w:val="vkekvd"/>
    <w:basedOn w:val="DefaultParagraphFont"/>
    <w:rsid w:val="00284ABF"/>
  </w:style>
  <w:style w:type="character" w:styleId="FollowedHyperlink">
    <w:name w:val="FollowedHyperlink"/>
    <w:basedOn w:val="DefaultParagraphFont"/>
    <w:uiPriority w:val="99"/>
    <w:semiHidden/>
    <w:unhideWhenUsed/>
    <w:rsid w:val="00FB0E20"/>
    <w:rPr>
      <w:color w:val="954F72" w:themeColor="followedHyperlink"/>
      <w:u w:val="single"/>
    </w:rPr>
  </w:style>
  <w:style w:type="character" w:customStyle="1" w:styleId="Heading2Char">
    <w:name w:val="Heading 2 Char"/>
    <w:basedOn w:val="DefaultParagraphFont"/>
    <w:link w:val="Heading2"/>
    <w:uiPriority w:val="9"/>
    <w:semiHidden/>
    <w:rsid w:val="0081297B"/>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91525F"/>
    <w:pPr>
      <w:spacing w:after="0" w:line="240" w:lineRule="auto"/>
    </w:pPr>
  </w:style>
  <w:style w:type="character" w:styleId="CommentReference">
    <w:name w:val="annotation reference"/>
    <w:basedOn w:val="DefaultParagraphFont"/>
    <w:uiPriority w:val="99"/>
    <w:semiHidden/>
    <w:unhideWhenUsed/>
    <w:rsid w:val="006C1A7A"/>
    <w:rPr>
      <w:sz w:val="16"/>
      <w:szCs w:val="16"/>
    </w:rPr>
  </w:style>
  <w:style w:type="paragraph" w:styleId="CommentText">
    <w:name w:val="annotation text"/>
    <w:basedOn w:val="Normal"/>
    <w:link w:val="CommentTextChar"/>
    <w:uiPriority w:val="99"/>
    <w:unhideWhenUsed/>
    <w:rsid w:val="006C1A7A"/>
    <w:pPr>
      <w:spacing w:line="240" w:lineRule="auto"/>
    </w:pPr>
    <w:rPr>
      <w:sz w:val="20"/>
      <w:szCs w:val="20"/>
    </w:rPr>
  </w:style>
  <w:style w:type="character" w:customStyle="1" w:styleId="CommentTextChar">
    <w:name w:val="Comment Text Char"/>
    <w:basedOn w:val="DefaultParagraphFont"/>
    <w:link w:val="CommentText"/>
    <w:uiPriority w:val="99"/>
    <w:rsid w:val="006C1A7A"/>
    <w:rPr>
      <w:sz w:val="20"/>
      <w:szCs w:val="20"/>
    </w:rPr>
  </w:style>
  <w:style w:type="paragraph" w:styleId="CommentSubject">
    <w:name w:val="annotation subject"/>
    <w:basedOn w:val="CommentText"/>
    <w:next w:val="CommentText"/>
    <w:link w:val="CommentSubjectChar"/>
    <w:uiPriority w:val="99"/>
    <w:semiHidden/>
    <w:unhideWhenUsed/>
    <w:rsid w:val="006C1A7A"/>
    <w:rPr>
      <w:b/>
      <w:bCs/>
    </w:rPr>
  </w:style>
  <w:style w:type="character" w:customStyle="1" w:styleId="CommentSubjectChar">
    <w:name w:val="Comment Subject Char"/>
    <w:basedOn w:val="CommentTextChar"/>
    <w:link w:val="CommentSubject"/>
    <w:uiPriority w:val="99"/>
    <w:semiHidden/>
    <w:rsid w:val="006C1A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22049">
      <w:bodyDiv w:val="1"/>
      <w:marLeft w:val="0"/>
      <w:marRight w:val="0"/>
      <w:marTop w:val="0"/>
      <w:marBottom w:val="0"/>
      <w:divBdr>
        <w:top w:val="none" w:sz="0" w:space="0" w:color="auto"/>
        <w:left w:val="none" w:sz="0" w:space="0" w:color="auto"/>
        <w:bottom w:val="none" w:sz="0" w:space="0" w:color="auto"/>
        <w:right w:val="none" w:sz="0" w:space="0" w:color="auto"/>
      </w:divBdr>
      <w:divsChild>
        <w:div w:id="789054652">
          <w:marLeft w:val="0"/>
          <w:marRight w:val="0"/>
          <w:marTop w:val="0"/>
          <w:marBottom w:val="0"/>
          <w:divBdr>
            <w:top w:val="none" w:sz="0" w:space="0" w:color="auto"/>
            <w:left w:val="none" w:sz="0" w:space="0" w:color="auto"/>
            <w:bottom w:val="none" w:sz="0" w:space="0" w:color="auto"/>
            <w:right w:val="none" w:sz="0" w:space="0" w:color="auto"/>
          </w:divBdr>
        </w:div>
        <w:div w:id="384721364">
          <w:marLeft w:val="0"/>
          <w:marRight w:val="0"/>
          <w:marTop w:val="0"/>
          <w:marBottom w:val="0"/>
          <w:divBdr>
            <w:top w:val="none" w:sz="0" w:space="0" w:color="auto"/>
            <w:left w:val="none" w:sz="0" w:space="0" w:color="auto"/>
            <w:bottom w:val="none" w:sz="0" w:space="0" w:color="auto"/>
            <w:right w:val="none" w:sz="0" w:space="0" w:color="auto"/>
          </w:divBdr>
          <w:divsChild>
            <w:div w:id="1907034837">
              <w:marLeft w:val="0"/>
              <w:marRight w:val="0"/>
              <w:marTop w:val="30"/>
              <w:marBottom w:val="30"/>
              <w:divBdr>
                <w:top w:val="none" w:sz="0" w:space="0" w:color="auto"/>
                <w:left w:val="none" w:sz="0" w:space="0" w:color="auto"/>
                <w:bottom w:val="none" w:sz="0" w:space="0" w:color="auto"/>
                <w:right w:val="none" w:sz="0" w:space="0" w:color="auto"/>
              </w:divBdr>
              <w:divsChild>
                <w:div w:id="1231697339">
                  <w:marLeft w:val="0"/>
                  <w:marRight w:val="0"/>
                  <w:marTop w:val="0"/>
                  <w:marBottom w:val="0"/>
                  <w:divBdr>
                    <w:top w:val="none" w:sz="0" w:space="0" w:color="auto"/>
                    <w:left w:val="none" w:sz="0" w:space="0" w:color="auto"/>
                    <w:bottom w:val="none" w:sz="0" w:space="0" w:color="auto"/>
                    <w:right w:val="none" w:sz="0" w:space="0" w:color="auto"/>
                  </w:divBdr>
                  <w:divsChild>
                    <w:div w:id="758134796">
                      <w:marLeft w:val="0"/>
                      <w:marRight w:val="0"/>
                      <w:marTop w:val="0"/>
                      <w:marBottom w:val="0"/>
                      <w:divBdr>
                        <w:top w:val="none" w:sz="0" w:space="0" w:color="auto"/>
                        <w:left w:val="none" w:sz="0" w:space="0" w:color="auto"/>
                        <w:bottom w:val="none" w:sz="0" w:space="0" w:color="auto"/>
                        <w:right w:val="none" w:sz="0" w:space="0" w:color="auto"/>
                      </w:divBdr>
                    </w:div>
                  </w:divsChild>
                </w:div>
                <w:div w:id="346979056">
                  <w:marLeft w:val="0"/>
                  <w:marRight w:val="0"/>
                  <w:marTop w:val="0"/>
                  <w:marBottom w:val="0"/>
                  <w:divBdr>
                    <w:top w:val="none" w:sz="0" w:space="0" w:color="auto"/>
                    <w:left w:val="none" w:sz="0" w:space="0" w:color="auto"/>
                    <w:bottom w:val="none" w:sz="0" w:space="0" w:color="auto"/>
                    <w:right w:val="none" w:sz="0" w:space="0" w:color="auto"/>
                  </w:divBdr>
                  <w:divsChild>
                    <w:div w:id="1345667744">
                      <w:marLeft w:val="0"/>
                      <w:marRight w:val="0"/>
                      <w:marTop w:val="0"/>
                      <w:marBottom w:val="0"/>
                      <w:divBdr>
                        <w:top w:val="none" w:sz="0" w:space="0" w:color="auto"/>
                        <w:left w:val="none" w:sz="0" w:space="0" w:color="auto"/>
                        <w:bottom w:val="none" w:sz="0" w:space="0" w:color="auto"/>
                        <w:right w:val="none" w:sz="0" w:space="0" w:color="auto"/>
                      </w:divBdr>
                    </w:div>
                  </w:divsChild>
                </w:div>
                <w:div w:id="658725934">
                  <w:marLeft w:val="0"/>
                  <w:marRight w:val="0"/>
                  <w:marTop w:val="0"/>
                  <w:marBottom w:val="0"/>
                  <w:divBdr>
                    <w:top w:val="none" w:sz="0" w:space="0" w:color="auto"/>
                    <w:left w:val="none" w:sz="0" w:space="0" w:color="auto"/>
                    <w:bottom w:val="none" w:sz="0" w:space="0" w:color="auto"/>
                    <w:right w:val="none" w:sz="0" w:space="0" w:color="auto"/>
                  </w:divBdr>
                  <w:divsChild>
                    <w:div w:id="1871603517">
                      <w:marLeft w:val="0"/>
                      <w:marRight w:val="0"/>
                      <w:marTop w:val="0"/>
                      <w:marBottom w:val="0"/>
                      <w:divBdr>
                        <w:top w:val="none" w:sz="0" w:space="0" w:color="auto"/>
                        <w:left w:val="none" w:sz="0" w:space="0" w:color="auto"/>
                        <w:bottom w:val="none" w:sz="0" w:space="0" w:color="auto"/>
                        <w:right w:val="none" w:sz="0" w:space="0" w:color="auto"/>
                      </w:divBdr>
                    </w:div>
                  </w:divsChild>
                </w:div>
                <w:div w:id="1369723628">
                  <w:marLeft w:val="0"/>
                  <w:marRight w:val="0"/>
                  <w:marTop w:val="0"/>
                  <w:marBottom w:val="0"/>
                  <w:divBdr>
                    <w:top w:val="none" w:sz="0" w:space="0" w:color="auto"/>
                    <w:left w:val="none" w:sz="0" w:space="0" w:color="auto"/>
                    <w:bottom w:val="none" w:sz="0" w:space="0" w:color="auto"/>
                    <w:right w:val="none" w:sz="0" w:space="0" w:color="auto"/>
                  </w:divBdr>
                  <w:divsChild>
                    <w:div w:id="1781485229">
                      <w:marLeft w:val="0"/>
                      <w:marRight w:val="0"/>
                      <w:marTop w:val="0"/>
                      <w:marBottom w:val="0"/>
                      <w:divBdr>
                        <w:top w:val="none" w:sz="0" w:space="0" w:color="auto"/>
                        <w:left w:val="none" w:sz="0" w:space="0" w:color="auto"/>
                        <w:bottom w:val="none" w:sz="0" w:space="0" w:color="auto"/>
                        <w:right w:val="none" w:sz="0" w:space="0" w:color="auto"/>
                      </w:divBdr>
                    </w:div>
                  </w:divsChild>
                </w:div>
                <w:div w:id="1401639590">
                  <w:marLeft w:val="0"/>
                  <w:marRight w:val="0"/>
                  <w:marTop w:val="0"/>
                  <w:marBottom w:val="0"/>
                  <w:divBdr>
                    <w:top w:val="none" w:sz="0" w:space="0" w:color="auto"/>
                    <w:left w:val="none" w:sz="0" w:space="0" w:color="auto"/>
                    <w:bottom w:val="none" w:sz="0" w:space="0" w:color="auto"/>
                    <w:right w:val="none" w:sz="0" w:space="0" w:color="auto"/>
                  </w:divBdr>
                  <w:divsChild>
                    <w:div w:id="1473402798">
                      <w:marLeft w:val="0"/>
                      <w:marRight w:val="0"/>
                      <w:marTop w:val="0"/>
                      <w:marBottom w:val="0"/>
                      <w:divBdr>
                        <w:top w:val="none" w:sz="0" w:space="0" w:color="auto"/>
                        <w:left w:val="none" w:sz="0" w:space="0" w:color="auto"/>
                        <w:bottom w:val="none" w:sz="0" w:space="0" w:color="auto"/>
                        <w:right w:val="none" w:sz="0" w:space="0" w:color="auto"/>
                      </w:divBdr>
                    </w:div>
                  </w:divsChild>
                </w:div>
                <w:div w:id="909271949">
                  <w:marLeft w:val="0"/>
                  <w:marRight w:val="0"/>
                  <w:marTop w:val="0"/>
                  <w:marBottom w:val="0"/>
                  <w:divBdr>
                    <w:top w:val="none" w:sz="0" w:space="0" w:color="auto"/>
                    <w:left w:val="none" w:sz="0" w:space="0" w:color="auto"/>
                    <w:bottom w:val="none" w:sz="0" w:space="0" w:color="auto"/>
                    <w:right w:val="none" w:sz="0" w:space="0" w:color="auto"/>
                  </w:divBdr>
                  <w:divsChild>
                    <w:div w:id="1060057953">
                      <w:marLeft w:val="0"/>
                      <w:marRight w:val="0"/>
                      <w:marTop w:val="0"/>
                      <w:marBottom w:val="0"/>
                      <w:divBdr>
                        <w:top w:val="none" w:sz="0" w:space="0" w:color="auto"/>
                        <w:left w:val="none" w:sz="0" w:space="0" w:color="auto"/>
                        <w:bottom w:val="none" w:sz="0" w:space="0" w:color="auto"/>
                        <w:right w:val="none" w:sz="0" w:space="0" w:color="auto"/>
                      </w:divBdr>
                    </w:div>
                  </w:divsChild>
                </w:div>
                <w:div w:id="356660615">
                  <w:marLeft w:val="0"/>
                  <w:marRight w:val="0"/>
                  <w:marTop w:val="0"/>
                  <w:marBottom w:val="0"/>
                  <w:divBdr>
                    <w:top w:val="none" w:sz="0" w:space="0" w:color="auto"/>
                    <w:left w:val="none" w:sz="0" w:space="0" w:color="auto"/>
                    <w:bottom w:val="none" w:sz="0" w:space="0" w:color="auto"/>
                    <w:right w:val="none" w:sz="0" w:space="0" w:color="auto"/>
                  </w:divBdr>
                  <w:divsChild>
                    <w:div w:id="788933756">
                      <w:marLeft w:val="0"/>
                      <w:marRight w:val="0"/>
                      <w:marTop w:val="0"/>
                      <w:marBottom w:val="0"/>
                      <w:divBdr>
                        <w:top w:val="none" w:sz="0" w:space="0" w:color="auto"/>
                        <w:left w:val="none" w:sz="0" w:space="0" w:color="auto"/>
                        <w:bottom w:val="none" w:sz="0" w:space="0" w:color="auto"/>
                        <w:right w:val="none" w:sz="0" w:space="0" w:color="auto"/>
                      </w:divBdr>
                    </w:div>
                  </w:divsChild>
                </w:div>
                <w:div w:id="1769740853">
                  <w:marLeft w:val="0"/>
                  <w:marRight w:val="0"/>
                  <w:marTop w:val="0"/>
                  <w:marBottom w:val="0"/>
                  <w:divBdr>
                    <w:top w:val="none" w:sz="0" w:space="0" w:color="auto"/>
                    <w:left w:val="none" w:sz="0" w:space="0" w:color="auto"/>
                    <w:bottom w:val="none" w:sz="0" w:space="0" w:color="auto"/>
                    <w:right w:val="none" w:sz="0" w:space="0" w:color="auto"/>
                  </w:divBdr>
                  <w:divsChild>
                    <w:div w:id="574166814">
                      <w:marLeft w:val="0"/>
                      <w:marRight w:val="0"/>
                      <w:marTop w:val="0"/>
                      <w:marBottom w:val="0"/>
                      <w:divBdr>
                        <w:top w:val="none" w:sz="0" w:space="0" w:color="auto"/>
                        <w:left w:val="none" w:sz="0" w:space="0" w:color="auto"/>
                        <w:bottom w:val="none" w:sz="0" w:space="0" w:color="auto"/>
                        <w:right w:val="none" w:sz="0" w:space="0" w:color="auto"/>
                      </w:divBdr>
                    </w:div>
                  </w:divsChild>
                </w:div>
                <w:div w:id="1970625897">
                  <w:marLeft w:val="0"/>
                  <w:marRight w:val="0"/>
                  <w:marTop w:val="0"/>
                  <w:marBottom w:val="0"/>
                  <w:divBdr>
                    <w:top w:val="none" w:sz="0" w:space="0" w:color="auto"/>
                    <w:left w:val="none" w:sz="0" w:space="0" w:color="auto"/>
                    <w:bottom w:val="none" w:sz="0" w:space="0" w:color="auto"/>
                    <w:right w:val="none" w:sz="0" w:space="0" w:color="auto"/>
                  </w:divBdr>
                  <w:divsChild>
                    <w:div w:id="1829319163">
                      <w:marLeft w:val="0"/>
                      <w:marRight w:val="0"/>
                      <w:marTop w:val="0"/>
                      <w:marBottom w:val="0"/>
                      <w:divBdr>
                        <w:top w:val="none" w:sz="0" w:space="0" w:color="auto"/>
                        <w:left w:val="none" w:sz="0" w:space="0" w:color="auto"/>
                        <w:bottom w:val="none" w:sz="0" w:space="0" w:color="auto"/>
                        <w:right w:val="none" w:sz="0" w:space="0" w:color="auto"/>
                      </w:divBdr>
                    </w:div>
                  </w:divsChild>
                </w:div>
                <w:div w:id="2033412042">
                  <w:marLeft w:val="0"/>
                  <w:marRight w:val="0"/>
                  <w:marTop w:val="0"/>
                  <w:marBottom w:val="0"/>
                  <w:divBdr>
                    <w:top w:val="none" w:sz="0" w:space="0" w:color="auto"/>
                    <w:left w:val="none" w:sz="0" w:space="0" w:color="auto"/>
                    <w:bottom w:val="none" w:sz="0" w:space="0" w:color="auto"/>
                    <w:right w:val="none" w:sz="0" w:space="0" w:color="auto"/>
                  </w:divBdr>
                  <w:divsChild>
                    <w:div w:id="443547981">
                      <w:marLeft w:val="0"/>
                      <w:marRight w:val="0"/>
                      <w:marTop w:val="0"/>
                      <w:marBottom w:val="0"/>
                      <w:divBdr>
                        <w:top w:val="none" w:sz="0" w:space="0" w:color="auto"/>
                        <w:left w:val="none" w:sz="0" w:space="0" w:color="auto"/>
                        <w:bottom w:val="none" w:sz="0" w:space="0" w:color="auto"/>
                        <w:right w:val="none" w:sz="0" w:space="0" w:color="auto"/>
                      </w:divBdr>
                    </w:div>
                  </w:divsChild>
                </w:div>
                <w:div w:id="2074161429">
                  <w:marLeft w:val="0"/>
                  <w:marRight w:val="0"/>
                  <w:marTop w:val="0"/>
                  <w:marBottom w:val="0"/>
                  <w:divBdr>
                    <w:top w:val="none" w:sz="0" w:space="0" w:color="auto"/>
                    <w:left w:val="none" w:sz="0" w:space="0" w:color="auto"/>
                    <w:bottom w:val="none" w:sz="0" w:space="0" w:color="auto"/>
                    <w:right w:val="none" w:sz="0" w:space="0" w:color="auto"/>
                  </w:divBdr>
                  <w:divsChild>
                    <w:div w:id="1318458739">
                      <w:marLeft w:val="0"/>
                      <w:marRight w:val="0"/>
                      <w:marTop w:val="0"/>
                      <w:marBottom w:val="0"/>
                      <w:divBdr>
                        <w:top w:val="none" w:sz="0" w:space="0" w:color="auto"/>
                        <w:left w:val="none" w:sz="0" w:space="0" w:color="auto"/>
                        <w:bottom w:val="none" w:sz="0" w:space="0" w:color="auto"/>
                        <w:right w:val="none" w:sz="0" w:space="0" w:color="auto"/>
                      </w:divBdr>
                    </w:div>
                  </w:divsChild>
                </w:div>
                <w:div w:id="2078550959">
                  <w:marLeft w:val="0"/>
                  <w:marRight w:val="0"/>
                  <w:marTop w:val="0"/>
                  <w:marBottom w:val="0"/>
                  <w:divBdr>
                    <w:top w:val="none" w:sz="0" w:space="0" w:color="auto"/>
                    <w:left w:val="none" w:sz="0" w:space="0" w:color="auto"/>
                    <w:bottom w:val="none" w:sz="0" w:space="0" w:color="auto"/>
                    <w:right w:val="none" w:sz="0" w:space="0" w:color="auto"/>
                  </w:divBdr>
                  <w:divsChild>
                    <w:div w:id="258873792">
                      <w:marLeft w:val="0"/>
                      <w:marRight w:val="0"/>
                      <w:marTop w:val="0"/>
                      <w:marBottom w:val="0"/>
                      <w:divBdr>
                        <w:top w:val="none" w:sz="0" w:space="0" w:color="auto"/>
                        <w:left w:val="none" w:sz="0" w:space="0" w:color="auto"/>
                        <w:bottom w:val="none" w:sz="0" w:space="0" w:color="auto"/>
                        <w:right w:val="none" w:sz="0" w:space="0" w:color="auto"/>
                      </w:divBdr>
                    </w:div>
                  </w:divsChild>
                </w:div>
                <w:div w:id="1867331439">
                  <w:marLeft w:val="0"/>
                  <w:marRight w:val="0"/>
                  <w:marTop w:val="0"/>
                  <w:marBottom w:val="0"/>
                  <w:divBdr>
                    <w:top w:val="none" w:sz="0" w:space="0" w:color="auto"/>
                    <w:left w:val="none" w:sz="0" w:space="0" w:color="auto"/>
                    <w:bottom w:val="none" w:sz="0" w:space="0" w:color="auto"/>
                    <w:right w:val="none" w:sz="0" w:space="0" w:color="auto"/>
                  </w:divBdr>
                  <w:divsChild>
                    <w:div w:id="1663391643">
                      <w:marLeft w:val="0"/>
                      <w:marRight w:val="0"/>
                      <w:marTop w:val="0"/>
                      <w:marBottom w:val="0"/>
                      <w:divBdr>
                        <w:top w:val="none" w:sz="0" w:space="0" w:color="auto"/>
                        <w:left w:val="none" w:sz="0" w:space="0" w:color="auto"/>
                        <w:bottom w:val="none" w:sz="0" w:space="0" w:color="auto"/>
                        <w:right w:val="none" w:sz="0" w:space="0" w:color="auto"/>
                      </w:divBdr>
                    </w:div>
                  </w:divsChild>
                </w:div>
                <w:div w:id="1695573715">
                  <w:marLeft w:val="0"/>
                  <w:marRight w:val="0"/>
                  <w:marTop w:val="0"/>
                  <w:marBottom w:val="0"/>
                  <w:divBdr>
                    <w:top w:val="none" w:sz="0" w:space="0" w:color="auto"/>
                    <w:left w:val="none" w:sz="0" w:space="0" w:color="auto"/>
                    <w:bottom w:val="none" w:sz="0" w:space="0" w:color="auto"/>
                    <w:right w:val="none" w:sz="0" w:space="0" w:color="auto"/>
                  </w:divBdr>
                  <w:divsChild>
                    <w:div w:id="1109668450">
                      <w:marLeft w:val="0"/>
                      <w:marRight w:val="0"/>
                      <w:marTop w:val="0"/>
                      <w:marBottom w:val="0"/>
                      <w:divBdr>
                        <w:top w:val="none" w:sz="0" w:space="0" w:color="auto"/>
                        <w:left w:val="none" w:sz="0" w:space="0" w:color="auto"/>
                        <w:bottom w:val="none" w:sz="0" w:space="0" w:color="auto"/>
                        <w:right w:val="none" w:sz="0" w:space="0" w:color="auto"/>
                      </w:divBdr>
                    </w:div>
                  </w:divsChild>
                </w:div>
                <w:div w:id="1326319263">
                  <w:marLeft w:val="0"/>
                  <w:marRight w:val="0"/>
                  <w:marTop w:val="0"/>
                  <w:marBottom w:val="0"/>
                  <w:divBdr>
                    <w:top w:val="none" w:sz="0" w:space="0" w:color="auto"/>
                    <w:left w:val="none" w:sz="0" w:space="0" w:color="auto"/>
                    <w:bottom w:val="none" w:sz="0" w:space="0" w:color="auto"/>
                    <w:right w:val="none" w:sz="0" w:space="0" w:color="auto"/>
                  </w:divBdr>
                  <w:divsChild>
                    <w:div w:id="1156258877">
                      <w:marLeft w:val="0"/>
                      <w:marRight w:val="0"/>
                      <w:marTop w:val="0"/>
                      <w:marBottom w:val="0"/>
                      <w:divBdr>
                        <w:top w:val="none" w:sz="0" w:space="0" w:color="auto"/>
                        <w:left w:val="none" w:sz="0" w:space="0" w:color="auto"/>
                        <w:bottom w:val="none" w:sz="0" w:space="0" w:color="auto"/>
                        <w:right w:val="none" w:sz="0" w:space="0" w:color="auto"/>
                      </w:divBdr>
                    </w:div>
                  </w:divsChild>
                </w:div>
                <w:div w:id="854880347">
                  <w:marLeft w:val="0"/>
                  <w:marRight w:val="0"/>
                  <w:marTop w:val="0"/>
                  <w:marBottom w:val="0"/>
                  <w:divBdr>
                    <w:top w:val="none" w:sz="0" w:space="0" w:color="auto"/>
                    <w:left w:val="none" w:sz="0" w:space="0" w:color="auto"/>
                    <w:bottom w:val="none" w:sz="0" w:space="0" w:color="auto"/>
                    <w:right w:val="none" w:sz="0" w:space="0" w:color="auto"/>
                  </w:divBdr>
                  <w:divsChild>
                    <w:div w:id="432285280">
                      <w:marLeft w:val="0"/>
                      <w:marRight w:val="0"/>
                      <w:marTop w:val="0"/>
                      <w:marBottom w:val="0"/>
                      <w:divBdr>
                        <w:top w:val="none" w:sz="0" w:space="0" w:color="auto"/>
                        <w:left w:val="none" w:sz="0" w:space="0" w:color="auto"/>
                        <w:bottom w:val="none" w:sz="0" w:space="0" w:color="auto"/>
                        <w:right w:val="none" w:sz="0" w:space="0" w:color="auto"/>
                      </w:divBdr>
                    </w:div>
                  </w:divsChild>
                </w:div>
                <w:div w:id="2099982393">
                  <w:marLeft w:val="0"/>
                  <w:marRight w:val="0"/>
                  <w:marTop w:val="0"/>
                  <w:marBottom w:val="0"/>
                  <w:divBdr>
                    <w:top w:val="none" w:sz="0" w:space="0" w:color="auto"/>
                    <w:left w:val="none" w:sz="0" w:space="0" w:color="auto"/>
                    <w:bottom w:val="none" w:sz="0" w:space="0" w:color="auto"/>
                    <w:right w:val="none" w:sz="0" w:space="0" w:color="auto"/>
                  </w:divBdr>
                  <w:divsChild>
                    <w:div w:id="1815944911">
                      <w:marLeft w:val="0"/>
                      <w:marRight w:val="0"/>
                      <w:marTop w:val="0"/>
                      <w:marBottom w:val="0"/>
                      <w:divBdr>
                        <w:top w:val="none" w:sz="0" w:space="0" w:color="auto"/>
                        <w:left w:val="none" w:sz="0" w:space="0" w:color="auto"/>
                        <w:bottom w:val="none" w:sz="0" w:space="0" w:color="auto"/>
                        <w:right w:val="none" w:sz="0" w:space="0" w:color="auto"/>
                      </w:divBdr>
                    </w:div>
                  </w:divsChild>
                </w:div>
                <w:div w:id="1040782961">
                  <w:marLeft w:val="0"/>
                  <w:marRight w:val="0"/>
                  <w:marTop w:val="0"/>
                  <w:marBottom w:val="0"/>
                  <w:divBdr>
                    <w:top w:val="none" w:sz="0" w:space="0" w:color="auto"/>
                    <w:left w:val="none" w:sz="0" w:space="0" w:color="auto"/>
                    <w:bottom w:val="none" w:sz="0" w:space="0" w:color="auto"/>
                    <w:right w:val="none" w:sz="0" w:space="0" w:color="auto"/>
                  </w:divBdr>
                  <w:divsChild>
                    <w:div w:id="312101311">
                      <w:marLeft w:val="0"/>
                      <w:marRight w:val="0"/>
                      <w:marTop w:val="0"/>
                      <w:marBottom w:val="0"/>
                      <w:divBdr>
                        <w:top w:val="none" w:sz="0" w:space="0" w:color="auto"/>
                        <w:left w:val="none" w:sz="0" w:space="0" w:color="auto"/>
                        <w:bottom w:val="none" w:sz="0" w:space="0" w:color="auto"/>
                        <w:right w:val="none" w:sz="0" w:space="0" w:color="auto"/>
                      </w:divBdr>
                    </w:div>
                  </w:divsChild>
                </w:div>
                <w:div w:id="2088918855">
                  <w:marLeft w:val="0"/>
                  <w:marRight w:val="0"/>
                  <w:marTop w:val="0"/>
                  <w:marBottom w:val="0"/>
                  <w:divBdr>
                    <w:top w:val="none" w:sz="0" w:space="0" w:color="auto"/>
                    <w:left w:val="none" w:sz="0" w:space="0" w:color="auto"/>
                    <w:bottom w:val="none" w:sz="0" w:space="0" w:color="auto"/>
                    <w:right w:val="none" w:sz="0" w:space="0" w:color="auto"/>
                  </w:divBdr>
                  <w:divsChild>
                    <w:div w:id="1787848234">
                      <w:marLeft w:val="0"/>
                      <w:marRight w:val="0"/>
                      <w:marTop w:val="0"/>
                      <w:marBottom w:val="0"/>
                      <w:divBdr>
                        <w:top w:val="none" w:sz="0" w:space="0" w:color="auto"/>
                        <w:left w:val="none" w:sz="0" w:space="0" w:color="auto"/>
                        <w:bottom w:val="none" w:sz="0" w:space="0" w:color="auto"/>
                        <w:right w:val="none" w:sz="0" w:space="0" w:color="auto"/>
                      </w:divBdr>
                    </w:div>
                  </w:divsChild>
                </w:div>
                <w:div w:id="634217645">
                  <w:marLeft w:val="0"/>
                  <w:marRight w:val="0"/>
                  <w:marTop w:val="0"/>
                  <w:marBottom w:val="0"/>
                  <w:divBdr>
                    <w:top w:val="none" w:sz="0" w:space="0" w:color="auto"/>
                    <w:left w:val="none" w:sz="0" w:space="0" w:color="auto"/>
                    <w:bottom w:val="none" w:sz="0" w:space="0" w:color="auto"/>
                    <w:right w:val="none" w:sz="0" w:space="0" w:color="auto"/>
                  </w:divBdr>
                  <w:divsChild>
                    <w:div w:id="94647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ivil-penalties-under-the-renters-rights-act-2025-and-other-housing-legislation/civil-penalties-under-the-renters-rights-act-2025-and-other-housing-legisla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civil-penalties-under-the-renters-rights-act-2025-and-other-housing-legislation/civil-penalties-under-the-renters-rights-act-2025-and-other-housing-legisl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ivil-penalties-under-the-renters-rights-act-2025-and-other-housing-legislation/civil-penalties-under-the-renters-rights-act-2025-and-other-housing-legis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TaxCatchAll xmlns="0a2ace62-6eff-49e2-8365-79ba2d40e546" xsi:nil="true"/>
    <Comments xmlns="a9425197-31e1-4d34-8419-48789e20a78a" xsi:nil="true"/>
    <Landlord_x002d_CriticalSuccessMeasures xmlns="a9425197-31e1-4d34-8419-48789e20a7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3" ma:contentTypeDescription="Create a new document." ma:contentTypeScope="" ma:versionID="dd284b48310bb41a324b46bcb4099f88">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ad12abee5c23f9e894ad12192e4ea352"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element ref="ns2:Landlord_x002d_CriticalSuccessMeasur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element name="Landlord_x002d_CriticalSuccessMeasures" ma:index="20" nillable="true" ma:displayName="Landlord -Critical Success Measures" ma:description="Scorecards" ma:format="Dropdown" ma:internalName="Landlord_x002d_CriticalSuccessMeasur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customXml/itemProps2.xml><?xml version="1.0" encoding="utf-8"?>
<ds:datastoreItem xmlns:ds="http://schemas.openxmlformats.org/officeDocument/2006/customXml" ds:itemID="{04AD04DA-0260-49FA-81FE-E90F6084142D}">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customXml/itemProps3.xml><?xml version="1.0" encoding="utf-8"?>
<ds:datastoreItem xmlns:ds="http://schemas.openxmlformats.org/officeDocument/2006/customXml" ds:itemID="{FEFE8826-9668-46B2-BB8B-422E93C28D83}">
  <ds:schemaRefs>
    <ds:schemaRef ds:uri="http://schemas.microsoft.com/sharepoint/v3/contenttype/forms"/>
  </ds:schemaRefs>
</ds:datastoreItem>
</file>

<file path=customXml/itemProps4.xml><?xml version="1.0" encoding="utf-8"?>
<ds:datastoreItem xmlns:ds="http://schemas.openxmlformats.org/officeDocument/2006/customXml" ds:itemID="{767D671C-5653-48F2-B142-E560D5FE3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1</TotalTime>
  <Pages>25</Pages>
  <Words>5615</Words>
  <Characters>32008</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37548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dc:description/>
  <cp:lastModifiedBy>Louis Bebb</cp:lastModifiedBy>
  <cp:revision>2</cp:revision>
  <dcterms:created xsi:type="dcterms:W3CDTF">2026-07-24T17:37:00Z</dcterms:created>
  <dcterms:modified xsi:type="dcterms:W3CDTF">2026-07-24T17:37:00Z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