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r w:rsidRPr="00B10D00">
        <w:t>EqIA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The EDI team can provide help and advice on undertaking an E</w:t>
            </w:r>
            <w:r w:rsidR="009B1AC7" w:rsidRPr="00D76B9C">
              <w:rPr>
                <w:rFonts w:ascii="Arial" w:hAnsi="Arial" w:cs="Arial"/>
                <w:b w:val="0"/>
                <w:sz w:val="24"/>
                <w:szCs w:val="24"/>
              </w:rPr>
              <w:t>q</w:t>
            </w:r>
            <w:r w:rsidRPr="00D76B9C">
              <w:rPr>
                <w:rFonts w:ascii="Arial" w:hAnsi="Arial" w:cs="Arial"/>
                <w:b w:val="0"/>
                <w:sz w:val="24"/>
                <w:szCs w:val="24"/>
              </w:rPr>
              <w:t>IA and also provide overview quality assurance checks on completed E</w:t>
            </w:r>
            <w:r w:rsidR="009B1AC7" w:rsidRPr="00D76B9C">
              <w:rPr>
                <w:rFonts w:ascii="Arial" w:hAnsi="Arial" w:cs="Arial"/>
                <w:b w:val="0"/>
                <w:sz w:val="24"/>
                <w:szCs w:val="24"/>
              </w:rPr>
              <w:t>q</w:t>
            </w:r>
            <w:r w:rsidRPr="00D76B9C">
              <w:rPr>
                <w:rFonts w:ascii="Arial" w:hAnsi="Arial" w:cs="Arial"/>
                <w:b w:val="0"/>
                <w:sz w:val="24"/>
                <w:szCs w:val="24"/>
              </w:rPr>
              <w:t xml:space="preserve">IA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809"/>
        <w:gridCol w:w="4436"/>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30C9C5E4" w:rsidR="00513A37" w:rsidRPr="00B2622A" w:rsidRDefault="004759CA" w:rsidP="00FD6E8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ASB</w:t>
            </w:r>
            <w:r w:rsidR="00FD6E87" w:rsidRPr="00FD6E87">
              <w:rPr>
                <w:rFonts w:ascii="Arial" w:hAnsi="Arial" w:cs="Arial"/>
                <w:sz w:val="24"/>
                <w:szCs w:val="24"/>
              </w:rPr>
              <w:t xml:space="preserve"> Policy</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3CCD06A2" w:rsidR="00513A37" w:rsidRPr="00B2622A"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622A">
              <w:rPr>
                <w:rFonts w:ascii="Arial" w:hAnsi="Arial" w:cs="Arial"/>
                <w:sz w:val="24"/>
                <w:szCs w:val="24"/>
              </w:rPr>
              <w:t>Place (</w:t>
            </w:r>
            <w:r w:rsidR="00B15655">
              <w:rPr>
                <w:rFonts w:ascii="Arial" w:hAnsi="Arial" w:cs="Arial"/>
                <w:sz w:val="24"/>
                <w:szCs w:val="24"/>
              </w:rPr>
              <w:t>Community safety</w:t>
            </w:r>
            <w:r w:rsidRPr="00B2622A">
              <w:rPr>
                <w:rFonts w:ascii="Arial" w:hAnsi="Arial" w:cs="Arial"/>
                <w:sz w:val="24"/>
                <w:szCs w:val="24"/>
              </w:rPr>
              <w:t>)</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2C86125" w14:textId="127E0D4C"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 Bebb</w:t>
            </w:r>
          </w:p>
          <w:p w14:paraId="3F7D8987" w14:textId="45F8BF1C"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4CCFED2D" w14:textId="340E7120"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sidRPr="00745397">
                <w:rPr>
                  <w:rStyle w:val="Hyperlink"/>
                  <w:rFonts w:ascii="Arial" w:hAnsi="Arial" w:cs="Arial"/>
                  <w:sz w:val="24"/>
                  <w:szCs w:val="24"/>
                </w:rPr>
                <w:t>Louis_Bebb@sandwell.gov.uk</w:t>
              </w:r>
            </w:hyperlink>
            <w:r>
              <w:rPr>
                <w:rFonts w:ascii="Arial" w:hAnsi="Arial" w:cs="Arial"/>
                <w:sz w:val="24"/>
                <w:szCs w:val="24"/>
              </w:rPr>
              <w:t xml:space="preserve"> </w:t>
            </w:r>
          </w:p>
          <w:p w14:paraId="1FEC66B3" w14:textId="583D9026"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1416E0E0" w:rsidR="00513A37" w:rsidRPr="00743FC9" w:rsidRDefault="004759C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Wendy Sims</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1AED58E2" w:rsidR="00513A37" w:rsidRPr="00743FC9" w:rsidRDefault="00FD6E8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r w:rsidR="00B15655">
              <w:rPr>
                <w:rFonts w:ascii="Arial" w:hAnsi="Arial" w:cs="Arial"/>
                <w:sz w:val="24"/>
                <w:szCs w:val="24"/>
              </w:rPr>
              <w:t>6.</w:t>
            </w:r>
            <w:r>
              <w:rPr>
                <w:rFonts w:ascii="Arial" w:hAnsi="Arial" w:cs="Arial"/>
                <w:sz w:val="24"/>
                <w:szCs w:val="24"/>
              </w:rPr>
              <w:t>05.2026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6BFDC682" w:rsidR="00513A37" w:rsidRPr="007965E2" w:rsidRDefault="00D613E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15.07.2026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0A4C4971" w:rsidR="00513A37" w:rsidRPr="00743FC9" w:rsidRDefault="00FD6E8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10.06.2026</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Where the EqIA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368FD3" w14:textId="77777777" w:rsid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Gov</w:t>
            </w:r>
          </w:p>
          <w:p w14:paraId="07DBE058" w14:textId="77777777" w:rsidR="006E4905"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6DAA68AB" w14:textId="77777777" w:rsidR="003F1B9E" w:rsidRDefault="003F1B9E" w:rsidP="00EC01E1">
            <w:pPr>
              <w:rPr>
                <w:rFonts w:ascii="Arial" w:hAnsi="Arial" w:cs="Arial"/>
                <w:sz w:val="24"/>
                <w:szCs w:val="24"/>
              </w:rPr>
            </w:pPr>
          </w:p>
          <w:p w14:paraId="2B562C57" w14:textId="77777777" w:rsidR="006A4479" w:rsidRPr="006A4479" w:rsidRDefault="006A4479" w:rsidP="006A4479">
            <w:pPr>
              <w:rPr>
                <w:rFonts w:ascii="Arial" w:hAnsi="Arial" w:cs="Arial"/>
                <w:b w:val="0"/>
                <w:bCs w:val="0"/>
                <w:sz w:val="24"/>
                <w:szCs w:val="24"/>
              </w:rPr>
            </w:pPr>
            <w:r w:rsidRPr="006A4479">
              <w:rPr>
                <w:rFonts w:ascii="Arial" w:hAnsi="Arial" w:cs="Arial"/>
                <w:b w:val="0"/>
                <w:bCs w:val="0"/>
                <w:sz w:val="24"/>
                <w:szCs w:val="24"/>
              </w:rPr>
              <w:t>The purpose of this proposal is to adopt Sandwell Council’s Anti</w:t>
            </w:r>
            <w:r w:rsidRPr="006A4479">
              <w:rPr>
                <w:rFonts w:ascii="Arial" w:hAnsi="Arial" w:cs="Arial"/>
                <w:b w:val="0"/>
                <w:bCs w:val="0"/>
                <w:sz w:val="24"/>
                <w:szCs w:val="24"/>
              </w:rPr>
              <w:noBreakHyphen/>
              <w:t>Social Behaviour (ASB) Policy, which sets out how the Council will prevent, identify and respond to anti</w:t>
            </w:r>
            <w:r w:rsidRPr="006A4479">
              <w:rPr>
                <w:rFonts w:ascii="Arial" w:hAnsi="Arial" w:cs="Arial"/>
                <w:b w:val="0"/>
                <w:bCs w:val="0"/>
                <w:sz w:val="24"/>
                <w:szCs w:val="24"/>
              </w:rPr>
              <w:noBreakHyphen/>
              <w:t>social behaviour across the borough in line with its statutory duties under the Anti</w:t>
            </w:r>
            <w:r w:rsidRPr="006A4479">
              <w:rPr>
                <w:rFonts w:ascii="Arial" w:hAnsi="Arial" w:cs="Arial"/>
                <w:b w:val="0"/>
                <w:bCs w:val="0"/>
                <w:sz w:val="24"/>
                <w:szCs w:val="24"/>
              </w:rPr>
              <w:noBreakHyphen/>
              <w:t>Social Behaviour, Crime and Policing Act 2014 and related legislation.</w:t>
            </w:r>
          </w:p>
          <w:p w14:paraId="594E4CFB" w14:textId="77777777" w:rsidR="006A4479" w:rsidRPr="006A4479" w:rsidRDefault="006A4479" w:rsidP="006A4479">
            <w:pPr>
              <w:rPr>
                <w:rFonts w:ascii="Arial" w:hAnsi="Arial" w:cs="Arial"/>
                <w:b w:val="0"/>
                <w:bCs w:val="0"/>
                <w:sz w:val="24"/>
                <w:szCs w:val="24"/>
              </w:rPr>
            </w:pPr>
          </w:p>
          <w:p w14:paraId="23EFC4EC" w14:textId="77777777" w:rsidR="006A4479" w:rsidRPr="006A4479" w:rsidRDefault="006A4479" w:rsidP="006A4479">
            <w:pPr>
              <w:rPr>
                <w:rFonts w:ascii="Arial" w:hAnsi="Arial" w:cs="Arial"/>
                <w:b w:val="0"/>
                <w:bCs w:val="0"/>
                <w:sz w:val="24"/>
                <w:szCs w:val="24"/>
              </w:rPr>
            </w:pPr>
            <w:r w:rsidRPr="006A4479">
              <w:rPr>
                <w:rFonts w:ascii="Arial" w:hAnsi="Arial" w:cs="Arial"/>
                <w:b w:val="0"/>
                <w:bCs w:val="0"/>
                <w:sz w:val="24"/>
                <w:szCs w:val="24"/>
              </w:rPr>
              <w:t>The policy establishes a clear, harm</w:t>
            </w:r>
            <w:r w:rsidRPr="006A4479">
              <w:rPr>
                <w:rFonts w:ascii="Arial" w:hAnsi="Arial" w:cs="Arial"/>
                <w:b w:val="0"/>
                <w:bCs w:val="0"/>
                <w:sz w:val="24"/>
                <w:szCs w:val="24"/>
              </w:rPr>
              <w:noBreakHyphen/>
              <w:t>centred and trauma</w:t>
            </w:r>
            <w:r w:rsidRPr="006A4479">
              <w:rPr>
                <w:rFonts w:ascii="Arial" w:hAnsi="Arial" w:cs="Arial"/>
                <w:b w:val="0"/>
                <w:bCs w:val="0"/>
                <w:sz w:val="24"/>
                <w:szCs w:val="24"/>
              </w:rPr>
              <w:noBreakHyphen/>
              <w:t>informed framework for responding to ASB affecting residents, communities and places, including council housing, the private rented sector, owner</w:t>
            </w:r>
            <w:r w:rsidRPr="006A4479">
              <w:rPr>
                <w:rFonts w:ascii="Arial" w:hAnsi="Arial" w:cs="Arial"/>
                <w:b w:val="0"/>
                <w:bCs w:val="0"/>
                <w:sz w:val="24"/>
                <w:szCs w:val="24"/>
              </w:rPr>
              <w:noBreakHyphen/>
              <w:t>occupied homes and public spaces. It explains how ASB will be assessed based on impact, severity, persistence and cumulative harm, and how Housing and Community Safety services will work together with partner agencies to deliver proportionate, effective and accountable responses.</w:t>
            </w:r>
          </w:p>
          <w:p w14:paraId="19DF27A6" w14:textId="77777777" w:rsidR="006A4479" w:rsidRPr="006A4479" w:rsidRDefault="006A4479" w:rsidP="006A4479">
            <w:pPr>
              <w:rPr>
                <w:rFonts w:ascii="Arial" w:hAnsi="Arial" w:cs="Arial"/>
                <w:b w:val="0"/>
                <w:bCs w:val="0"/>
                <w:sz w:val="24"/>
                <w:szCs w:val="24"/>
              </w:rPr>
            </w:pPr>
          </w:p>
          <w:p w14:paraId="406257DE" w14:textId="77777777" w:rsidR="006A4479" w:rsidRPr="006A4479" w:rsidRDefault="006A4479" w:rsidP="006A4479">
            <w:pPr>
              <w:rPr>
                <w:rFonts w:ascii="Arial" w:hAnsi="Arial" w:cs="Arial"/>
                <w:b w:val="0"/>
                <w:bCs w:val="0"/>
                <w:sz w:val="24"/>
                <w:szCs w:val="24"/>
              </w:rPr>
            </w:pPr>
            <w:r w:rsidRPr="006A4479">
              <w:rPr>
                <w:rFonts w:ascii="Arial" w:hAnsi="Arial" w:cs="Arial"/>
                <w:b w:val="0"/>
                <w:bCs w:val="0"/>
                <w:sz w:val="24"/>
                <w:szCs w:val="24"/>
              </w:rPr>
              <w:t>Approval is sought to ensure that ASB responses are consistent, transparent and defensible, that victims are supported appropriately, and that safeguarding, equality and vulnerability considerations are embedded in all ASB decision</w:t>
            </w:r>
            <w:r w:rsidRPr="006A4479">
              <w:rPr>
                <w:rFonts w:ascii="Arial" w:hAnsi="Arial" w:cs="Arial"/>
                <w:b w:val="0"/>
                <w:bCs w:val="0"/>
                <w:sz w:val="24"/>
                <w:szCs w:val="24"/>
              </w:rPr>
              <w:noBreakHyphen/>
              <w:t>making.</w:t>
            </w:r>
          </w:p>
          <w:p w14:paraId="24754DBB" w14:textId="3F73B4D4" w:rsidR="00DA711C" w:rsidRPr="00D76B9C" w:rsidRDefault="00DA711C" w:rsidP="006A4479">
            <w:pPr>
              <w:rPr>
                <w:rFonts w:ascii="Arial" w:hAnsi="Arial" w:cs="Arial"/>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55F">
        <w:trPr>
          <w:gridBefore w:val="1"/>
          <w:gridAfter w:val="2"/>
          <w:wBefore w:w="7" w:type="dxa"/>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25988ED7" w14:textId="77777777" w:rsidR="00200E35" w:rsidRPr="005F5353" w:rsidRDefault="00200E35" w:rsidP="008521F3">
            <w:pPr>
              <w:rPr>
                <w:rFonts w:ascii="Arial" w:hAnsi="Arial" w:cs="Arial"/>
                <w:b w:val="0"/>
                <w:bCs w:val="0"/>
                <w:sz w:val="24"/>
                <w:szCs w:val="24"/>
              </w:rPr>
            </w:pPr>
          </w:p>
          <w:p w14:paraId="7BA7C2EE" w14:textId="77777777" w:rsidR="000616B1" w:rsidRPr="000616B1" w:rsidRDefault="000616B1" w:rsidP="000616B1">
            <w:pPr>
              <w:rPr>
                <w:rFonts w:ascii="Arial" w:hAnsi="Arial" w:cs="Arial"/>
                <w:b w:val="0"/>
                <w:bCs w:val="0"/>
                <w:sz w:val="24"/>
                <w:szCs w:val="24"/>
              </w:rPr>
            </w:pPr>
            <w:r w:rsidRPr="000616B1">
              <w:rPr>
                <w:rFonts w:ascii="Arial" w:hAnsi="Arial" w:cs="Arial"/>
                <w:b w:val="0"/>
                <w:bCs w:val="0"/>
                <w:sz w:val="24"/>
                <w:szCs w:val="24"/>
              </w:rPr>
              <w:t>The Equality Impact Assessment (EqIA) has been informed by the following evidence sources:</w:t>
            </w:r>
          </w:p>
          <w:p w14:paraId="6DEE1E97"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Anti</w:t>
            </w:r>
            <w:r w:rsidRPr="000616B1">
              <w:rPr>
                <w:rFonts w:ascii="Arial" w:hAnsi="Arial" w:cs="Arial"/>
                <w:b w:val="0"/>
                <w:bCs w:val="0"/>
                <w:sz w:val="24"/>
                <w:szCs w:val="24"/>
              </w:rPr>
              <w:noBreakHyphen/>
              <w:t>Social Behaviour, Crime and Policing Act 2014</w:t>
            </w:r>
          </w:p>
          <w:p w14:paraId="63188A0E"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Statutory Guidance for the Anti</w:t>
            </w:r>
            <w:r w:rsidRPr="000616B1">
              <w:rPr>
                <w:rFonts w:ascii="Arial" w:hAnsi="Arial" w:cs="Arial"/>
                <w:b w:val="0"/>
                <w:bCs w:val="0"/>
                <w:sz w:val="24"/>
                <w:szCs w:val="24"/>
              </w:rPr>
              <w:noBreakHyphen/>
              <w:t>Social Behaviour, Crime and Policing Act 2014</w:t>
            </w:r>
          </w:p>
          <w:p w14:paraId="3F751706"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Housing Acts 1985 and 1996 (housing</w:t>
            </w:r>
            <w:r w:rsidRPr="000616B1">
              <w:rPr>
                <w:rFonts w:ascii="Arial" w:hAnsi="Arial" w:cs="Arial"/>
                <w:b w:val="0"/>
                <w:bCs w:val="0"/>
                <w:sz w:val="24"/>
                <w:szCs w:val="24"/>
              </w:rPr>
              <w:noBreakHyphen/>
              <w:t>related ASB duties)</w:t>
            </w:r>
          </w:p>
          <w:p w14:paraId="0A011627"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Equality Act 2010 and Public Sector Equality Duty</w:t>
            </w:r>
          </w:p>
          <w:p w14:paraId="66BB88E4"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Human Rights Act 1998</w:t>
            </w:r>
          </w:p>
          <w:p w14:paraId="437F91E8"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Housing Ombudsman Complaint Handling Code</w:t>
            </w:r>
          </w:p>
          <w:p w14:paraId="100D4D85"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Council policies relating to safeguarding, reasonable adjustments and complaints</w:t>
            </w:r>
          </w:p>
          <w:p w14:paraId="6963B1CB"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Operational experience from Housing and Community Safety services</w:t>
            </w:r>
          </w:p>
          <w:p w14:paraId="30A8A7B7"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Local intelligence and data from ASB casework, complaints, case reviews and partnership referrals</w:t>
            </w:r>
          </w:p>
          <w:p w14:paraId="5136F1B2" w14:textId="77777777" w:rsidR="000616B1" w:rsidRPr="000616B1" w:rsidRDefault="000616B1" w:rsidP="000616B1">
            <w:pPr>
              <w:pStyle w:val="ListParagraph"/>
              <w:numPr>
                <w:ilvl w:val="0"/>
                <w:numId w:val="35"/>
              </w:numPr>
              <w:rPr>
                <w:rFonts w:ascii="Arial" w:hAnsi="Arial" w:cs="Arial"/>
                <w:b w:val="0"/>
                <w:bCs w:val="0"/>
                <w:sz w:val="24"/>
                <w:szCs w:val="24"/>
              </w:rPr>
            </w:pPr>
            <w:r w:rsidRPr="000616B1">
              <w:rPr>
                <w:rFonts w:ascii="Arial" w:hAnsi="Arial" w:cs="Arial"/>
                <w:b w:val="0"/>
                <w:bCs w:val="0"/>
                <w:sz w:val="24"/>
                <w:szCs w:val="24"/>
              </w:rPr>
              <w:t>Learning from Case Reviews (Community Trigger), complaints and Ombudsman findings</w:t>
            </w:r>
          </w:p>
          <w:p w14:paraId="2255D9B0" w14:textId="77777777" w:rsidR="000616B1" w:rsidRPr="000616B1" w:rsidRDefault="000616B1" w:rsidP="000616B1">
            <w:pPr>
              <w:rPr>
                <w:rFonts w:ascii="Arial" w:hAnsi="Arial" w:cs="Arial"/>
                <w:b w:val="0"/>
                <w:bCs w:val="0"/>
                <w:sz w:val="24"/>
                <w:szCs w:val="24"/>
              </w:rPr>
            </w:pPr>
          </w:p>
          <w:p w14:paraId="43E307D0" w14:textId="041B31E5" w:rsidR="000616B1" w:rsidRPr="000616B1" w:rsidRDefault="000616B1" w:rsidP="000616B1">
            <w:pPr>
              <w:rPr>
                <w:rFonts w:ascii="Arial" w:hAnsi="Arial" w:cs="Arial"/>
                <w:b w:val="0"/>
                <w:bCs w:val="0"/>
                <w:sz w:val="24"/>
                <w:szCs w:val="24"/>
              </w:rPr>
            </w:pPr>
            <w:r w:rsidRPr="000616B1">
              <w:rPr>
                <w:rFonts w:ascii="Arial" w:hAnsi="Arial" w:cs="Arial"/>
                <w:b w:val="0"/>
                <w:bCs w:val="0"/>
                <w:sz w:val="24"/>
                <w:szCs w:val="24"/>
              </w:rPr>
              <w:t>No significant gaps in evidence have been identified. It is recognised that ASB can have a disproportionate impact on individuals who are vulnerable, including disabled people, older residents, victims of hate incidents and those experiencing domestic abuse or exploitation. The policy mitigates these risks by embedding harm</w:t>
            </w:r>
            <w:r w:rsidRPr="000616B1">
              <w:rPr>
                <w:rFonts w:ascii="Arial" w:hAnsi="Arial" w:cs="Arial"/>
                <w:b w:val="0"/>
                <w:bCs w:val="0"/>
                <w:sz w:val="24"/>
                <w:szCs w:val="24"/>
              </w:rPr>
              <w:noBreakHyphen/>
              <w:t>based assessment, professional discretion, safeguarding pathways, proportionality and reasonable adjustments.</w:t>
            </w:r>
          </w:p>
          <w:p w14:paraId="6648F1B4" w14:textId="14B662F6" w:rsidR="008521F3" w:rsidRPr="005F5353" w:rsidRDefault="008521F3" w:rsidP="000616B1">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6C7710A2" w14:textId="77777777" w:rsidR="000616B1" w:rsidRPr="000616B1" w:rsidRDefault="000616B1" w:rsidP="000616B1">
            <w:pPr>
              <w:rPr>
                <w:rFonts w:ascii="Arial" w:hAnsi="Arial" w:cs="Arial"/>
                <w:b w:val="0"/>
                <w:bCs w:val="0"/>
                <w:sz w:val="24"/>
                <w:szCs w:val="24"/>
              </w:rPr>
            </w:pPr>
            <w:r w:rsidRPr="000616B1">
              <w:rPr>
                <w:rFonts w:ascii="Arial" w:hAnsi="Arial" w:cs="Arial"/>
                <w:b w:val="0"/>
                <w:bCs w:val="0"/>
                <w:sz w:val="24"/>
                <w:szCs w:val="24"/>
              </w:rPr>
              <w:lastRenderedPageBreak/>
              <w:t>Consultation and internal engagement were undertaken with:</w:t>
            </w:r>
          </w:p>
          <w:p w14:paraId="7C0598BB" w14:textId="77777777" w:rsidR="000616B1" w:rsidRPr="000616B1" w:rsidRDefault="000616B1" w:rsidP="000616B1">
            <w:pPr>
              <w:pStyle w:val="ListParagraph"/>
              <w:numPr>
                <w:ilvl w:val="0"/>
                <w:numId w:val="37"/>
              </w:numPr>
              <w:rPr>
                <w:rFonts w:ascii="Arial" w:hAnsi="Arial" w:cs="Arial"/>
                <w:b w:val="0"/>
                <w:bCs w:val="0"/>
                <w:sz w:val="24"/>
                <w:szCs w:val="24"/>
              </w:rPr>
            </w:pPr>
            <w:r w:rsidRPr="000616B1">
              <w:rPr>
                <w:rFonts w:ascii="Arial" w:hAnsi="Arial" w:cs="Arial"/>
                <w:b w:val="0"/>
                <w:bCs w:val="0"/>
                <w:sz w:val="24"/>
                <w:szCs w:val="24"/>
              </w:rPr>
              <w:t>Housing Services</w:t>
            </w:r>
          </w:p>
          <w:p w14:paraId="7DC12D93" w14:textId="77777777" w:rsidR="000616B1" w:rsidRPr="000616B1" w:rsidRDefault="000616B1" w:rsidP="000616B1">
            <w:pPr>
              <w:pStyle w:val="ListParagraph"/>
              <w:numPr>
                <w:ilvl w:val="0"/>
                <w:numId w:val="37"/>
              </w:numPr>
              <w:rPr>
                <w:rFonts w:ascii="Arial" w:hAnsi="Arial" w:cs="Arial"/>
                <w:b w:val="0"/>
                <w:bCs w:val="0"/>
                <w:sz w:val="24"/>
                <w:szCs w:val="24"/>
              </w:rPr>
            </w:pPr>
            <w:r w:rsidRPr="000616B1">
              <w:rPr>
                <w:rFonts w:ascii="Arial" w:hAnsi="Arial" w:cs="Arial"/>
                <w:b w:val="0"/>
                <w:bCs w:val="0"/>
                <w:sz w:val="24"/>
                <w:szCs w:val="24"/>
              </w:rPr>
              <w:t>Community Safety and ASB officers</w:t>
            </w:r>
          </w:p>
          <w:p w14:paraId="76FE531D" w14:textId="77777777" w:rsidR="000616B1" w:rsidRPr="000616B1" w:rsidRDefault="000616B1" w:rsidP="000616B1">
            <w:pPr>
              <w:pStyle w:val="ListParagraph"/>
              <w:numPr>
                <w:ilvl w:val="0"/>
                <w:numId w:val="37"/>
              </w:numPr>
              <w:rPr>
                <w:rFonts w:ascii="Arial" w:hAnsi="Arial" w:cs="Arial"/>
                <w:b w:val="0"/>
                <w:bCs w:val="0"/>
                <w:sz w:val="24"/>
                <w:szCs w:val="24"/>
              </w:rPr>
            </w:pPr>
            <w:r w:rsidRPr="000616B1">
              <w:rPr>
                <w:rFonts w:ascii="Arial" w:hAnsi="Arial" w:cs="Arial"/>
                <w:b w:val="0"/>
                <w:bCs w:val="0"/>
                <w:sz w:val="24"/>
                <w:szCs w:val="24"/>
              </w:rPr>
              <w:t>Legal Services</w:t>
            </w:r>
          </w:p>
          <w:p w14:paraId="15C78356" w14:textId="77777777" w:rsidR="000616B1" w:rsidRPr="000616B1" w:rsidRDefault="000616B1" w:rsidP="000616B1">
            <w:pPr>
              <w:pStyle w:val="ListParagraph"/>
              <w:numPr>
                <w:ilvl w:val="0"/>
                <w:numId w:val="37"/>
              </w:numPr>
              <w:rPr>
                <w:rFonts w:ascii="Arial" w:hAnsi="Arial" w:cs="Arial"/>
                <w:b w:val="0"/>
                <w:bCs w:val="0"/>
                <w:sz w:val="24"/>
                <w:szCs w:val="24"/>
              </w:rPr>
            </w:pPr>
            <w:r w:rsidRPr="000616B1">
              <w:rPr>
                <w:rFonts w:ascii="Arial" w:hAnsi="Arial" w:cs="Arial"/>
                <w:b w:val="0"/>
                <w:bCs w:val="0"/>
                <w:sz w:val="24"/>
                <w:szCs w:val="24"/>
              </w:rPr>
              <w:t>Safeguarding leads</w:t>
            </w:r>
          </w:p>
          <w:p w14:paraId="22064134" w14:textId="77777777" w:rsidR="000616B1" w:rsidRPr="000616B1" w:rsidRDefault="000616B1" w:rsidP="000616B1">
            <w:pPr>
              <w:pStyle w:val="ListParagraph"/>
              <w:numPr>
                <w:ilvl w:val="0"/>
                <w:numId w:val="37"/>
              </w:numPr>
              <w:rPr>
                <w:rFonts w:ascii="Arial" w:hAnsi="Arial" w:cs="Arial"/>
                <w:b w:val="0"/>
                <w:bCs w:val="0"/>
                <w:sz w:val="24"/>
                <w:szCs w:val="24"/>
              </w:rPr>
            </w:pPr>
            <w:r w:rsidRPr="000616B1">
              <w:rPr>
                <w:rFonts w:ascii="Arial" w:hAnsi="Arial" w:cs="Arial"/>
                <w:b w:val="0"/>
                <w:bCs w:val="0"/>
                <w:sz w:val="24"/>
                <w:szCs w:val="24"/>
              </w:rPr>
              <w:t>Senior management within the Place Directorate</w:t>
            </w:r>
          </w:p>
          <w:p w14:paraId="65001BE4" w14:textId="77777777" w:rsidR="000616B1" w:rsidRPr="000616B1" w:rsidRDefault="000616B1" w:rsidP="000616B1">
            <w:pPr>
              <w:rPr>
                <w:rFonts w:ascii="Arial" w:hAnsi="Arial" w:cs="Arial"/>
                <w:b w:val="0"/>
                <w:bCs w:val="0"/>
                <w:sz w:val="24"/>
                <w:szCs w:val="24"/>
              </w:rPr>
            </w:pPr>
          </w:p>
          <w:p w14:paraId="2FC72292" w14:textId="1F90AFEC" w:rsidR="005F5353" w:rsidRDefault="000616B1" w:rsidP="000616B1">
            <w:pPr>
              <w:rPr>
                <w:rFonts w:ascii="Arial" w:hAnsi="Arial" w:cs="Arial"/>
                <w:sz w:val="24"/>
                <w:szCs w:val="24"/>
              </w:rPr>
            </w:pPr>
            <w:r w:rsidRPr="000616B1">
              <w:rPr>
                <w:rFonts w:ascii="Arial" w:hAnsi="Arial" w:cs="Arial"/>
                <w:b w:val="0"/>
                <w:bCs w:val="0"/>
                <w:sz w:val="24"/>
                <w:szCs w:val="24"/>
              </w:rPr>
              <w:t>Consultation focused on ensuring that the Council’s approach to ASB is lawful, victim</w:t>
            </w:r>
            <w:r w:rsidRPr="000616B1">
              <w:rPr>
                <w:rFonts w:ascii="Cambria Math" w:hAnsi="Cambria Math" w:cs="Cambria Math"/>
                <w:b w:val="0"/>
                <w:bCs w:val="0"/>
                <w:sz w:val="24"/>
                <w:szCs w:val="24"/>
              </w:rPr>
              <w:t>‑</w:t>
            </w:r>
            <w:r w:rsidRPr="000616B1">
              <w:rPr>
                <w:rFonts w:ascii="Arial" w:hAnsi="Arial" w:cs="Arial"/>
                <w:b w:val="0"/>
                <w:bCs w:val="0"/>
                <w:sz w:val="24"/>
                <w:szCs w:val="24"/>
              </w:rPr>
              <w:t>focused, proportionate and aligned with statutory guidance, while supporting effective partnership working and safeguarding.</w:t>
            </w:r>
          </w:p>
          <w:p w14:paraId="02282FE0" w14:textId="77777777" w:rsidR="0034541E" w:rsidRPr="0034541E" w:rsidRDefault="0034541E" w:rsidP="000616B1">
            <w:pPr>
              <w:rPr>
                <w:rFonts w:ascii="Arial" w:hAnsi="Arial" w:cs="Arial"/>
                <w:b w:val="0"/>
                <w:bCs w:val="0"/>
                <w:sz w:val="24"/>
                <w:szCs w:val="24"/>
              </w:rPr>
            </w:pPr>
          </w:p>
          <w:p w14:paraId="3D2EDFF1" w14:textId="77777777" w:rsidR="0034541E" w:rsidRPr="0034541E" w:rsidRDefault="0034541E" w:rsidP="0034541E">
            <w:pPr>
              <w:rPr>
                <w:rFonts w:ascii="Arial" w:hAnsi="Arial" w:cs="Arial"/>
                <w:b w:val="0"/>
                <w:bCs w:val="0"/>
                <w:sz w:val="24"/>
                <w:szCs w:val="24"/>
              </w:rPr>
            </w:pPr>
            <w:r w:rsidRPr="0034541E">
              <w:rPr>
                <w:rFonts w:ascii="Arial" w:hAnsi="Arial" w:cs="Arial"/>
                <w:b w:val="0"/>
                <w:bCs w:val="0"/>
                <w:sz w:val="24"/>
                <w:szCs w:val="24"/>
              </w:rPr>
              <w:t>Summary of consultation findings</w:t>
            </w:r>
          </w:p>
          <w:p w14:paraId="4A51FF43" w14:textId="77777777" w:rsidR="0034541E" w:rsidRPr="0034541E" w:rsidRDefault="0034541E" w:rsidP="0034541E">
            <w:pPr>
              <w:numPr>
                <w:ilvl w:val="0"/>
                <w:numId w:val="38"/>
              </w:numPr>
              <w:rPr>
                <w:rFonts w:ascii="Arial" w:hAnsi="Arial" w:cs="Arial"/>
                <w:b w:val="0"/>
                <w:bCs w:val="0"/>
                <w:sz w:val="24"/>
                <w:szCs w:val="24"/>
              </w:rPr>
            </w:pPr>
            <w:r w:rsidRPr="0034541E">
              <w:rPr>
                <w:rFonts w:ascii="Arial" w:hAnsi="Arial" w:cs="Arial"/>
                <w:b w:val="0"/>
                <w:bCs w:val="0"/>
                <w:sz w:val="24"/>
                <w:szCs w:val="24"/>
              </w:rPr>
              <w:t>Strong support for a single, clear ASB policy framework</w:t>
            </w:r>
          </w:p>
          <w:p w14:paraId="46BA7798" w14:textId="77777777" w:rsidR="0034541E" w:rsidRPr="0034541E" w:rsidRDefault="0034541E" w:rsidP="0034541E">
            <w:pPr>
              <w:numPr>
                <w:ilvl w:val="0"/>
                <w:numId w:val="38"/>
              </w:numPr>
              <w:rPr>
                <w:rFonts w:ascii="Arial" w:hAnsi="Arial" w:cs="Arial"/>
                <w:b w:val="0"/>
                <w:bCs w:val="0"/>
                <w:sz w:val="24"/>
                <w:szCs w:val="24"/>
              </w:rPr>
            </w:pPr>
            <w:r w:rsidRPr="0034541E">
              <w:rPr>
                <w:rFonts w:ascii="Arial" w:hAnsi="Arial" w:cs="Arial"/>
                <w:b w:val="0"/>
                <w:bCs w:val="0"/>
                <w:sz w:val="24"/>
                <w:szCs w:val="24"/>
              </w:rPr>
              <w:t>Agreement on the importance of assessing ASB based on harm and impact, not behaviour alone</w:t>
            </w:r>
          </w:p>
          <w:p w14:paraId="7A8ADC48" w14:textId="77777777" w:rsidR="0034541E" w:rsidRPr="0034541E" w:rsidRDefault="0034541E" w:rsidP="0034541E">
            <w:pPr>
              <w:numPr>
                <w:ilvl w:val="0"/>
                <w:numId w:val="38"/>
              </w:numPr>
              <w:rPr>
                <w:rFonts w:ascii="Arial" w:hAnsi="Arial" w:cs="Arial"/>
                <w:b w:val="0"/>
                <w:bCs w:val="0"/>
                <w:sz w:val="24"/>
                <w:szCs w:val="24"/>
              </w:rPr>
            </w:pPr>
            <w:r w:rsidRPr="0034541E">
              <w:rPr>
                <w:rFonts w:ascii="Arial" w:hAnsi="Arial" w:cs="Arial"/>
                <w:b w:val="0"/>
                <w:bCs w:val="0"/>
                <w:sz w:val="24"/>
                <w:szCs w:val="24"/>
              </w:rPr>
              <w:t>Recognition of the need for consistent thresholds and clear victim communication</w:t>
            </w:r>
          </w:p>
          <w:p w14:paraId="3C319CBC" w14:textId="77777777" w:rsidR="0034541E" w:rsidRPr="0034541E" w:rsidRDefault="0034541E" w:rsidP="0034541E">
            <w:pPr>
              <w:numPr>
                <w:ilvl w:val="0"/>
                <w:numId w:val="38"/>
              </w:numPr>
              <w:rPr>
                <w:rFonts w:ascii="Arial" w:hAnsi="Arial" w:cs="Arial"/>
                <w:b w:val="0"/>
                <w:bCs w:val="0"/>
                <w:sz w:val="24"/>
                <w:szCs w:val="24"/>
              </w:rPr>
            </w:pPr>
            <w:r w:rsidRPr="0034541E">
              <w:rPr>
                <w:rFonts w:ascii="Arial" w:hAnsi="Arial" w:cs="Arial"/>
                <w:b w:val="0"/>
                <w:bCs w:val="0"/>
                <w:sz w:val="24"/>
                <w:szCs w:val="24"/>
              </w:rPr>
              <w:t>Emphasis on embedding safeguarding, vulnerability and equality considerations</w:t>
            </w:r>
          </w:p>
          <w:p w14:paraId="5656A566" w14:textId="77777777" w:rsidR="0034541E" w:rsidRPr="0034541E" w:rsidRDefault="0034541E" w:rsidP="0034541E">
            <w:pPr>
              <w:numPr>
                <w:ilvl w:val="0"/>
                <w:numId w:val="38"/>
              </w:numPr>
              <w:rPr>
                <w:rFonts w:ascii="Arial" w:hAnsi="Arial" w:cs="Arial"/>
                <w:b w:val="0"/>
                <w:bCs w:val="0"/>
                <w:sz w:val="24"/>
                <w:szCs w:val="24"/>
              </w:rPr>
            </w:pPr>
            <w:r w:rsidRPr="0034541E">
              <w:rPr>
                <w:rFonts w:ascii="Arial" w:hAnsi="Arial" w:cs="Arial"/>
                <w:b w:val="0"/>
                <w:bCs w:val="0"/>
                <w:sz w:val="24"/>
                <w:szCs w:val="24"/>
              </w:rPr>
              <w:t>Support for a trauma</w:t>
            </w:r>
            <w:r w:rsidRPr="0034541E">
              <w:rPr>
                <w:rFonts w:ascii="Arial" w:hAnsi="Arial" w:cs="Arial"/>
                <w:b w:val="0"/>
                <w:bCs w:val="0"/>
                <w:sz w:val="24"/>
                <w:szCs w:val="24"/>
              </w:rPr>
              <w:noBreakHyphen/>
              <w:t>informed and prevention</w:t>
            </w:r>
            <w:r w:rsidRPr="0034541E">
              <w:rPr>
                <w:rFonts w:ascii="Arial" w:hAnsi="Arial" w:cs="Arial"/>
                <w:b w:val="0"/>
                <w:bCs w:val="0"/>
                <w:sz w:val="24"/>
                <w:szCs w:val="24"/>
              </w:rPr>
              <w:noBreakHyphen/>
              <w:t>focused approach alongside enforcement options</w:t>
            </w:r>
          </w:p>
          <w:p w14:paraId="6C35265D" w14:textId="503AD5EA" w:rsidR="000616B1" w:rsidRPr="00FD6E87" w:rsidRDefault="000616B1" w:rsidP="000616B1">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D0155F">
        <w:trPr>
          <w:gridAfter w:val="2"/>
          <w:wAfter w:w="14" w:type="dxa"/>
          <w:trHeight w:val="5781"/>
        </w:trPr>
        <w:tc>
          <w:tcPr>
            <w:cnfStyle w:val="001000000000" w:firstRow="0" w:lastRow="0" w:firstColumn="1" w:lastColumn="0" w:oddVBand="0" w:evenVBand="0" w:oddHBand="0" w:evenHBand="0" w:firstRowFirstColumn="0" w:firstRowLastColumn="0" w:lastRowFirstColumn="0" w:lastRowLastColumn="0"/>
            <w:tcW w:w="4993" w:type="pct"/>
            <w:gridSpan w:val="2"/>
          </w:tcPr>
          <w:p w14:paraId="4969F6DD" w14:textId="77777777" w:rsidR="009E7427" w:rsidRPr="002D74E2" w:rsidRDefault="009E7427" w:rsidP="00C77113">
            <w:pPr>
              <w:rPr>
                <w:rFonts w:ascii="Arial" w:hAnsi="Arial" w:cs="Arial"/>
                <w:b w:val="0"/>
                <w:bCs w:val="0"/>
                <w:color w:val="000000"/>
                <w:sz w:val="24"/>
                <w:szCs w:val="24"/>
              </w:rPr>
            </w:pPr>
          </w:p>
          <w:p w14:paraId="3F04621C" w14:textId="77777777" w:rsidR="002D74E2" w:rsidRDefault="002D74E2" w:rsidP="008E76D6">
            <w:pPr>
              <w:rPr>
                <w:rFonts w:ascii="Arial" w:hAnsi="Arial" w:cs="Arial"/>
                <w:b w:val="0"/>
                <w:bCs w:val="0"/>
                <w:color w:val="000000"/>
                <w:sz w:val="24"/>
                <w:szCs w:val="24"/>
              </w:rPr>
            </w:pPr>
            <w:r w:rsidRPr="002D74E2">
              <w:rPr>
                <w:rFonts w:ascii="Arial" w:hAnsi="Arial" w:cs="Arial"/>
                <w:color w:val="000000"/>
                <w:sz w:val="24"/>
                <w:szCs w:val="24"/>
              </w:rPr>
              <w:t>Summary assessment of impacts on protected characteristics</w:t>
            </w:r>
          </w:p>
          <w:p w14:paraId="4D390E1B" w14:textId="77777777" w:rsidR="008E76D6" w:rsidRDefault="008E76D6" w:rsidP="008E76D6">
            <w:pPr>
              <w:rPr>
                <w:rFonts w:ascii="Arial" w:hAnsi="Arial" w:cs="Arial"/>
                <w:b w:val="0"/>
                <w:bCs w:val="0"/>
                <w:color w:val="000000"/>
                <w:sz w:val="24"/>
                <w:szCs w:val="24"/>
              </w:rPr>
            </w:pPr>
          </w:p>
          <w:p w14:paraId="59CC86F1" w14:textId="77777777" w:rsidR="008E76D6" w:rsidRPr="008E76D6" w:rsidRDefault="008E76D6" w:rsidP="008E76D6">
            <w:pPr>
              <w:rPr>
                <w:rFonts w:ascii="Arial" w:hAnsi="Arial" w:cs="Arial"/>
                <w:b w:val="0"/>
                <w:bCs w:val="0"/>
                <w:color w:val="000000"/>
                <w:sz w:val="24"/>
                <w:szCs w:val="24"/>
              </w:rPr>
            </w:pPr>
            <w:r w:rsidRPr="008E76D6">
              <w:rPr>
                <w:rFonts w:ascii="Arial" w:hAnsi="Arial" w:cs="Arial"/>
                <w:b w:val="0"/>
                <w:bCs w:val="0"/>
                <w:color w:val="000000"/>
                <w:sz w:val="24"/>
                <w:szCs w:val="24"/>
              </w:rPr>
              <w:t>The Anti</w:t>
            </w:r>
            <w:r w:rsidRPr="008E76D6">
              <w:rPr>
                <w:rFonts w:ascii="Cambria Math" w:hAnsi="Cambria Math" w:cs="Cambria Math"/>
                <w:b w:val="0"/>
                <w:bCs w:val="0"/>
                <w:color w:val="000000"/>
                <w:sz w:val="24"/>
                <w:szCs w:val="24"/>
              </w:rPr>
              <w:t>‑</w:t>
            </w:r>
            <w:r w:rsidRPr="008E76D6">
              <w:rPr>
                <w:rFonts w:ascii="Arial" w:hAnsi="Arial" w:cs="Arial"/>
                <w:b w:val="0"/>
                <w:bCs w:val="0"/>
                <w:color w:val="000000"/>
                <w:sz w:val="24"/>
                <w:szCs w:val="24"/>
              </w:rPr>
              <w:t>Social Behaviour (ASB) Policy has been assessed for its potential impact on people with protected characteristics. Overall, the policy is expected to have a positive or neutral impact.</w:t>
            </w:r>
          </w:p>
          <w:p w14:paraId="0743FCF0" w14:textId="77777777" w:rsidR="008E76D6" w:rsidRPr="008E76D6" w:rsidRDefault="008E76D6" w:rsidP="008E76D6">
            <w:pPr>
              <w:rPr>
                <w:rFonts w:ascii="Arial" w:hAnsi="Arial" w:cs="Arial"/>
                <w:b w:val="0"/>
                <w:bCs w:val="0"/>
                <w:color w:val="000000"/>
                <w:sz w:val="24"/>
                <w:szCs w:val="24"/>
              </w:rPr>
            </w:pPr>
          </w:p>
          <w:p w14:paraId="7C195532" w14:textId="1661C17E" w:rsidR="008E76D6" w:rsidRPr="008E76D6" w:rsidRDefault="008E76D6" w:rsidP="008E76D6">
            <w:pPr>
              <w:rPr>
                <w:rFonts w:ascii="Arial" w:hAnsi="Arial" w:cs="Arial"/>
                <w:color w:val="000000"/>
                <w:sz w:val="24"/>
                <w:szCs w:val="24"/>
              </w:rPr>
            </w:pPr>
            <w:r w:rsidRPr="008E76D6">
              <w:rPr>
                <w:rFonts w:ascii="Arial" w:hAnsi="Arial" w:cs="Arial"/>
                <w:b w:val="0"/>
                <w:bCs w:val="0"/>
                <w:color w:val="000000"/>
                <w:sz w:val="24"/>
                <w:szCs w:val="24"/>
              </w:rPr>
              <w:t>The policy strengthens protections for people who may experience disproportionate harm from ASB, including those who are disabled, older, subject to hate</w:t>
            </w:r>
            <w:r w:rsidRPr="008E76D6">
              <w:rPr>
                <w:rFonts w:ascii="Cambria Math" w:hAnsi="Cambria Math" w:cs="Cambria Math"/>
                <w:b w:val="0"/>
                <w:bCs w:val="0"/>
                <w:color w:val="000000"/>
                <w:sz w:val="24"/>
                <w:szCs w:val="24"/>
              </w:rPr>
              <w:t>‑</w:t>
            </w:r>
            <w:r w:rsidRPr="008E76D6">
              <w:rPr>
                <w:rFonts w:ascii="Arial" w:hAnsi="Arial" w:cs="Arial"/>
                <w:b w:val="0"/>
                <w:bCs w:val="0"/>
                <w:color w:val="000000"/>
                <w:sz w:val="24"/>
                <w:szCs w:val="24"/>
              </w:rPr>
              <w:t>related behaviour or experiencing safeguarding risks. Built</w:t>
            </w:r>
            <w:r w:rsidRPr="008E76D6">
              <w:rPr>
                <w:rFonts w:ascii="Cambria Math" w:hAnsi="Cambria Math" w:cs="Cambria Math"/>
                <w:b w:val="0"/>
                <w:bCs w:val="0"/>
                <w:color w:val="000000"/>
                <w:sz w:val="24"/>
                <w:szCs w:val="24"/>
              </w:rPr>
              <w:t>‑</w:t>
            </w:r>
            <w:r w:rsidRPr="008E76D6">
              <w:rPr>
                <w:rFonts w:ascii="Arial" w:hAnsi="Arial" w:cs="Arial"/>
                <w:b w:val="0"/>
                <w:bCs w:val="0"/>
                <w:color w:val="000000"/>
                <w:sz w:val="24"/>
                <w:szCs w:val="24"/>
              </w:rPr>
              <w:t>in safeguards ensure that no protected group is unfairly disadvantaged by the Council’s response to ASB.</w:t>
            </w: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
        <w:tblW w:w="0" w:type="auto"/>
        <w:tblLook w:val="04A0" w:firstRow="1" w:lastRow="0" w:firstColumn="1" w:lastColumn="0" w:noHBand="0" w:noVBand="1"/>
      </w:tblPr>
      <w:tblGrid>
        <w:gridCol w:w="2446"/>
        <w:gridCol w:w="1474"/>
        <w:gridCol w:w="4794"/>
        <w:gridCol w:w="3581"/>
        <w:gridCol w:w="2831"/>
      </w:tblGrid>
      <w:tr w:rsidR="00F36B67" w:rsidRPr="00F36B67" w14:paraId="28B1207B" w14:textId="77777777" w:rsidTr="00F36B67">
        <w:tc>
          <w:tcPr>
            <w:tcW w:w="0" w:type="auto"/>
            <w:hideMark/>
          </w:tcPr>
          <w:p w14:paraId="1DEB3644" w14:textId="77777777" w:rsidR="00F36B67" w:rsidRPr="00F36B67" w:rsidRDefault="00F36B67" w:rsidP="00F36B67">
            <w:pPr>
              <w:jc w:val="center"/>
              <w:rPr>
                <w:rFonts w:ascii="Arial" w:eastAsia="Times New Roman" w:hAnsi="Arial" w:cs="Arial"/>
                <w:b/>
                <w:bCs/>
                <w:sz w:val="24"/>
                <w:szCs w:val="24"/>
                <w:lang w:eastAsia="en-GB"/>
              </w:rPr>
            </w:pPr>
            <w:r w:rsidRPr="00F36B67">
              <w:rPr>
                <w:rFonts w:ascii="Arial" w:eastAsia="Times New Roman" w:hAnsi="Arial" w:cs="Arial"/>
                <w:b/>
                <w:bCs/>
                <w:sz w:val="24"/>
                <w:szCs w:val="24"/>
                <w:lang w:eastAsia="en-GB"/>
              </w:rPr>
              <w:t>Characteristic</w:t>
            </w:r>
          </w:p>
        </w:tc>
        <w:tc>
          <w:tcPr>
            <w:tcW w:w="0" w:type="auto"/>
            <w:hideMark/>
          </w:tcPr>
          <w:p w14:paraId="638D840D" w14:textId="77777777" w:rsidR="00F36B67" w:rsidRPr="00F36B67" w:rsidRDefault="00F36B67" w:rsidP="00F36B67">
            <w:pPr>
              <w:jc w:val="center"/>
              <w:rPr>
                <w:rFonts w:ascii="Arial" w:eastAsia="Times New Roman" w:hAnsi="Arial" w:cs="Arial"/>
                <w:b/>
                <w:bCs/>
                <w:sz w:val="24"/>
                <w:szCs w:val="24"/>
                <w:lang w:eastAsia="en-GB"/>
              </w:rPr>
            </w:pPr>
            <w:r w:rsidRPr="00F36B67">
              <w:rPr>
                <w:rFonts w:ascii="Arial" w:eastAsia="Times New Roman" w:hAnsi="Arial" w:cs="Arial"/>
                <w:b/>
                <w:bCs/>
                <w:sz w:val="24"/>
                <w:szCs w:val="24"/>
                <w:lang w:eastAsia="en-GB"/>
              </w:rPr>
              <w:t>Impact (P/N/Ne)</w:t>
            </w:r>
          </w:p>
        </w:tc>
        <w:tc>
          <w:tcPr>
            <w:tcW w:w="0" w:type="auto"/>
            <w:hideMark/>
          </w:tcPr>
          <w:p w14:paraId="470FCD26" w14:textId="77777777" w:rsidR="00F36B67" w:rsidRPr="00F36B67" w:rsidRDefault="00F36B67" w:rsidP="00F36B67">
            <w:pPr>
              <w:jc w:val="center"/>
              <w:rPr>
                <w:rFonts w:ascii="Arial" w:eastAsia="Times New Roman" w:hAnsi="Arial" w:cs="Arial"/>
                <w:b/>
                <w:bCs/>
                <w:sz w:val="24"/>
                <w:szCs w:val="24"/>
                <w:lang w:eastAsia="en-GB"/>
              </w:rPr>
            </w:pPr>
            <w:r w:rsidRPr="00F36B67">
              <w:rPr>
                <w:rFonts w:ascii="Arial" w:eastAsia="Times New Roman" w:hAnsi="Arial" w:cs="Arial"/>
                <w:b/>
                <w:bCs/>
                <w:sz w:val="24"/>
                <w:szCs w:val="24"/>
                <w:lang w:eastAsia="en-GB"/>
              </w:rPr>
              <w:t>Details of impact</w:t>
            </w:r>
          </w:p>
        </w:tc>
        <w:tc>
          <w:tcPr>
            <w:tcW w:w="0" w:type="auto"/>
            <w:hideMark/>
          </w:tcPr>
          <w:p w14:paraId="443E1042" w14:textId="77777777" w:rsidR="00F36B67" w:rsidRPr="00F36B67" w:rsidRDefault="00F36B67" w:rsidP="00F36B67">
            <w:pPr>
              <w:jc w:val="center"/>
              <w:rPr>
                <w:rFonts w:ascii="Arial" w:eastAsia="Times New Roman" w:hAnsi="Arial" w:cs="Arial"/>
                <w:b/>
                <w:bCs/>
                <w:sz w:val="24"/>
                <w:szCs w:val="24"/>
                <w:lang w:eastAsia="en-GB"/>
              </w:rPr>
            </w:pPr>
            <w:r w:rsidRPr="00F36B67">
              <w:rPr>
                <w:rFonts w:ascii="Arial" w:eastAsia="Times New Roman" w:hAnsi="Arial" w:cs="Arial"/>
                <w:b/>
                <w:bCs/>
                <w:sz w:val="24"/>
                <w:szCs w:val="24"/>
                <w:lang w:eastAsia="en-GB"/>
              </w:rPr>
              <w:t>Actions / mitigation</w:t>
            </w:r>
          </w:p>
        </w:tc>
        <w:tc>
          <w:tcPr>
            <w:tcW w:w="0" w:type="auto"/>
            <w:hideMark/>
          </w:tcPr>
          <w:p w14:paraId="1C028B92" w14:textId="77777777" w:rsidR="00F36B67" w:rsidRPr="00F36B67" w:rsidRDefault="00F36B67" w:rsidP="00F36B67">
            <w:pPr>
              <w:jc w:val="center"/>
              <w:rPr>
                <w:rFonts w:ascii="Arial" w:eastAsia="Times New Roman" w:hAnsi="Arial" w:cs="Arial"/>
                <w:b/>
                <w:bCs/>
                <w:sz w:val="24"/>
                <w:szCs w:val="24"/>
                <w:lang w:eastAsia="en-GB"/>
              </w:rPr>
            </w:pPr>
            <w:r w:rsidRPr="00F36B67">
              <w:rPr>
                <w:rFonts w:ascii="Arial" w:eastAsia="Times New Roman" w:hAnsi="Arial" w:cs="Arial"/>
                <w:b/>
                <w:bCs/>
                <w:sz w:val="24"/>
                <w:szCs w:val="24"/>
                <w:lang w:eastAsia="en-GB"/>
              </w:rPr>
              <w:t>Owner / timescale</w:t>
            </w:r>
          </w:p>
        </w:tc>
      </w:tr>
      <w:tr w:rsidR="00F36B67" w:rsidRPr="00F36B67" w14:paraId="05930ADC" w14:textId="77777777" w:rsidTr="00F36B67">
        <w:tc>
          <w:tcPr>
            <w:tcW w:w="0" w:type="auto"/>
            <w:hideMark/>
          </w:tcPr>
          <w:p w14:paraId="2E37CA4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Age</w:t>
            </w:r>
          </w:p>
        </w:tc>
        <w:tc>
          <w:tcPr>
            <w:tcW w:w="0" w:type="auto"/>
            <w:hideMark/>
          </w:tcPr>
          <w:p w14:paraId="2D56E29A"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793FF04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Reduces harm to older and younger residents who may be more vulnerable to ASB.</w:t>
            </w:r>
          </w:p>
        </w:tc>
        <w:tc>
          <w:tcPr>
            <w:tcW w:w="0" w:type="auto"/>
            <w:hideMark/>
          </w:tcPr>
          <w:p w14:paraId="24F0E44D"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Harm</w:t>
            </w:r>
            <w:r w:rsidRPr="00F36B67">
              <w:rPr>
                <w:rFonts w:ascii="Arial" w:eastAsia="Times New Roman" w:hAnsi="Arial" w:cs="Arial"/>
                <w:sz w:val="24"/>
                <w:szCs w:val="24"/>
                <w:lang w:eastAsia="en-GB"/>
              </w:rPr>
              <w:noBreakHyphen/>
              <w:t>based risk assessment and safeguarding.</w:t>
            </w:r>
          </w:p>
        </w:tc>
        <w:tc>
          <w:tcPr>
            <w:tcW w:w="0" w:type="auto"/>
            <w:hideMark/>
          </w:tcPr>
          <w:p w14:paraId="48732D06"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58CBAC8A" w14:textId="77777777" w:rsidTr="00F36B67">
        <w:tc>
          <w:tcPr>
            <w:tcW w:w="0" w:type="auto"/>
            <w:hideMark/>
          </w:tcPr>
          <w:p w14:paraId="75145EEE"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Disability</w:t>
            </w:r>
          </w:p>
        </w:tc>
        <w:tc>
          <w:tcPr>
            <w:tcW w:w="0" w:type="auto"/>
            <w:hideMark/>
          </w:tcPr>
          <w:p w14:paraId="298AB577"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49606A60"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Supports disabled people experiencing ASB; considers impact and barriers to reporting.</w:t>
            </w:r>
          </w:p>
        </w:tc>
        <w:tc>
          <w:tcPr>
            <w:tcW w:w="0" w:type="auto"/>
            <w:hideMark/>
          </w:tcPr>
          <w:p w14:paraId="12DDBE0B"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Reasonable adjustments and accessible communication.</w:t>
            </w:r>
          </w:p>
        </w:tc>
        <w:tc>
          <w:tcPr>
            <w:tcW w:w="0" w:type="auto"/>
            <w:hideMark/>
          </w:tcPr>
          <w:p w14:paraId="5FD0655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7FC50955" w14:textId="77777777" w:rsidTr="00F36B67">
        <w:tc>
          <w:tcPr>
            <w:tcW w:w="0" w:type="auto"/>
            <w:hideMark/>
          </w:tcPr>
          <w:p w14:paraId="18A71B5A"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Gender reassignment</w:t>
            </w:r>
          </w:p>
        </w:tc>
        <w:tc>
          <w:tcPr>
            <w:tcW w:w="0" w:type="auto"/>
            <w:hideMark/>
          </w:tcPr>
          <w:p w14:paraId="5DD110C7"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387D8E44"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Policy applies equally regardless of gender identity.</w:t>
            </w:r>
          </w:p>
        </w:tc>
        <w:tc>
          <w:tcPr>
            <w:tcW w:w="0" w:type="auto"/>
            <w:hideMark/>
          </w:tcPr>
          <w:p w14:paraId="43C796BA"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Inclusive practice and staff training.</w:t>
            </w:r>
          </w:p>
        </w:tc>
        <w:tc>
          <w:tcPr>
            <w:tcW w:w="0" w:type="auto"/>
            <w:hideMark/>
          </w:tcPr>
          <w:p w14:paraId="5AEE371C"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327643B2" w14:textId="77777777" w:rsidTr="00F36B67">
        <w:tc>
          <w:tcPr>
            <w:tcW w:w="0" w:type="auto"/>
            <w:hideMark/>
          </w:tcPr>
          <w:p w14:paraId="4503EBC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Marriage / civil partnership</w:t>
            </w:r>
          </w:p>
        </w:tc>
        <w:tc>
          <w:tcPr>
            <w:tcW w:w="0" w:type="auto"/>
            <w:hideMark/>
          </w:tcPr>
          <w:p w14:paraId="427817EA"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143A4CD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No differential impact identified.</w:t>
            </w:r>
          </w:p>
        </w:tc>
        <w:tc>
          <w:tcPr>
            <w:tcW w:w="0" w:type="auto"/>
            <w:hideMark/>
          </w:tcPr>
          <w:p w14:paraId="1BA1BB7B"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Monitor consistency.</w:t>
            </w:r>
          </w:p>
        </w:tc>
        <w:tc>
          <w:tcPr>
            <w:tcW w:w="0" w:type="auto"/>
            <w:hideMark/>
          </w:tcPr>
          <w:p w14:paraId="26A21116"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Annual review</w:t>
            </w:r>
          </w:p>
        </w:tc>
      </w:tr>
      <w:tr w:rsidR="00F36B67" w:rsidRPr="00F36B67" w14:paraId="6643E01F" w14:textId="77777777" w:rsidTr="00F36B67">
        <w:tc>
          <w:tcPr>
            <w:tcW w:w="0" w:type="auto"/>
            <w:hideMark/>
          </w:tcPr>
          <w:p w14:paraId="7E0FE12C"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Pregnancy / maternity</w:t>
            </w:r>
          </w:p>
        </w:tc>
        <w:tc>
          <w:tcPr>
            <w:tcW w:w="0" w:type="auto"/>
            <w:hideMark/>
          </w:tcPr>
          <w:p w14:paraId="423E4933"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6A8AF8E0"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Protects households where ASB affects family safety and wellbeing.</w:t>
            </w:r>
          </w:p>
        </w:tc>
        <w:tc>
          <w:tcPr>
            <w:tcW w:w="0" w:type="auto"/>
            <w:hideMark/>
          </w:tcPr>
          <w:p w14:paraId="707A90EC"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Consider household circumstances in case planning.</w:t>
            </w:r>
          </w:p>
        </w:tc>
        <w:tc>
          <w:tcPr>
            <w:tcW w:w="0" w:type="auto"/>
            <w:hideMark/>
          </w:tcPr>
          <w:p w14:paraId="2916AEFD"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3669B72C" w14:textId="77777777" w:rsidTr="00F36B67">
        <w:tc>
          <w:tcPr>
            <w:tcW w:w="0" w:type="auto"/>
            <w:hideMark/>
          </w:tcPr>
          <w:p w14:paraId="54F9F8A6"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Race</w:t>
            </w:r>
          </w:p>
        </w:tc>
        <w:tc>
          <w:tcPr>
            <w:tcW w:w="0" w:type="auto"/>
            <w:hideMark/>
          </w:tcPr>
          <w:p w14:paraId="14C4EE05"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61EBF70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Supports response to hate incidents and racially motivated ASB.</w:t>
            </w:r>
          </w:p>
        </w:tc>
        <w:tc>
          <w:tcPr>
            <w:tcW w:w="0" w:type="auto"/>
            <w:hideMark/>
          </w:tcPr>
          <w:p w14:paraId="346FBC4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Link to hate crime procedures and monitoring.</w:t>
            </w:r>
          </w:p>
        </w:tc>
        <w:tc>
          <w:tcPr>
            <w:tcW w:w="0" w:type="auto"/>
            <w:hideMark/>
          </w:tcPr>
          <w:p w14:paraId="3D95C9C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646BF172" w14:textId="77777777" w:rsidTr="00F36B67">
        <w:tc>
          <w:tcPr>
            <w:tcW w:w="0" w:type="auto"/>
            <w:hideMark/>
          </w:tcPr>
          <w:p w14:paraId="10A4E675"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Religion / belief</w:t>
            </w:r>
          </w:p>
        </w:tc>
        <w:tc>
          <w:tcPr>
            <w:tcW w:w="0" w:type="auto"/>
            <w:hideMark/>
          </w:tcPr>
          <w:p w14:paraId="2129D752"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5D361CD5"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Neutral impact identified.</w:t>
            </w:r>
          </w:p>
        </w:tc>
        <w:tc>
          <w:tcPr>
            <w:tcW w:w="0" w:type="auto"/>
            <w:hideMark/>
          </w:tcPr>
          <w:p w14:paraId="7FFD127C"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Equality</w:t>
            </w:r>
            <w:r w:rsidRPr="00F36B67">
              <w:rPr>
                <w:rFonts w:ascii="Arial" w:eastAsia="Times New Roman" w:hAnsi="Arial" w:cs="Arial"/>
                <w:sz w:val="24"/>
                <w:szCs w:val="24"/>
                <w:lang w:eastAsia="en-GB"/>
              </w:rPr>
              <w:noBreakHyphen/>
              <w:t>aware practice.</w:t>
            </w:r>
          </w:p>
        </w:tc>
        <w:tc>
          <w:tcPr>
            <w:tcW w:w="0" w:type="auto"/>
            <w:hideMark/>
          </w:tcPr>
          <w:p w14:paraId="2ABB0999"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3365C730" w14:textId="77777777" w:rsidTr="00F36B67">
        <w:tc>
          <w:tcPr>
            <w:tcW w:w="0" w:type="auto"/>
            <w:hideMark/>
          </w:tcPr>
          <w:p w14:paraId="1C1A8B77"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Sex</w:t>
            </w:r>
          </w:p>
        </w:tc>
        <w:tc>
          <w:tcPr>
            <w:tcW w:w="0" w:type="auto"/>
            <w:hideMark/>
          </w:tcPr>
          <w:p w14:paraId="41652108"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5FB110B6"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Neutral impact.</w:t>
            </w:r>
          </w:p>
        </w:tc>
        <w:tc>
          <w:tcPr>
            <w:tcW w:w="0" w:type="auto"/>
            <w:hideMark/>
          </w:tcPr>
          <w:p w14:paraId="26DB0A08"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Monitor case outcomes.</w:t>
            </w:r>
          </w:p>
        </w:tc>
        <w:tc>
          <w:tcPr>
            <w:tcW w:w="0" w:type="auto"/>
            <w:hideMark/>
          </w:tcPr>
          <w:p w14:paraId="3C1CAEAC"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4DA7C726" w14:textId="77777777" w:rsidTr="00F36B67">
        <w:tc>
          <w:tcPr>
            <w:tcW w:w="0" w:type="auto"/>
            <w:hideMark/>
          </w:tcPr>
          <w:p w14:paraId="629759F2"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Sexual orientation</w:t>
            </w:r>
          </w:p>
        </w:tc>
        <w:tc>
          <w:tcPr>
            <w:tcW w:w="0" w:type="auto"/>
            <w:hideMark/>
          </w:tcPr>
          <w:p w14:paraId="63628D20"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56CCFA43"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Neutral impact.</w:t>
            </w:r>
          </w:p>
        </w:tc>
        <w:tc>
          <w:tcPr>
            <w:tcW w:w="0" w:type="auto"/>
            <w:hideMark/>
          </w:tcPr>
          <w:p w14:paraId="10A9BCED"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Inclusive and respectful practice.</w:t>
            </w:r>
          </w:p>
        </w:tc>
        <w:tc>
          <w:tcPr>
            <w:tcW w:w="0" w:type="auto"/>
            <w:hideMark/>
          </w:tcPr>
          <w:p w14:paraId="5AC188BE"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1323F129" w14:textId="77777777" w:rsidTr="00F36B67">
        <w:tc>
          <w:tcPr>
            <w:tcW w:w="0" w:type="auto"/>
            <w:hideMark/>
          </w:tcPr>
          <w:p w14:paraId="388FECC0"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Carer</w:t>
            </w:r>
          </w:p>
        </w:tc>
        <w:tc>
          <w:tcPr>
            <w:tcW w:w="0" w:type="auto"/>
            <w:hideMark/>
          </w:tcPr>
          <w:p w14:paraId="047A4377"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617AEB2B"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Reduces ASB</w:t>
            </w:r>
            <w:r w:rsidRPr="00F36B67">
              <w:rPr>
                <w:rFonts w:ascii="Arial" w:eastAsia="Times New Roman" w:hAnsi="Arial" w:cs="Arial"/>
                <w:sz w:val="24"/>
                <w:szCs w:val="24"/>
                <w:lang w:eastAsia="en-GB"/>
              </w:rPr>
              <w:noBreakHyphen/>
              <w:t>related harm affecting carers and dependants.</w:t>
            </w:r>
          </w:p>
        </w:tc>
        <w:tc>
          <w:tcPr>
            <w:tcW w:w="0" w:type="auto"/>
            <w:hideMark/>
          </w:tcPr>
          <w:p w14:paraId="439CC0A4"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Take caring responsibilities into account.</w:t>
            </w:r>
          </w:p>
        </w:tc>
        <w:tc>
          <w:tcPr>
            <w:tcW w:w="0" w:type="auto"/>
            <w:hideMark/>
          </w:tcPr>
          <w:p w14:paraId="6F971C42"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24413F84" w14:textId="77777777" w:rsidTr="00F36B67">
        <w:tc>
          <w:tcPr>
            <w:tcW w:w="0" w:type="auto"/>
            <w:hideMark/>
          </w:tcPr>
          <w:p w14:paraId="64E77BFF" w14:textId="2ADC983C" w:rsidR="00F36B67" w:rsidRPr="00F36B67" w:rsidRDefault="00F74B96"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Low-income</w:t>
            </w:r>
            <w:r w:rsidR="00F36B67" w:rsidRPr="00F36B67">
              <w:rPr>
                <w:rFonts w:ascii="Arial" w:eastAsia="Times New Roman" w:hAnsi="Arial" w:cs="Arial"/>
                <w:sz w:val="24"/>
                <w:szCs w:val="24"/>
                <w:lang w:eastAsia="en-GB"/>
              </w:rPr>
              <w:t xml:space="preserve"> groups</w:t>
            </w:r>
          </w:p>
        </w:tc>
        <w:tc>
          <w:tcPr>
            <w:tcW w:w="0" w:type="auto"/>
            <w:hideMark/>
          </w:tcPr>
          <w:p w14:paraId="1F8CD82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794C327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Protects households more likely to be affected by neighbourhood ASB.</w:t>
            </w:r>
          </w:p>
        </w:tc>
        <w:tc>
          <w:tcPr>
            <w:tcW w:w="0" w:type="auto"/>
            <w:hideMark/>
          </w:tcPr>
          <w:p w14:paraId="7B380BB0"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Early intervention and support.</w:t>
            </w:r>
          </w:p>
        </w:tc>
        <w:tc>
          <w:tcPr>
            <w:tcW w:w="0" w:type="auto"/>
            <w:hideMark/>
          </w:tcPr>
          <w:p w14:paraId="30255BD8"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r w:rsidR="00F36B67" w:rsidRPr="00F36B67" w14:paraId="3152D8FE" w14:textId="77777777" w:rsidTr="00F36B67">
        <w:tc>
          <w:tcPr>
            <w:tcW w:w="0" w:type="auto"/>
            <w:hideMark/>
          </w:tcPr>
          <w:p w14:paraId="762E80D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Veterans / Armed Forces</w:t>
            </w:r>
          </w:p>
        </w:tc>
        <w:tc>
          <w:tcPr>
            <w:tcW w:w="0" w:type="auto"/>
            <w:hideMark/>
          </w:tcPr>
          <w:p w14:paraId="7110D845"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Ne</w:t>
            </w:r>
          </w:p>
        </w:tc>
        <w:tc>
          <w:tcPr>
            <w:tcW w:w="0" w:type="auto"/>
            <w:hideMark/>
          </w:tcPr>
          <w:p w14:paraId="2E45C322"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No specific impacts identified.</w:t>
            </w:r>
          </w:p>
        </w:tc>
        <w:tc>
          <w:tcPr>
            <w:tcW w:w="0" w:type="auto"/>
            <w:hideMark/>
          </w:tcPr>
          <w:p w14:paraId="455BB0C4"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Monitor where relevant.</w:t>
            </w:r>
          </w:p>
        </w:tc>
        <w:tc>
          <w:tcPr>
            <w:tcW w:w="0" w:type="auto"/>
            <w:hideMark/>
          </w:tcPr>
          <w:p w14:paraId="699918A1"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Review 2026</w:t>
            </w:r>
          </w:p>
        </w:tc>
      </w:tr>
      <w:tr w:rsidR="00F36B67" w:rsidRPr="00F36B67" w14:paraId="5944E205" w14:textId="77777777" w:rsidTr="00F36B67">
        <w:tc>
          <w:tcPr>
            <w:tcW w:w="0" w:type="auto"/>
            <w:hideMark/>
          </w:tcPr>
          <w:p w14:paraId="525B4F74"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lastRenderedPageBreak/>
              <w:t>Other (vulnerable households)</w:t>
            </w:r>
          </w:p>
        </w:tc>
        <w:tc>
          <w:tcPr>
            <w:tcW w:w="0" w:type="auto"/>
            <w:hideMark/>
          </w:tcPr>
          <w:p w14:paraId="1404046A"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P</w:t>
            </w:r>
          </w:p>
        </w:tc>
        <w:tc>
          <w:tcPr>
            <w:tcW w:w="0" w:type="auto"/>
            <w:hideMark/>
          </w:tcPr>
          <w:p w14:paraId="7929FFDD"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Strong positive impact through safeguarding and harm</w:t>
            </w:r>
            <w:r w:rsidRPr="00F36B67">
              <w:rPr>
                <w:rFonts w:ascii="Arial" w:eastAsia="Times New Roman" w:hAnsi="Arial" w:cs="Arial"/>
                <w:sz w:val="24"/>
                <w:szCs w:val="24"/>
                <w:lang w:eastAsia="en-GB"/>
              </w:rPr>
              <w:noBreakHyphen/>
              <w:t>focused responses.</w:t>
            </w:r>
          </w:p>
        </w:tc>
        <w:tc>
          <w:tcPr>
            <w:tcW w:w="0" w:type="auto"/>
            <w:hideMark/>
          </w:tcPr>
          <w:p w14:paraId="5B49CBAD"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Ongoing monitoring and referrals.</w:t>
            </w:r>
          </w:p>
        </w:tc>
        <w:tc>
          <w:tcPr>
            <w:tcW w:w="0" w:type="auto"/>
            <w:hideMark/>
          </w:tcPr>
          <w:p w14:paraId="39179892" w14:textId="77777777" w:rsidR="00F36B67" w:rsidRPr="00F36B67" w:rsidRDefault="00F36B67" w:rsidP="00F36B67">
            <w:pPr>
              <w:rPr>
                <w:rFonts w:ascii="Arial" w:eastAsia="Times New Roman" w:hAnsi="Arial" w:cs="Arial"/>
                <w:sz w:val="24"/>
                <w:szCs w:val="24"/>
                <w:lang w:eastAsia="en-GB"/>
              </w:rPr>
            </w:pPr>
            <w:r w:rsidRPr="00F36B67">
              <w:rPr>
                <w:rFonts w:ascii="Arial" w:eastAsia="Times New Roman" w:hAnsi="Arial" w:cs="Arial"/>
                <w:sz w:val="24"/>
                <w:szCs w:val="24"/>
                <w:lang w:eastAsia="en-GB"/>
              </w:rPr>
              <w:t>Housing &amp; Community Safety / Ongoing</w:t>
            </w:r>
          </w:p>
        </w:tc>
      </w:tr>
    </w:tbl>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0"/>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32B3D697" w14:textId="7E57ACE5" w:rsidR="00D76B9C" w:rsidRPr="00094307" w:rsidRDefault="005F5353" w:rsidP="00094307">
            <w:pPr>
              <w:rPr>
                <w:rFonts w:ascii="Arial" w:hAnsi="Arial" w:cs="Arial"/>
                <w:b w:val="0"/>
                <w:bCs w:val="0"/>
                <w:color w:val="000000"/>
                <w:sz w:val="24"/>
                <w:szCs w:val="24"/>
              </w:rPr>
            </w:pPr>
            <w:r w:rsidRPr="005F5353">
              <w:rPr>
                <w:rFonts w:ascii="Arial" w:hAnsi="Arial" w:cs="Arial"/>
                <w:b w:val="0"/>
                <w:bCs w:val="0"/>
                <w:color w:val="000000"/>
                <w:sz w:val="24"/>
                <w:szCs w:val="24"/>
              </w:rPr>
              <w:t>No adverse impacts have been identified that cannot be adequately mitigated through existing safeguards within the policy.</w:t>
            </w: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2CCBE651" w14:textId="77777777" w:rsidR="00743FC9" w:rsidRDefault="00743FC9" w:rsidP="00EC01E1">
            <w:pPr>
              <w:rPr>
                <w:rFonts w:ascii="Arial" w:hAnsi="Arial" w:cs="Arial"/>
                <w:color w:val="000000"/>
                <w:sz w:val="24"/>
                <w:szCs w:val="24"/>
              </w:rPr>
            </w:pPr>
          </w:p>
          <w:p w14:paraId="3640C671" w14:textId="77777777" w:rsidR="007958B5" w:rsidRPr="007958B5" w:rsidRDefault="007958B5" w:rsidP="007958B5">
            <w:pPr>
              <w:rPr>
                <w:rFonts w:ascii="Arial" w:hAnsi="Arial" w:cs="Arial"/>
                <w:b w:val="0"/>
                <w:bCs w:val="0"/>
                <w:color w:val="000000"/>
                <w:sz w:val="24"/>
                <w:szCs w:val="24"/>
              </w:rPr>
            </w:pPr>
            <w:r w:rsidRPr="007958B5">
              <w:rPr>
                <w:rFonts w:ascii="Arial" w:hAnsi="Arial" w:cs="Arial"/>
                <w:b w:val="0"/>
                <w:bCs w:val="0"/>
                <w:color w:val="000000"/>
                <w:sz w:val="24"/>
                <w:szCs w:val="24"/>
              </w:rPr>
              <w:t>Approval of the Anti</w:t>
            </w:r>
            <w:r w:rsidRPr="007958B5">
              <w:rPr>
                <w:rFonts w:ascii="Arial" w:hAnsi="Arial" w:cs="Arial"/>
                <w:b w:val="0"/>
                <w:bCs w:val="0"/>
                <w:color w:val="000000"/>
                <w:sz w:val="24"/>
                <w:szCs w:val="24"/>
              </w:rPr>
              <w:noBreakHyphen/>
              <w:t>Social Behaviour (ASB) Policy to support a fair, lawful and proportionate approach to preventing and responding to ASB, reducing harm and promoting safer, more cohesive communities across the borough.</w:t>
            </w:r>
          </w:p>
          <w:p w14:paraId="44525FA1" w14:textId="0A816673" w:rsidR="00833579" w:rsidRPr="008521F3" w:rsidRDefault="00833579" w:rsidP="007958B5">
            <w:pPr>
              <w:rPr>
                <w:rFonts w:ascii="Arial" w:hAnsi="Arial" w:cs="Arial"/>
                <w:b w:val="0"/>
                <w:bCs w:val="0"/>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5711A" w14:textId="77777777" w:rsidR="00743FC9" w:rsidRPr="00D76B9C" w:rsidRDefault="00743FC9" w:rsidP="00EC01E1">
            <w:pPr>
              <w:rPr>
                <w:rFonts w:ascii="Arial" w:hAnsi="Arial" w:cs="Arial"/>
                <w:color w:val="000000"/>
                <w:sz w:val="24"/>
                <w:szCs w:val="24"/>
              </w:rPr>
            </w:pPr>
          </w:p>
          <w:p w14:paraId="7D7362D5" w14:textId="7D334E31" w:rsidR="00B44042" w:rsidRPr="00B44042" w:rsidRDefault="00B44042" w:rsidP="00B44042">
            <w:pPr>
              <w:pStyle w:val="ListParagraph"/>
              <w:numPr>
                <w:ilvl w:val="0"/>
                <w:numId w:val="40"/>
              </w:numPr>
              <w:rPr>
                <w:rFonts w:ascii="Arial" w:hAnsi="Arial" w:cs="Arial"/>
                <w:b w:val="0"/>
                <w:bCs w:val="0"/>
                <w:color w:val="000000"/>
                <w:sz w:val="24"/>
                <w:szCs w:val="24"/>
              </w:rPr>
            </w:pPr>
            <w:r w:rsidRPr="00B44042">
              <w:rPr>
                <w:rFonts w:ascii="Arial" w:hAnsi="Arial" w:cs="Arial"/>
                <w:b w:val="0"/>
                <w:bCs w:val="0"/>
                <w:color w:val="000000"/>
                <w:sz w:val="24"/>
                <w:szCs w:val="24"/>
              </w:rPr>
              <w:t xml:space="preserve">Ongoing monitoring of ASB cases, outcomes and patterns </w:t>
            </w:r>
          </w:p>
          <w:p w14:paraId="4EA38834" w14:textId="7AF32D57" w:rsidR="00B44042" w:rsidRPr="00B44042" w:rsidRDefault="00B44042" w:rsidP="00B44042">
            <w:pPr>
              <w:pStyle w:val="ListParagraph"/>
              <w:numPr>
                <w:ilvl w:val="0"/>
                <w:numId w:val="40"/>
              </w:numPr>
              <w:rPr>
                <w:rFonts w:ascii="Arial" w:hAnsi="Arial" w:cs="Arial"/>
                <w:b w:val="0"/>
                <w:bCs w:val="0"/>
                <w:color w:val="000000"/>
                <w:sz w:val="24"/>
                <w:szCs w:val="24"/>
              </w:rPr>
            </w:pPr>
            <w:r w:rsidRPr="00B44042">
              <w:rPr>
                <w:rFonts w:ascii="Arial" w:hAnsi="Arial" w:cs="Arial"/>
                <w:b w:val="0"/>
                <w:bCs w:val="0"/>
                <w:color w:val="000000"/>
                <w:sz w:val="24"/>
                <w:szCs w:val="24"/>
              </w:rPr>
              <w:t xml:space="preserve">Review of complaints, Case Reviews (Community Trigger) and Ombudsman findings </w:t>
            </w:r>
          </w:p>
          <w:p w14:paraId="72AD126C" w14:textId="67184AC3" w:rsidR="00B44042" w:rsidRPr="00B44042" w:rsidRDefault="00B44042" w:rsidP="00B44042">
            <w:pPr>
              <w:pStyle w:val="ListParagraph"/>
              <w:numPr>
                <w:ilvl w:val="0"/>
                <w:numId w:val="40"/>
              </w:numPr>
              <w:rPr>
                <w:rFonts w:ascii="Arial" w:hAnsi="Arial" w:cs="Arial"/>
                <w:b w:val="0"/>
                <w:bCs w:val="0"/>
                <w:color w:val="000000"/>
                <w:sz w:val="24"/>
                <w:szCs w:val="24"/>
              </w:rPr>
            </w:pPr>
            <w:r w:rsidRPr="00B44042">
              <w:rPr>
                <w:rFonts w:ascii="Arial" w:hAnsi="Arial" w:cs="Arial"/>
                <w:b w:val="0"/>
                <w:bCs w:val="0"/>
                <w:color w:val="000000"/>
                <w:sz w:val="24"/>
                <w:szCs w:val="24"/>
              </w:rPr>
              <w:t xml:space="preserve">Annual policy review to reflect legislative changes and learning </w:t>
            </w:r>
          </w:p>
          <w:p w14:paraId="74A8A9C6" w14:textId="2DA1C121" w:rsidR="00B44042" w:rsidRPr="00B44042" w:rsidRDefault="00B44042" w:rsidP="00B44042">
            <w:pPr>
              <w:pStyle w:val="ListParagraph"/>
              <w:numPr>
                <w:ilvl w:val="0"/>
                <w:numId w:val="40"/>
              </w:numPr>
              <w:rPr>
                <w:rFonts w:ascii="Arial" w:hAnsi="Arial" w:cs="Arial"/>
                <w:b w:val="0"/>
                <w:bCs w:val="0"/>
                <w:color w:val="000000"/>
                <w:sz w:val="24"/>
                <w:szCs w:val="24"/>
              </w:rPr>
            </w:pPr>
            <w:r w:rsidRPr="00B44042">
              <w:rPr>
                <w:rFonts w:ascii="Arial" w:hAnsi="Arial" w:cs="Arial"/>
                <w:b w:val="0"/>
                <w:bCs w:val="0"/>
                <w:color w:val="000000"/>
                <w:sz w:val="24"/>
                <w:szCs w:val="24"/>
              </w:rPr>
              <w:t>Reporting through internal governance and partnership forums</w:t>
            </w:r>
          </w:p>
          <w:p w14:paraId="60E6FA12" w14:textId="737C909C" w:rsidR="005F5353" w:rsidRPr="00D76B9C" w:rsidRDefault="005F5353" w:rsidP="00B44042">
            <w:pPr>
              <w:rPr>
                <w:rFonts w:ascii="Arial" w:hAnsi="Arial" w:cs="Arial"/>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7EAB111C" w14:textId="77777777" w:rsidR="009E7427" w:rsidRDefault="002132A1" w:rsidP="00AA13FC">
            <w:pPr>
              <w:spacing w:before="120" w:after="120"/>
              <w:rPr>
                <w:rFonts w:ascii="Arial" w:hAnsi="Arial" w:cs="Arial"/>
                <w:b w:val="0"/>
                <w:bCs w:val="0"/>
                <w:sz w:val="24"/>
                <w:szCs w:val="24"/>
              </w:rPr>
            </w:pPr>
            <w:r w:rsidRPr="00D76B9C">
              <w:rPr>
                <w:rFonts w:ascii="Arial" w:hAnsi="Arial" w:cs="Arial"/>
                <w:sz w:val="24"/>
                <w:szCs w:val="24"/>
              </w:rPr>
              <w:lastRenderedPageBreak/>
              <w:t xml:space="preserve">Section 8 Action planning (if required) </w:t>
            </w:r>
          </w:p>
          <w:p w14:paraId="5BDA0A24" w14:textId="4FF09E79" w:rsidR="005F5353" w:rsidRPr="005F5353" w:rsidRDefault="005F5353" w:rsidP="00AA13FC">
            <w:pPr>
              <w:spacing w:before="120" w:after="120"/>
              <w:rPr>
                <w:rFonts w:ascii="Arial" w:hAnsi="Arial" w:cs="Arial"/>
                <w:b w:val="0"/>
                <w:bCs w:val="0"/>
                <w:sz w:val="24"/>
                <w:szCs w:val="24"/>
              </w:rPr>
            </w:pPr>
            <w:r w:rsidRPr="005F5353">
              <w:rPr>
                <w:rFonts w:ascii="Arial" w:hAnsi="Arial" w:cs="Arial"/>
                <w:b w:val="0"/>
                <w:bCs w:val="0"/>
                <w:sz w:val="24"/>
                <w:szCs w:val="24"/>
              </w:rPr>
              <w:t>Not required at this stage.</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7812" w14:textId="77777777" w:rsidR="005024A1" w:rsidRDefault="005024A1">
      <w:pPr>
        <w:spacing w:after="0" w:line="240" w:lineRule="auto"/>
      </w:pPr>
      <w:r>
        <w:separator/>
      </w:r>
    </w:p>
  </w:endnote>
  <w:endnote w:type="continuationSeparator" w:id="0">
    <w:p w14:paraId="026D1C17" w14:textId="77777777" w:rsidR="005024A1" w:rsidRDefault="0050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5024A1">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5024A1">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0B8D6" w14:textId="77777777" w:rsidR="005024A1" w:rsidRDefault="005024A1">
      <w:pPr>
        <w:spacing w:after="0" w:line="240" w:lineRule="auto"/>
      </w:pPr>
      <w:r>
        <w:separator/>
      </w:r>
    </w:p>
  </w:footnote>
  <w:footnote w:type="continuationSeparator" w:id="0">
    <w:p w14:paraId="3D0713BB" w14:textId="77777777" w:rsidR="005024A1" w:rsidRDefault="00502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FB8"/>
    <w:multiLevelType w:val="multilevel"/>
    <w:tmpl w:val="3746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55CF"/>
    <w:multiLevelType w:val="multilevel"/>
    <w:tmpl w:val="59EE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341A0"/>
    <w:multiLevelType w:val="multilevel"/>
    <w:tmpl w:val="A6B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C29DD"/>
    <w:multiLevelType w:val="multilevel"/>
    <w:tmpl w:val="5A4C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054121"/>
    <w:multiLevelType w:val="multilevel"/>
    <w:tmpl w:val="A808D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392D42"/>
    <w:multiLevelType w:val="multilevel"/>
    <w:tmpl w:val="F5A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15803"/>
    <w:multiLevelType w:val="multilevel"/>
    <w:tmpl w:val="8D9E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C66C2"/>
    <w:multiLevelType w:val="hybridMultilevel"/>
    <w:tmpl w:val="CE26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95397"/>
    <w:multiLevelType w:val="multilevel"/>
    <w:tmpl w:val="0A2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502C2"/>
    <w:multiLevelType w:val="multilevel"/>
    <w:tmpl w:val="0DF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F4E31"/>
    <w:multiLevelType w:val="multilevel"/>
    <w:tmpl w:val="D666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57463"/>
    <w:multiLevelType w:val="multilevel"/>
    <w:tmpl w:val="A76C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D248A0"/>
    <w:multiLevelType w:val="multilevel"/>
    <w:tmpl w:val="F08E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E71122"/>
    <w:multiLevelType w:val="hybridMultilevel"/>
    <w:tmpl w:val="07524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DC18D9"/>
    <w:multiLevelType w:val="multilevel"/>
    <w:tmpl w:val="F66A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DB4160"/>
    <w:multiLevelType w:val="multilevel"/>
    <w:tmpl w:val="6F6E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D0C9D"/>
    <w:multiLevelType w:val="multilevel"/>
    <w:tmpl w:val="3BA0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94E11"/>
    <w:multiLevelType w:val="multilevel"/>
    <w:tmpl w:val="2A96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8849D7"/>
    <w:multiLevelType w:val="multilevel"/>
    <w:tmpl w:val="1B7A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42758"/>
    <w:multiLevelType w:val="multilevel"/>
    <w:tmpl w:val="344A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733A5"/>
    <w:multiLevelType w:val="hybridMultilevel"/>
    <w:tmpl w:val="FB84B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5C7B53"/>
    <w:multiLevelType w:val="multilevel"/>
    <w:tmpl w:val="E70A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27949"/>
    <w:multiLevelType w:val="multilevel"/>
    <w:tmpl w:val="66BA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4514E"/>
    <w:multiLevelType w:val="multilevel"/>
    <w:tmpl w:val="BEEC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92670"/>
    <w:multiLevelType w:val="multilevel"/>
    <w:tmpl w:val="BAEE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76910"/>
    <w:multiLevelType w:val="hybridMultilevel"/>
    <w:tmpl w:val="8EAE1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9257D4"/>
    <w:multiLevelType w:val="multilevel"/>
    <w:tmpl w:val="6DE8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35A1A"/>
    <w:multiLevelType w:val="multilevel"/>
    <w:tmpl w:val="D2AA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112232"/>
    <w:multiLevelType w:val="hybridMultilevel"/>
    <w:tmpl w:val="142AF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8A01CE"/>
    <w:multiLevelType w:val="multilevel"/>
    <w:tmpl w:val="AF20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ED371F"/>
    <w:multiLevelType w:val="multilevel"/>
    <w:tmpl w:val="C7D2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4E4E27"/>
    <w:multiLevelType w:val="multilevel"/>
    <w:tmpl w:val="DEB8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84548"/>
    <w:multiLevelType w:val="multilevel"/>
    <w:tmpl w:val="4F9C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006AC"/>
    <w:multiLevelType w:val="multilevel"/>
    <w:tmpl w:val="67F6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013318"/>
    <w:multiLevelType w:val="multilevel"/>
    <w:tmpl w:val="C6EA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C44E34"/>
    <w:multiLevelType w:val="multilevel"/>
    <w:tmpl w:val="D05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CD639D"/>
    <w:multiLevelType w:val="multilevel"/>
    <w:tmpl w:val="6E8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BB7BF1"/>
    <w:multiLevelType w:val="multilevel"/>
    <w:tmpl w:val="57BE9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B43A2B"/>
    <w:multiLevelType w:val="multilevel"/>
    <w:tmpl w:val="9BB4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514872">
    <w:abstractNumId w:val="4"/>
  </w:num>
  <w:num w:numId="2" w16cid:durableId="1801459941">
    <w:abstractNumId w:val="31"/>
  </w:num>
  <w:num w:numId="3" w16cid:durableId="2030718180">
    <w:abstractNumId w:val="34"/>
  </w:num>
  <w:num w:numId="4" w16cid:durableId="706372844">
    <w:abstractNumId w:val="0"/>
  </w:num>
  <w:num w:numId="5" w16cid:durableId="1314143004">
    <w:abstractNumId w:val="39"/>
  </w:num>
  <w:num w:numId="6" w16cid:durableId="1621766990">
    <w:abstractNumId w:val="30"/>
  </w:num>
  <w:num w:numId="7" w16cid:durableId="904100508">
    <w:abstractNumId w:val="35"/>
  </w:num>
  <w:num w:numId="8" w16cid:durableId="1749185377">
    <w:abstractNumId w:val="2"/>
  </w:num>
  <w:num w:numId="9" w16cid:durableId="1808158572">
    <w:abstractNumId w:val="9"/>
  </w:num>
  <w:num w:numId="10" w16cid:durableId="774978989">
    <w:abstractNumId w:val="16"/>
  </w:num>
  <w:num w:numId="11" w16cid:durableId="345063011">
    <w:abstractNumId w:val="7"/>
  </w:num>
  <w:num w:numId="12" w16cid:durableId="1660427555">
    <w:abstractNumId w:val="25"/>
  </w:num>
  <w:num w:numId="13" w16cid:durableId="1120345104">
    <w:abstractNumId w:val="36"/>
  </w:num>
  <w:num w:numId="14" w16cid:durableId="339162745">
    <w:abstractNumId w:val="22"/>
  </w:num>
  <w:num w:numId="15" w16cid:durableId="520822116">
    <w:abstractNumId w:val="6"/>
  </w:num>
  <w:num w:numId="16" w16cid:durableId="85227733">
    <w:abstractNumId w:val="20"/>
  </w:num>
  <w:num w:numId="17" w16cid:durableId="1564949059">
    <w:abstractNumId w:val="27"/>
  </w:num>
  <w:num w:numId="18" w16cid:durableId="960037438">
    <w:abstractNumId w:val="11"/>
  </w:num>
  <w:num w:numId="19" w16cid:durableId="1777359261">
    <w:abstractNumId w:val="38"/>
  </w:num>
  <w:num w:numId="20" w16cid:durableId="824510185">
    <w:abstractNumId w:val="12"/>
  </w:num>
  <w:num w:numId="21" w16cid:durableId="1001004689">
    <w:abstractNumId w:val="18"/>
  </w:num>
  <w:num w:numId="22" w16cid:durableId="200436410">
    <w:abstractNumId w:val="32"/>
  </w:num>
  <w:num w:numId="23" w16cid:durableId="625935944">
    <w:abstractNumId w:val="17"/>
  </w:num>
  <w:num w:numId="24" w16cid:durableId="1914507412">
    <w:abstractNumId w:val="13"/>
  </w:num>
  <w:num w:numId="25" w16cid:durableId="1408654145">
    <w:abstractNumId w:val="5"/>
  </w:num>
  <w:num w:numId="26" w16cid:durableId="525171295">
    <w:abstractNumId w:val="28"/>
  </w:num>
  <w:num w:numId="27" w16cid:durableId="78330771">
    <w:abstractNumId w:val="37"/>
  </w:num>
  <w:num w:numId="28" w16cid:durableId="914902453">
    <w:abstractNumId w:val="19"/>
  </w:num>
  <w:num w:numId="29" w16cid:durableId="588199802">
    <w:abstractNumId w:val="24"/>
  </w:num>
  <w:num w:numId="30" w16cid:durableId="2102139784">
    <w:abstractNumId w:val="33"/>
  </w:num>
  <w:num w:numId="31" w16cid:durableId="47580618">
    <w:abstractNumId w:val="15"/>
  </w:num>
  <w:num w:numId="32" w16cid:durableId="293142610">
    <w:abstractNumId w:val="23"/>
  </w:num>
  <w:num w:numId="33" w16cid:durableId="461190402">
    <w:abstractNumId w:val="1"/>
  </w:num>
  <w:num w:numId="34" w16cid:durableId="567881224">
    <w:abstractNumId w:val="3"/>
  </w:num>
  <w:num w:numId="35" w16cid:durableId="523711112">
    <w:abstractNumId w:val="21"/>
  </w:num>
  <w:num w:numId="36" w16cid:durableId="2099789608">
    <w:abstractNumId w:val="8"/>
  </w:num>
  <w:num w:numId="37" w16cid:durableId="1365328337">
    <w:abstractNumId w:val="14"/>
  </w:num>
  <w:num w:numId="38" w16cid:durableId="1166363538">
    <w:abstractNumId w:val="10"/>
  </w:num>
  <w:num w:numId="39" w16cid:durableId="1720401962">
    <w:abstractNumId w:val="26"/>
  </w:num>
  <w:num w:numId="40" w16cid:durableId="1525023322">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14B8"/>
    <w:rsid w:val="000616B1"/>
    <w:rsid w:val="00064242"/>
    <w:rsid w:val="00080EA6"/>
    <w:rsid w:val="00094307"/>
    <w:rsid w:val="000B1B36"/>
    <w:rsid w:val="000B75FB"/>
    <w:rsid w:val="000D719B"/>
    <w:rsid w:val="000F6A3C"/>
    <w:rsid w:val="00122E0E"/>
    <w:rsid w:val="001334F1"/>
    <w:rsid w:val="001409C4"/>
    <w:rsid w:val="00144D1E"/>
    <w:rsid w:val="00172B3C"/>
    <w:rsid w:val="00185B12"/>
    <w:rsid w:val="0018690A"/>
    <w:rsid w:val="001944B6"/>
    <w:rsid w:val="001A0831"/>
    <w:rsid w:val="001A0976"/>
    <w:rsid w:val="001A55A9"/>
    <w:rsid w:val="001B7EFF"/>
    <w:rsid w:val="001D4B0D"/>
    <w:rsid w:val="001E7D3C"/>
    <w:rsid w:val="001F041D"/>
    <w:rsid w:val="00200E35"/>
    <w:rsid w:val="002057E1"/>
    <w:rsid w:val="002132A1"/>
    <w:rsid w:val="00232EC5"/>
    <w:rsid w:val="00261487"/>
    <w:rsid w:val="00295462"/>
    <w:rsid w:val="00296A09"/>
    <w:rsid w:val="002B469E"/>
    <w:rsid w:val="002B623A"/>
    <w:rsid w:val="002C0419"/>
    <w:rsid w:val="002D74E2"/>
    <w:rsid w:val="002E35A5"/>
    <w:rsid w:val="002E5165"/>
    <w:rsid w:val="003017DF"/>
    <w:rsid w:val="003025BC"/>
    <w:rsid w:val="003109F1"/>
    <w:rsid w:val="0032299A"/>
    <w:rsid w:val="00331DBF"/>
    <w:rsid w:val="0034541E"/>
    <w:rsid w:val="00353777"/>
    <w:rsid w:val="003539D6"/>
    <w:rsid w:val="0035693F"/>
    <w:rsid w:val="00361500"/>
    <w:rsid w:val="003622EF"/>
    <w:rsid w:val="003624AF"/>
    <w:rsid w:val="00364868"/>
    <w:rsid w:val="00373679"/>
    <w:rsid w:val="0038121A"/>
    <w:rsid w:val="0038401C"/>
    <w:rsid w:val="0039078B"/>
    <w:rsid w:val="003A29A5"/>
    <w:rsid w:val="003C160B"/>
    <w:rsid w:val="003D707B"/>
    <w:rsid w:val="003F1B9E"/>
    <w:rsid w:val="00407D67"/>
    <w:rsid w:val="0043450A"/>
    <w:rsid w:val="00435566"/>
    <w:rsid w:val="00444D6C"/>
    <w:rsid w:val="004531FD"/>
    <w:rsid w:val="00456EB2"/>
    <w:rsid w:val="00461623"/>
    <w:rsid w:val="00466957"/>
    <w:rsid w:val="00470BE2"/>
    <w:rsid w:val="004759CA"/>
    <w:rsid w:val="00480D1D"/>
    <w:rsid w:val="00482FAA"/>
    <w:rsid w:val="00485EC3"/>
    <w:rsid w:val="004A0643"/>
    <w:rsid w:val="004A6273"/>
    <w:rsid w:val="004B5464"/>
    <w:rsid w:val="004C4E48"/>
    <w:rsid w:val="004F12C9"/>
    <w:rsid w:val="004F3726"/>
    <w:rsid w:val="004F5136"/>
    <w:rsid w:val="00500DD6"/>
    <w:rsid w:val="005024A1"/>
    <w:rsid w:val="00502DC4"/>
    <w:rsid w:val="00511217"/>
    <w:rsid w:val="00513A37"/>
    <w:rsid w:val="00521538"/>
    <w:rsid w:val="0053159D"/>
    <w:rsid w:val="0053613C"/>
    <w:rsid w:val="00540440"/>
    <w:rsid w:val="00543A4B"/>
    <w:rsid w:val="00566485"/>
    <w:rsid w:val="00576DAE"/>
    <w:rsid w:val="005912C1"/>
    <w:rsid w:val="005A092A"/>
    <w:rsid w:val="005A0F4C"/>
    <w:rsid w:val="005B1527"/>
    <w:rsid w:val="005C61F8"/>
    <w:rsid w:val="005D4079"/>
    <w:rsid w:val="005F19AD"/>
    <w:rsid w:val="005F2765"/>
    <w:rsid w:val="005F5353"/>
    <w:rsid w:val="006066DA"/>
    <w:rsid w:val="006176F9"/>
    <w:rsid w:val="00623775"/>
    <w:rsid w:val="00631F42"/>
    <w:rsid w:val="0063437F"/>
    <w:rsid w:val="00663A48"/>
    <w:rsid w:val="00666789"/>
    <w:rsid w:val="006959C1"/>
    <w:rsid w:val="006A4479"/>
    <w:rsid w:val="006C3AA3"/>
    <w:rsid w:val="006D3537"/>
    <w:rsid w:val="006E4905"/>
    <w:rsid w:val="006F0471"/>
    <w:rsid w:val="00712FDD"/>
    <w:rsid w:val="00737E3E"/>
    <w:rsid w:val="00743FC9"/>
    <w:rsid w:val="00761A7E"/>
    <w:rsid w:val="00774515"/>
    <w:rsid w:val="007907D3"/>
    <w:rsid w:val="007958B5"/>
    <w:rsid w:val="007965E2"/>
    <w:rsid w:val="007A0373"/>
    <w:rsid w:val="007A437B"/>
    <w:rsid w:val="007B3C5E"/>
    <w:rsid w:val="007E2429"/>
    <w:rsid w:val="007F7D4F"/>
    <w:rsid w:val="00806078"/>
    <w:rsid w:val="008153AD"/>
    <w:rsid w:val="00831CE3"/>
    <w:rsid w:val="00833579"/>
    <w:rsid w:val="00835A85"/>
    <w:rsid w:val="008457EC"/>
    <w:rsid w:val="008477EF"/>
    <w:rsid w:val="008521F3"/>
    <w:rsid w:val="00882275"/>
    <w:rsid w:val="00891164"/>
    <w:rsid w:val="008A1AAD"/>
    <w:rsid w:val="008B1F32"/>
    <w:rsid w:val="008C1378"/>
    <w:rsid w:val="008C5061"/>
    <w:rsid w:val="008E76D6"/>
    <w:rsid w:val="008F70F5"/>
    <w:rsid w:val="00902772"/>
    <w:rsid w:val="00906EFA"/>
    <w:rsid w:val="00937730"/>
    <w:rsid w:val="009405AC"/>
    <w:rsid w:val="0094338B"/>
    <w:rsid w:val="00950916"/>
    <w:rsid w:val="00961018"/>
    <w:rsid w:val="00961D7F"/>
    <w:rsid w:val="009A7AAD"/>
    <w:rsid w:val="009B1AC7"/>
    <w:rsid w:val="009D272B"/>
    <w:rsid w:val="009D5DEA"/>
    <w:rsid w:val="009D6D56"/>
    <w:rsid w:val="009E4F1E"/>
    <w:rsid w:val="009E7427"/>
    <w:rsid w:val="00A06F5E"/>
    <w:rsid w:val="00A31D8E"/>
    <w:rsid w:val="00A36C1D"/>
    <w:rsid w:val="00A447BB"/>
    <w:rsid w:val="00A626DD"/>
    <w:rsid w:val="00A954CE"/>
    <w:rsid w:val="00AA13FC"/>
    <w:rsid w:val="00AB4AD6"/>
    <w:rsid w:val="00AB5523"/>
    <w:rsid w:val="00AC1CCF"/>
    <w:rsid w:val="00AC2A17"/>
    <w:rsid w:val="00AE16CF"/>
    <w:rsid w:val="00AE2E51"/>
    <w:rsid w:val="00AE740A"/>
    <w:rsid w:val="00AF123C"/>
    <w:rsid w:val="00B00E4E"/>
    <w:rsid w:val="00B10D00"/>
    <w:rsid w:val="00B15655"/>
    <w:rsid w:val="00B251FD"/>
    <w:rsid w:val="00B2622A"/>
    <w:rsid w:val="00B31B99"/>
    <w:rsid w:val="00B43C30"/>
    <w:rsid w:val="00B44042"/>
    <w:rsid w:val="00B51B2D"/>
    <w:rsid w:val="00B7344A"/>
    <w:rsid w:val="00BA57D2"/>
    <w:rsid w:val="00BB6040"/>
    <w:rsid w:val="00BC71A1"/>
    <w:rsid w:val="00BD303C"/>
    <w:rsid w:val="00C00FEE"/>
    <w:rsid w:val="00C04E18"/>
    <w:rsid w:val="00C10B1A"/>
    <w:rsid w:val="00C12B20"/>
    <w:rsid w:val="00C1632F"/>
    <w:rsid w:val="00C16790"/>
    <w:rsid w:val="00C17792"/>
    <w:rsid w:val="00C2011A"/>
    <w:rsid w:val="00C2391F"/>
    <w:rsid w:val="00C23EDB"/>
    <w:rsid w:val="00C30432"/>
    <w:rsid w:val="00C37280"/>
    <w:rsid w:val="00C40203"/>
    <w:rsid w:val="00C6435D"/>
    <w:rsid w:val="00C67F69"/>
    <w:rsid w:val="00C763B4"/>
    <w:rsid w:val="00C77113"/>
    <w:rsid w:val="00C90268"/>
    <w:rsid w:val="00C958D2"/>
    <w:rsid w:val="00C97710"/>
    <w:rsid w:val="00CA12DB"/>
    <w:rsid w:val="00CB0F7A"/>
    <w:rsid w:val="00CB3E4E"/>
    <w:rsid w:val="00CD66DA"/>
    <w:rsid w:val="00CE3123"/>
    <w:rsid w:val="00CE6E83"/>
    <w:rsid w:val="00CE7F75"/>
    <w:rsid w:val="00D0155F"/>
    <w:rsid w:val="00D12407"/>
    <w:rsid w:val="00D20453"/>
    <w:rsid w:val="00D40610"/>
    <w:rsid w:val="00D4123F"/>
    <w:rsid w:val="00D613E7"/>
    <w:rsid w:val="00D61909"/>
    <w:rsid w:val="00D6195F"/>
    <w:rsid w:val="00D76B9C"/>
    <w:rsid w:val="00DA4C51"/>
    <w:rsid w:val="00DA711C"/>
    <w:rsid w:val="00DD077A"/>
    <w:rsid w:val="00DD0898"/>
    <w:rsid w:val="00DF49FA"/>
    <w:rsid w:val="00DF7731"/>
    <w:rsid w:val="00E125A1"/>
    <w:rsid w:val="00E21C0A"/>
    <w:rsid w:val="00E221AC"/>
    <w:rsid w:val="00E35825"/>
    <w:rsid w:val="00E36033"/>
    <w:rsid w:val="00E36CCA"/>
    <w:rsid w:val="00E4161F"/>
    <w:rsid w:val="00E433FE"/>
    <w:rsid w:val="00E477AA"/>
    <w:rsid w:val="00E50083"/>
    <w:rsid w:val="00E55E06"/>
    <w:rsid w:val="00E70EE1"/>
    <w:rsid w:val="00E71810"/>
    <w:rsid w:val="00E87057"/>
    <w:rsid w:val="00E92B76"/>
    <w:rsid w:val="00EA10AD"/>
    <w:rsid w:val="00EB3AD8"/>
    <w:rsid w:val="00EB4081"/>
    <w:rsid w:val="00EB6FE0"/>
    <w:rsid w:val="00EC01E1"/>
    <w:rsid w:val="00ED21ED"/>
    <w:rsid w:val="00EE1268"/>
    <w:rsid w:val="00EE252D"/>
    <w:rsid w:val="00EF5C32"/>
    <w:rsid w:val="00F26601"/>
    <w:rsid w:val="00F30BB4"/>
    <w:rsid w:val="00F36B67"/>
    <w:rsid w:val="00F53CB2"/>
    <w:rsid w:val="00F71DDB"/>
    <w:rsid w:val="00F73647"/>
    <w:rsid w:val="00F74B96"/>
    <w:rsid w:val="00F753DF"/>
    <w:rsid w:val="00F85779"/>
    <w:rsid w:val="00F85C76"/>
    <w:rsid w:val="00F90EFE"/>
    <w:rsid w:val="00FA0B1B"/>
    <w:rsid w:val="00FA297C"/>
    <w:rsid w:val="00FB0585"/>
    <w:rsid w:val="00FB1511"/>
    <w:rsid w:val="00FD2BE0"/>
    <w:rsid w:val="00FD6E87"/>
    <w:rsid w:val="00FE0230"/>
    <w:rsid w:val="00FE418A"/>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771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A5B9A8A7-D059-4D62-AEAA-53673EE91ACF}">
  <ds:schemaRefs>
    <ds:schemaRef ds:uri="http://schemas.microsoft.com/sharepoint/v3/contenttype/forms"/>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2</cp:revision>
  <dcterms:created xsi:type="dcterms:W3CDTF">2026-07-24T17:34:00Z</dcterms:created>
  <dcterms:modified xsi:type="dcterms:W3CDTF">2026-07-24T17:34:00Z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