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AAFE4" w14:textId="326FD16A" w:rsidR="00DE2676" w:rsidRPr="00DD7CAE" w:rsidRDefault="00713D9E" w:rsidP="00FE774C">
      <w:pPr>
        <w:spacing w:after="0" w:line="240" w:lineRule="auto"/>
        <w:jc w:val="center"/>
        <w:textAlignment w:val="baseline"/>
        <w:rPr>
          <w:rFonts w:ascii="Segoe UI" w:eastAsia="Times New Roman" w:hAnsi="Segoe UI" w:cs="Segoe UI"/>
          <w:b/>
          <w:bCs/>
          <w:color w:val="000000"/>
          <w:sz w:val="72"/>
          <w:szCs w:val="72"/>
          <w:lang w:eastAsia="en-GB"/>
        </w:rPr>
      </w:pPr>
      <w:r>
        <w:rPr>
          <w:rFonts w:ascii="Arial" w:eastAsia="Times New Roman" w:hAnsi="Arial" w:cs="Arial"/>
          <w:b/>
          <w:bCs/>
          <w:color w:val="000000"/>
          <w:sz w:val="72"/>
          <w:szCs w:val="72"/>
          <w:lang w:eastAsia="en-GB"/>
        </w:rPr>
        <w:t xml:space="preserve">Property </w:t>
      </w:r>
      <w:r w:rsidR="00544D8A">
        <w:rPr>
          <w:rFonts w:ascii="Arial" w:eastAsia="Times New Roman" w:hAnsi="Arial" w:cs="Arial"/>
          <w:b/>
          <w:bCs/>
          <w:color w:val="000000"/>
          <w:sz w:val="72"/>
          <w:szCs w:val="72"/>
          <w:lang w:eastAsia="en-GB"/>
        </w:rPr>
        <w:t>Succession</w:t>
      </w:r>
      <w:r w:rsidR="00E87026">
        <w:rPr>
          <w:rFonts w:ascii="Arial" w:eastAsia="Times New Roman" w:hAnsi="Arial" w:cs="Arial"/>
          <w:b/>
          <w:bCs/>
          <w:color w:val="000000"/>
          <w:sz w:val="72"/>
          <w:szCs w:val="72"/>
          <w:lang w:eastAsia="en-GB"/>
        </w:rPr>
        <w:t xml:space="preserve"> Policy</w:t>
      </w:r>
    </w:p>
    <w:p w14:paraId="5B35B072" w14:textId="5EE834C6" w:rsidR="00FE774C" w:rsidRDefault="00E87026"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21759D05" wp14:editId="381595B2">
            <wp:extent cx="573151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78399EC1" w14:textId="6C3201F5" w:rsidR="00FE774C" w:rsidRDefault="00E87026" w:rsidP="0085070B">
      <w:pPr>
        <w:spacing w:after="0" w:line="240" w:lineRule="auto"/>
        <w:textAlignment w:val="baseline"/>
        <w:rPr>
          <w:rFonts w:ascii="Segoe UI" w:eastAsia="Times New Roman" w:hAnsi="Segoe UI" w:cs="Segoe UI"/>
          <w:b/>
          <w:bCs/>
          <w:color w:val="000000"/>
          <w:sz w:val="18"/>
          <w:szCs w:val="18"/>
          <w:u w:val="single"/>
          <w:lang w:eastAsia="en-GB"/>
        </w:rPr>
      </w:pPr>
      <w:r w:rsidRPr="00DD7CAE">
        <w:rPr>
          <w:noProof/>
        </w:rPr>
        <w:drawing>
          <wp:inline distT="0" distB="0" distL="0" distR="0" wp14:anchorId="2F1C8F14" wp14:editId="75A9BBB1">
            <wp:extent cx="573151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1510" cy="171450"/>
                    </a:xfrm>
                    <a:prstGeom prst="rect">
                      <a:avLst/>
                    </a:prstGeom>
                    <a:noFill/>
                    <a:ln>
                      <a:noFill/>
                    </a:ln>
                  </pic:spPr>
                </pic:pic>
              </a:graphicData>
            </a:graphic>
          </wp:inline>
        </w:drawing>
      </w:r>
    </w:p>
    <w:p w14:paraId="01E8AE7E" w14:textId="1C4C390D" w:rsidR="00FE774C" w:rsidRDefault="00FE774C" w:rsidP="00DD7CAE">
      <w:pPr>
        <w:spacing w:after="0" w:line="240" w:lineRule="auto"/>
        <w:jc w:val="center"/>
        <w:textAlignment w:val="baseline"/>
        <w:rPr>
          <w:rFonts w:ascii="Segoe UI" w:eastAsia="Times New Roman" w:hAnsi="Segoe UI" w:cs="Segoe UI"/>
          <w:b/>
          <w:bCs/>
          <w:color w:val="000000"/>
          <w:sz w:val="18"/>
          <w:szCs w:val="18"/>
          <w:u w:val="single"/>
          <w:lang w:eastAsia="en-GB"/>
        </w:rPr>
      </w:pPr>
    </w:p>
    <w:p w14:paraId="1727260F" w14:textId="77777777" w:rsidR="00DE2676" w:rsidRDefault="00DE2676" w:rsidP="0085070B">
      <w:pPr>
        <w:spacing w:after="0" w:line="240" w:lineRule="auto"/>
        <w:textAlignment w:val="baseline"/>
        <w:rPr>
          <w:rFonts w:ascii="Segoe UI" w:eastAsia="Times New Roman" w:hAnsi="Segoe UI" w:cs="Segoe UI"/>
          <w:b/>
          <w:bCs/>
          <w:color w:val="000000"/>
          <w:sz w:val="18"/>
          <w:szCs w:val="18"/>
          <w:u w:val="single"/>
          <w:lang w:eastAsia="en-GB"/>
        </w:rPr>
      </w:pPr>
    </w:p>
    <w:p w14:paraId="7DA22314" w14:textId="7315F0EA" w:rsidR="00DD7CAE" w:rsidRDefault="00E87026" w:rsidP="00DD7CA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0B9275CE" wp14:editId="1D0BD7BD">
            <wp:extent cx="5398088" cy="1441450"/>
            <wp:effectExtent l="0" t="0" r="0" b="6350"/>
            <wp:docPr id="9" name="Picture 9" descr="Logo of Sandwell Metropolitan Borough Council featuring a green grid-like symbol to the left of the council name in grey text. The design uses a modern sans-serif font with &quot;Sandwell&quot; prominently displayed and &quot;Metropolitan Borough Council&quot; in smaller letter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of Sandwell Metropolitan Borough Council featuring a green grid-like symbol to the left of the council name in grey text. The design uses a modern sans-serif font with &quot;Sandwell&quot; prominently displayed and &quot;Metropolitan Borough Council&quot; in smaller letters below."/>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29258" cy="1449773"/>
                    </a:xfrm>
                    <a:prstGeom prst="rect">
                      <a:avLst/>
                    </a:prstGeom>
                    <a:noFill/>
                  </pic:spPr>
                </pic:pic>
              </a:graphicData>
            </a:graphic>
          </wp:inline>
        </w:drawing>
      </w:r>
    </w:p>
    <w:p w14:paraId="2386104C"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553B9DEE" w14:textId="77777777" w:rsidR="00DD7CAE" w:rsidRDefault="00DD7CAE" w:rsidP="0085070B">
      <w:pPr>
        <w:spacing w:after="0" w:line="240" w:lineRule="auto"/>
        <w:textAlignment w:val="baseline"/>
        <w:rPr>
          <w:rFonts w:ascii="Segoe UI" w:eastAsia="Times New Roman" w:hAnsi="Segoe UI" w:cs="Segoe UI"/>
          <w:b/>
          <w:bCs/>
          <w:color w:val="000000"/>
          <w:sz w:val="18"/>
          <w:szCs w:val="18"/>
          <w:u w:val="single"/>
          <w:lang w:eastAsia="en-GB"/>
        </w:rPr>
      </w:pPr>
    </w:p>
    <w:p w14:paraId="701F546D" w14:textId="77777777" w:rsidR="00DD7CAE" w:rsidRPr="00DD7CAE" w:rsidRDefault="00DD7CAE" w:rsidP="0085070B">
      <w:pPr>
        <w:spacing w:after="0" w:line="240" w:lineRule="auto"/>
        <w:textAlignment w:val="baseline"/>
        <w:rPr>
          <w:rFonts w:ascii="Segoe UI" w:eastAsia="Times New Roman" w:hAnsi="Segoe UI" w:cs="Segoe UI"/>
          <w:b/>
          <w:bCs/>
          <w:color w:val="000000"/>
          <w:sz w:val="20"/>
          <w:szCs w:val="20"/>
          <w:u w:val="single"/>
          <w:lang w:eastAsia="en-GB"/>
        </w:rPr>
      </w:pPr>
    </w:p>
    <w:p w14:paraId="1E388569" w14:textId="77777777" w:rsidR="00DE2676" w:rsidRPr="004D3BA2" w:rsidRDefault="00DE2676" w:rsidP="0085070B">
      <w:pPr>
        <w:spacing w:after="0" w:line="240" w:lineRule="auto"/>
        <w:textAlignment w:val="baseline"/>
        <w:rPr>
          <w:rFonts w:ascii="Segoe UI" w:eastAsia="Times New Roman" w:hAnsi="Segoe UI" w:cs="Segoe UI"/>
          <w:color w:val="000000"/>
          <w:sz w:val="28"/>
          <w:szCs w:val="28"/>
          <w:lang w:eastAsia="en-GB"/>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160"/>
      </w:tblGrid>
      <w:tr w:rsidR="00094213" w14:paraId="2372967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6BCD89B" w14:textId="77777777" w:rsidR="0085070B" w:rsidRPr="004D3BA2" w:rsidRDefault="00E87026" w:rsidP="00DD7CAE">
            <w:pPr>
              <w:spacing w:after="0" w:line="240" w:lineRule="auto"/>
              <w:ind w:left="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Document title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45CEA3E6" w14:textId="321E4092" w:rsidR="0085070B" w:rsidRPr="004D3BA2" w:rsidRDefault="00AE4750" w:rsidP="00D259C9">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 xml:space="preserve">Property </w:t>
            </w:r>
            <w:r w:rsidR="00544D8A">
              <w:rPr>
                <w:rFonts w:ascii="Arial" w:eastAsia="Times New Roman" w:hAnsi="Arial" w:cs="Arial"/>
                <w:i/>
                <w:iCs/>
                <w:color w:val="000000"/>
                <w:sz w:val="28"/>
                <w:szCs w:val="28"/>
                <w:lang w:eastAsia="en-GB"/>
              </w:rPr>
              <w:t>Succession</w:t>
            </w:r>
            <w:r w:rsidR="00E87026" w:rsidRPr="004D3BA2">
              <w:rPr>
                <w:rFonts w:ascii="Arial" w:eastAsia="Times New Roman" w:hAnsi="Arial" w:cs="Arial"/>
                <w:i/>
                <w:iCs/>
                <w:color w:val="000000"/>
                <w:sz w:val="28"/>
                <w:szCs w:val="28"/>
                <w:lang w:eastAsia="en-GB"/>
              </w:rPr>
              <w:t xml:space="preserve"> Policy</w:t>
            </w:r>
          </w:p>
        </w:tc>
      </w:tr>
      <w:tr w:rsidR="00094213" w14:paraId="1542B3C5"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E03C40C" w14:textId="77777777" w:rsidR="0085070B" w:rsidRPr="004D3BA2" w:rsidRDefault="00E87026"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Owner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7184F89E" w14:textId="57D960A2" w:rsidR="0085070B" w:rsidRPr="004D3BA2" w:rsidRDefault="00544D8A" w:rsidP="00FC170A">
            <w:pPr>
              <w:spacing w:after="0" w:line="240" w:lineRule="auto"/>
              <w:ind w:left="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Jim Brennan</w:t>
            </w:r>
          </w:p>
        </w:tc>
      </w:tr>
      <w:tr w:rsidR="00094213" w14:paraId="0F46E89B"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tcPr>
          <w:p w14:paraId="5E637E8C" w14:textId="3713DD3B" w:rsidR="00D62F6A" w:rsidRPr="004D3BA2" w:rsidRDefault="00E87026"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Approved by</w:t>
            </w:r>
          </w:p>
        </w:tc>
        <w:tc>
          <w:tcPr>
            <w:tcW w:w="6840" w:type="dxa"/>
            <w:gridSpan w:val="3"/>
            <w:tcBorders>
              <w:top w:val="single" w:sz="6" w:space="0" w:color="000000"/>
              <w:left w:val="single" w:sz="6" w:space="0" w:color="000000"/>
              <w:bottom w:val="single" w:sz="6" w:space="0" w:color="000000"/>
              <w:right w:val="single" w:sz="6" w:space="0" w:color="000000"/>
            </w:tcBorders>
          </w:tcPr>
          <w:p w14:paraId="29FAA2DE" w14:textId="26F2E1E3" w:rsidR="00D62F6A" w:rsidRPr="004D3BA2" w:rsidRDefault="00E87026" w:rsidP="0085070B">
            <w:pPr>
              <w:spacing w:after="0" w:line="240" w:lineRule="auto"/>
              <w:ind w:left="-15" w:firstLine="98"/>
              <w:textAlignment w:val="baseline"/>
              <w:rPr>
                <w:rFonts w:ascii="Arial" w:eastAsia="Times New Roman" w:hAnsi="Arial" w:cs="Arial"/>
                <w:color w:val="000000"/>
                <w:sz w:val="28"/>
                <w:szCs w:val="28"/>
                <w:lang w:eastAsia="en-GB"/>
              </w:rPr>
            </w:pPr>
            <w:r w:rsidRPr="004D3BA2">
              <w:rPr>
                <w:rFonts w:ascii="Arial" w:eastAsia="Times New Roman" w:hAnsi="Arial" w:cs="Arial"/>
                <w:i/>
                <w:iCs/>
                <w:color w:val="000000"/>
                <w:sz w:val="28"/>
                <w:szCs w:val="28"/>
                <w:lang w:eastAsia="en-GB"/>
              </w:rPr>
              <w:t>Cabinet.</w:t>
            </w:r>
          </w:p>
        </w:tc>
      </w:tr>
      <w:tr w:rsidR="00094213" w14:paraId="3584A036"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AF75579" w14:textId="77777777" w:rsidR="0085070B" w:rsidRPr="004D3BA2" w:rsidRDefault="00E87026"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Status   </w:t>
            </w:r>
          </w:p>
        </w:tc>
        <w:tc>
          <w:tcPr>
            <w:tcW w:w="2520" w:type="dxa"/>
            <w:tcBorders>
              <w:top w:val="single" w:sz="6" w:space="0" w:color="000000"/>
              <w:left w:val="single" w:sz="6" w:space="0" w:color="000000"/>
              <w:bottom w:val="single" w:sz="6" w:space="0" w:color="000000"/>
              <w:right w:val="single" w:sz="6" w:space="0" w:color="000000"/>
            </w:tcBorders>
            <w:hideMark/>
          </w:tcPr>
          <w:p w14:paraId="3D96D2AE" w14:textId="0502C321" w:rsidR="0085070B" w:rsidRPr="004D3BA2" w:rsidRDefault="00F736DF"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Final</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5E1D413D" w14:textId="77777777" w:rsidR="0085070B" w:rsidRPr="004D3BA2" w:rsidRDefault="00E87026" w:rsidP="0085070B">
            <w:pPr>
              <w:spacing w:after="0" w:line="240" w:lineRule="auto"/>
              <w:ind w:firstLine="98"/>
              <w:textAlignment w:val="baseline"/>
              <w:rPr>
                <w:rFonts w:ascii="Times New Roman" w:eastAsia="Times New Roman" w:hAnsi="Times New Roman" w:cs="Times New Roman"/>
                <w:color w:val="000000"/>
                <w:sz w:val="28"/>
                <w:szCs w:val="28"/>
                <w:lang w:eastAsia="en-GB"/>
              </w:rPr>
            </w:pPr>
            <w:r w:rsidRPr="004D3BA2">
              <w:rPr>
                <w:rFonts w:ascii="Arial" w:eastAsia="Times New Roman" w:hAnsi="Arial" w:cs="Arial"/>
                <w:color w:val="000000"/>
                <w:sz w:val="28"/>
                <w:szCs w:val="28"/>
                <w:lang w:eastAsia="en-GB"/>
              </w:rPr>
              <w:t>Version   </w:t>
            </w:r>
          </w:p>
        </w:tc>
        <w:tc>
          <w:tcPr>
            <w:tcW w:w="2160" w:type="dxa"/>
            <w:tcBorders>
              <w:top w:val="single" w:sz="6" w:space="0" w:color="000000"/>
              <w:left w:val="single" w:sz="6" w:space="0" w:color="000000"/>
              <w:bottom w:val="single" w:sz="6" w:space="0" w:color="000000"/>
              <w:right w:val="single" w:sz="6" w:space="0" w:color="000000"/>
            </w:tcBorders>
            <w:hideMark/>
          </w:tcPr>
          <w:p w14:paraId="235CADCF" w14:textId="61DC2C8F" w:rsidR="0085070B" w:rsidRPr="004D3BA2" w:rsidRDefault="00F736DF" w:rsidP="00665317">
            <w:pPr>
              <w:spacing w:after="0" w:line="240" w:lineRule="auto"/>
              <w:ind w:left="96" w:firstLine="2"/>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1.0</w:t>
            </w:r>
          </w:p>
        </w:tc>
      </w:tr>
      <w:tr w:rsidR="00094213" w14:paraId="12269204"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3C03126E" w14:textId="77777777" w:rsidR="0085070B" w:rsidRPr="004D3BA2" w:rsidRDefault="00E87026" w:rsidP="00970D70">
            <w:pPr>
              <w:spacing w:after="0" w:line="240" w:lineRule="auto"/>
              <w:ind w:left="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Effective from   </w:t>
            </w:r>
          </w:p>
        </w:tc>
        <w:tc>
          <w:tcPr>
            <w:tcW w:w="2520" w:type="dxa"/>
            <w:tcBorders>
              <w:top w:val="single" w:sz="6" w:space="0" w:color="000000"/>
              <w:left w:val="single" w:sz="6" w:space="0" w:color="000000"/>
              <w:bottom w:val="single" w:sz="6" w:space="0" w:color="000000"/>
              <w:right w:val="single" w:sz="6" w:space="0" w:color="000000"/>
            </w:tcBorders>
            <w:hideMark/>
          </w:tcPr>
          <w:p w14:paraId="5CE6E57E" w14:textId="3B6D7EBE" w:rsidR="0085070B" w:rsidRPr="004D3BA2" w:rsidRDefault="00F736DF" w:rsidP="0085070B">
            <w:pPr>
              <w:spacing w:after="0" w:line="240" w:lineRule="auto"/>
              <w:ind w:firstLine="98"/>
              <w:textAlignment w:val="baseline"/>
              <w:rPr>
                <w:rFonts w:ascii="Arial" w:eastAsia="Times New Roman" w:hAnsi="Arial" w:cs="Arial"/>
                <w:i/>
                <w:iCs/>
                <w:color w:val="000000"/>
                <w:sz w:val="28"/>
                <w:szCs w:val="28"/>
                <w:lang w:eastAsia="en-GB"/>
              </w:rPr>
            </w:pPr>
            <w:r>
              <w:rPr>
                <w:rFonts w:ascii="Arial" w:eastAsia="Times New Roman" w:hAnsi="Arial" w:cs="Arial"/>
                <w:i/>
                <w:iCs/>
                <w:color w:val="000000"/>
                <w:sz w:val="28"/>
                <w:szCs w:val="28"/>
                <w:lang w:eastAsia="en-GB"/>
              </w:rPr>
              <w:t>17/07/2026</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20FF0351" w14:textId="28DB504E" w:rsidR="0085070B" w:rsidRPr="004D3BA2" w:rsidRDefault="00E87026" w:rsidP="00970D70">
            <w:pPr>
              <w:spacing w:after="0" w:line="240" w:lineRule="auto"/>
              <w:ind w:left="130" w:hanging="32"/>
              <w:textAlignment w:val="baseline"/>
              <w:rPr>
                <w:rFonts w:ascii="Times New Roman" w:eastAsia="Times New Roman" w:hAnsi="Times New Roman" w:cs="Times New Roman"/>
                <w:color w:val="000000"/>
                <w:sz w:val="28"/>
                <w:szCs w:val="28"/>
                <w:lang w:eastAsia="en-GB"/>
              </w:rPr>
            </w:pPr>
            <w:r w:rsidRPr="004D3BA2">
              <w:rPr>
                <w:rFonts w:ascii="Arial" w:eastAsia="Times New Roman" w:hAnsi="Arial" w:cs="Arial"/>
                <w:color w:val="000000"/>
                <w:sz w:val="28"/>
                <w:szCs w:val="28"/>
                <w:lang w:eastAsia="en-GB"/>
              </w:rPr>
              <w:t>Approved</w:t>
            </w:r>
            <w:r w:rsidR="00544D8A">
              <w:rPr>
                <w:rFonts w:ascii="Arial" w:eastAsia="Times New Roman" w:hAnsi="Arial" w:cs="Arial"/>
                <w:color w:val="000000"/>
                <w:sz w:val="28"/>
                <w:szCs w:val="28"/>
                <w:lang w:eastAsia="en-GB"/>
              </w:rPr>
              <w:t xml:space="preserve"> </w:t>
            </w:r>
            <w:r w:rsidRPr="004D3BA2">
              <w:rPr>
                <w:rFonts w:ascii="Arial" w:eastAsia="Times New Roman" w:hAnsi="Arial" w:cs="Arial"/>
                <w:color w:val="000000"/>
                <w:sz w:val="28"/>
                <w:szCs w:val="28"/>
                <w:lang w:eastAsia="en-GB"/>
              </w:rPr>
              <w:t>on   </w:t>
            </w:r>
          </w:p>
        </w:tc>
        <w:tc>
          <w:tcPr>
            <w:tcW w:w="2160" w:type="dxa"/>
            <w:tcBorders>
              <w:top w:val="single" w:sz="6" w:space="0" w:color="000000"/>
              <w:left w:val="single" w:sz="6" w:space="0" w:color="000000"/>
              <w:bottom w:val="single" w:sz="6" w:space="0" w:color="000000"/>
              <w:right w:val="single" w:sz="6" w:space="0" w:color="000000"/>
            </w:tcBorders>
            <w:hideMark/>
          </w:tcPr>
          <w:p w14:paraId="722F0D85" w14:textId="09E22F5B" w:rsidR="0085070B" w:rsidRPr="004D3BA2" w:rsidRDefault="00F736DF" w:rsidP="0085070B">
            <w:pPr>
              <w:spacing w:after="0" w:line="240" w:lineRule="auto"/>
              <w:ind w:firstLine="98"/>
              <w:textAlignment w:val="baseline"/>
              <w:rPr>
                <w:rFonts w:ascii="Times New Roman" w:eastAsia="Times New Roman" w:hAnsi="Times New Roman" w:cs="Times New Roman"/>
                <w:i/>
                <w:iCs/>
                <w:color w:val="000000"/>
                <w:sz w:val="28"/>
                <w:szCs w:val="28"/>
                <w:lang w:eastAsia="en-GB"/>
              </w:rPr>
            </w:pPr>
            <w:r>
              <w:rPr>
                <w:rFonts w:ascii="Arial" w:eastAsia="Times New Roman" w:hAnsi="Arial" w:cs="Arial"/>
                <w:i/>
                <w:iCs/>
                <w:color w:val="000000"/>
                <w:sz w:val="28"/>
                <w:szCs w:val="28"/>
                <w:lang w:eastAsia="en-GB"/>
              </w:rPr>
              <w:t>15/07/2026</w:t>
            </w:r>
          </w:p>
        </w:tc>
      </w:tr>
      <w:tr w:rsidR="00094213" w14:paraId="617888EA"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CBC701A" w14:textId="77777777" w:rsidR="0085070B" w:rsidRPr="004D3BA2" w:rsidRDefault="00E87026" w:rsidP="00970D70">
            <w:pPr>
              <w:spacing w:after="0" w:line="240" w:lineRule="auto"/>
              <w:ind w:left="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Last updated   </w:t>
            </w:r>
          </w:p>
        </w:tc>
        <w:tc>
          <w:tcPr>
            <w:tcW w:w="2520" w:type="dxa"/>
            <w:tcBorders>
              <w:top w:val="single" w:sz="6" w:space="0" w:color="000000"/>
              <w:left w:val="single" w:sz="6" w:space="0" w:color="000000"/>
              <w:bottom w:val="single" w:sz="6" w:space="0" w:color="000000"/>
              <w:right w:val="single" w:sz="6" w:space="0" w:color="000000"/>
            </w:tcBorders>
            <w:hideMark/>
          </w:tcPr>
          <w:p w14:paraId="14258EAF" w14:textId="3AC1F105" w:rsidR="0085070B" w:rsidRPr="004D3BA2" w:rsidRDefault="002129C1" w:rsidP="0085070B">
            <w:pPr>
              <w:spacing w:after="0" w:line="240" w:lineRule="auto"/>
              <w:ind w:firstLine="98"/>
              <w:textAlignment w:val="baseline"/>
              <w:rPr>
                <w:rFonts w:ascii="Arial" w:eastAsia="Times New Roman" w:hAnsi="Arial" w:cs="Arial"/>
                <w:color w:val="000000"/>
                <w:sz w:val="28"/>
                <w:szCs w:val="28"/>
                <w:lang w:eastAsia="en-GB"/>
              </w:rPr>
            </w:pPr>
            <w:r>
              <w:rPr>
                <w:rFonts w:ascii="Arial" w:eastAsia="Times New Roman" w:hAnsi="Arial" w:cs="Arial"/>
                <w:i/>
                <w:iCs/>
                <w:color w:val="000000"/>
                <w:sz w:val="28"/>
                <w:szCs w:val="28"/>
                <w:lang w:eastAsia="en-GB"/>
              </w:rPr>
              <w:t>20</w:t>
            </w:r>
            <w:r w:rsidR="00970D70" w:rsidRPr="004D3BA2">
              <w:rPr>
                <w:rFonts w:ascii="Arial" w:eastAsia="Times New Roman" w:hAnsi="Arial" w:cs="Arial"/>
                <w:i/>
                <w:iCs/>
                <w:color w:val="000000"/>
                <w:sz w:val="28"/>
                <w:szCs w:val="28"/>
                <w:lang w:eastAsia="en-GB"/>
              </w:rPr>
              <w:t>/</w:t>
            </w:r>
            <w:r>
              <w:rPr>
                <w:rFonts w:ascii="Arial" w:eastAsia="Times New Roman" w:hAnsi="Arial" w:cs="Arial"/>
                <w:i/>
                <w:iCs/>
                <w:color w:val="000000"/>
                <w:sz w:val="28"/>
                <w:szCs w:val="28"/>
                <w:lang w:eastAsia="en-GB"/>
              </w:rPr>
              <w:t>02</w:t>
            </w:r>
            <w:r w:rsidR="00970D70" w:rsidRPr="004D3BA2">
              <w:rPr>
                <w:rFonts w:ascii="Arial" w:eastAsia="Times New Roman" w:hAnsi="Arial" w:cs="Arial"/>
                <w:i/>
                <w:iCs/>
                <w:color w:val="000000"/>
                <w:sz w:val="28"/>
                <w:szCs w:val="28"/>
                <w:lang w:eastAsia="en-GB"/>
              </w:rPr>
              <w:t>/202</w:t>
            </w:r>
            <w:r>
              <w:rPr>
                <w:rFonts w:ascii="Arial" w:eastAsia="Times New Roman" w:hAnsi="Arial" w:cs="Arial"/>
                <w:i/>
                <w:iCs/>
                <w:color w:val="000000"/>
                <w:sz w:val="28"/>
                <w:szCs w:val="28"/>
                <w:lang w:eastAsia="en-GB"/>
              </w:rPr>
              <w:t xml:space="preserve">6 </w:t>
            </w:r>
          </w:p>
        </w:tc>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7FDF7F26" w14:textId="77777777" w:rsidR="0085070B" w:rsidRPr="004D3BA2" w:rsidRDefault="00E87026" w:rsidP="00665317">
            <w:pPr>
              <w:spacing w:after="0" w:line="240" w:lineRule="auto"/>
              <w:ind w:left="130"/>
              <w:textAlignment w:val="baseline"/>
              <w:rPr>
                <w:rFonts w:ascii="Times New Roman" w:eastAsia="Times New Roman" w:hAnsi="Times New Roman" w:cs="Times New Roman"/>
                <w:color w:val="000000"/>
                <w:sz w:val="28"/>
                <w:szCs w:val="28"/>
                <w:lang w:eastAsia="en-GB"/>
              </w:rPr>
            </w:pPr>
            <w:r w:rsidRPr="004D3BA2">
              <w:rPr>
                <w:rFonts w:ascii="Arial" w:eastAsia="Times New Roman" w:hAnsi="Arial" w:cs="Arial"/>
                <w:color w:val="000000"/>
                <w:sz w:val="28"/>
                <w:szCs w:val="28"/>
                <w:lang w:eastAsia="en-GB"/>
              </w:rPr>
              <w:t>Last updated by  </w:t>
            </w:r>
          </w:p>
        </w:tc>
        <w:tc>
          <w:tcPr>
            <w:tcW w:w="2160" w:type="dxa"/>
            <w:tcBorders>
              <w:top w:val="single" w:sz="6" w:space="0" w:color="000000"/>
              <w:left w:val="single" w:sz="6" w:space="0" w:color="000000"/>
              <w:bottom w:val="single" w:sz="6" w:space="0" w:color="000000"/>
              <w:right w:val="single" w:sz="6" w:space="0" w:color="000000"/>
            </w:tcBorders>
            <w:hideMark/>
          </w:tcPr>
          <w:p w14:paraId="3C1DE21F" w14:textId="4138387C" w:rsidR="0085070B" w:rsidRPr="004D3BA2" w:rsidRDefault="00E87026" w:rsidP="0085070B">
            <w:pPr>
              <w:spacing w:after="0" w:line="240" w:lineRule="auto"/>
              <w:ind w:firstLine="98"/>
              <w:textAlignment w:val="baseline"/>
              <w:rPr>
                <w:rFonts w:ascii="Times New Roman" w:eastAsia="Times New Roman" w:hAnsi="Times New Roman" w:cs="Times New Roman"/>
                <w:i/>
                <w:iCs/>
                <w:color w:val="000000"/>
                <w:sz w:val="28"/>
                <w:szCs w:val="28"/>
                <w:lang w:eastAsia="en-GB"/>
              </w:rPr>
            </w:pPr>
            <w:r w:rsidRPr="004D3BA2">
              <w:rPr>
                <w:rFonts w:ascii="Arial" w:eastAsia="Times New Roman" w:hAnsi="Arial" w:cs="Arial"/>
                <w:i/>
                <w:iCs/>
                <w:color w:val="000000"/>
                <w:sz w:val="28"/>
                <w:szCs w:val="28"/>
                <w:lang w:eastAsia="en-GB"/>
              </w:rPr>
              <w:t>Louis Bebb</w:t>
            </w:r>
            <w:r w:rsidR="00665317" w:rsidRPr="004D3BA2">
              <w:rPr>
                <w:rFonts w:ascii="Arial" w:eastAsia="Times New Roman" w:hAnsi="Arial" w:cs="Arial"/>
                <w:i/>
                <w:iCs/>
                <w:color w:val="000000"/>
                <w:sz w:val="28"/>
                <w:szCs w:val="28"/>
                <w:lang w:eastAsia="en-GB"/>
              </w:rPr>
              <w:t xml:space="preserve"> </w:t>
            </w:r>
          </w:p>
        </w:tc>
      </w:tr>
      <w:tr w:rsidR="00094213" w14:paraId="152EDD50" w14:textId="77777777" w:rsidTr="0085070B">
        <w:trPr>
          <w:trHeight w:val="42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6829680D" w14:textId="77777777" w:rsidR="0085070B" w:rsidRPr="004D3BA2" w:rsidRDefault="00E87026"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Review date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17899BE8" w14:textId="10355643" w:rsidR="0085070B" w:rsidRPr="004D3BA2" w:rsidRDefault="00F736DF" w:rsidP="00C13F6F">
            <w:pPr>
              <w:spacing w:after="0" w:line="240" w:lineRule="auto"/>
              <w:ind w:left="98"/>
              <w:textAlignment w:val="baseline"/>
              <w:rPr>
                <w:rFonts w:ascii="Arial" w:eastAsia="Times New Roman" w:hAnsi="Arial" w:cs="Arial"/>
                <w:i/>
                <w:iCs/>
                <w:color w:val="000000"/>
                <w:sz w:val="28"/>
                <w:szCs w:val="28"/>
                <w:lang w:eastAsia="en-GB"/>
              </w:rPr>
            </w:pPr>
            <w:r w:rsidRPr="00F736DF">
              <w:rPr>
                <w:rFonts w:ascii="Arial" w:eastAsia="Times New Roman" w:hAnsi="Arial" w:cs="Arial"/>
                <w:i/>
                <w:iCs/>
                <w:color w:val="000000"/>
                <w:sz w:val="28"/>
                <w:szCs w:val="28"/>
                <w:lang w:eastAsia="en-GB"/>
              </w:rPr>
              <w:t>15/07/202</w:t>
            </w:r>
            <w:r>
              <w:rPr>
                <w:rFonts w:ascii="Arial" w:eastAsia="Times New Roman" w:hAnsi="Arial" w:cs="Arial"/>
                <w:i/>
                <w:iCs/>
                <w:color w:val="000000"/>
                <w:sz w:val="28"/>
                <w:szCs w:val="28"/>
                <w:lang w:eastAsia="en-GB"/>
              </w:rPr>
              <w:t>8</w:t>
            </w:r>
          </w:p>
        </w:tc>
      </w:tr>
      <w:tr w:rsidR="00094213" w14:paraId="15FEFA6D" w14:textId="77777777" w:rsidTr="0085070B">
        <w:trPr>
          <w:trHeight w:val="1080"/>
        </w:trPr>
        <w:tc>
          <w:tcPr>
            <w:tcW w:w="2160" w:type="dxa"/>
            <w:tcBorders>
              <w:top w:val="single" w:sz="6" w:space="0" w:color="000000"/>
              <w:left w:val="single" w:sz="6" w:space="0" w:color="000000"/>
              <w:bottom w:val="single" w:sz="6" w:space="0" w:color="000000"/>
              <w:right w:val="single" w:sz="6" w:space="0" w:color="000000"/>
            </w:tcBorders>
            <w:shd w:val="clear" w:color="auto" w:fill="C5E0B3"/>
            <w:hideMark/>
          </w:tcPr>
          <w:p w14:paraId="41ED0B39" w14:textId="77777777" w:rsidR="0085070B" w:rsidRPr="004D3BA2" w:rsidRDefault="00E87026" w:rsidP="0085070B">
            <w:pPr>
              <w:spacing w:after="0" w:line="240" w:lineRule="auto"/>
              <w:ind w:firstLine="132"/>
              <w:textAlignment w:val="baseline"/>
              <w:rPr>
                <w:rFonts w:ascii="Arial" w:eastAsia="Times New Roman" w:hAnsi="Arial" w:cs="Arial"/>
                <w:color w:val="000000"/>
                <w:sz w:val="28"/>
                <w:szCs w:val="28"/>
                <w:lang w:eastAsia="en-GB"/>
              </w:rPr>
            </w:pPr>
            <w:r w:rsidRPr="004D3BA2">
              <w:rPr>
                <w:rFonts w:ascii="Arial" w:eastAsia="Times New Roman" w:hAnsi="Arial" w:cs="Arial"/>
                <w:color w:val="000000"/>
                <w:sz w:val="28"/>
                <w:szCs w:val="28"/>
                <w:lang w:eastAsia="en-GB"/>
              </w:rPr>
              <w:t>Purpose  </w:t>
            </w:r>
          </w:p>
        </w:tc>
        <w:tc>
          <w:tcPr>
            <w:tcW w:w="6840" w:type="dxa"/>
            <w:gridSpan w:val="3"/>
            <w:tcBorders>
              <w:top w:val="single" w:sz="6" w:space="0" w:color="000000"/>
              <w:left w:val="single" w:sz="6" w:space="0" w:color="000000"/>
              <w:bottom w:val="single" w:sz="6" w:space="0" w:color="000000"/>
              <w:right w:val="single" w:sz="6" w:space="0" w:color="000000"/>
            </w:tcBorders>
            <w:hideMark/>
          </w:tcPr>
          <w:p w14:paraId="3DD45649" w14:textId="5F056CE8" w:rsidR="0085070B" w:rsidRPr="004D3BA2" w:rsidRDefault="00B12532" w:rsidP="00A055B2">
            <w:pPr>
              <w:spacing w:after="0" w:line="240" w:lineRule="auto"/>
              <w:ind w:left="98"/>
              <w:textAlignment w:val="baseline"/>
              <w:rPr>
                <w:rFonts w:ascii="Arial" w:eastAsia="Times New Roman" w:hAnsi="Arial" w:cs="Arial"/>
                <w:i/>
                <w:iCs/>
                <w:color w:val="000000"/>
                <w:sz w:val="28"/>
                <w:szCs w:val="28"/>
                <w:lang w:eastAsia="en-GB"/>
              </w:rPr>
            </w:pPr>
            <w:r w:rsidRPr="00B12532">
              <w:rPr>
                <w:rFonts w:ascii="Arial" w:eastAsia="Times New Roman" w:hAnsi="Arial" w:cs="Arial"/>
                <w:i/>
                <w:iCs/>
                <w:color w:val="000000"/>
                <w:sz w:val="28"/>
                <w:szCs w:val="28"/>
                <w:lang w:eastAsia="en-GB"/>
              </w:rPr>
              <w:t>This policy sets out how Sandwell Council will manage and apply the rights of succession for our council housing tenants. It outlines what those rights are and the information that anyone wishing to make a succession claim will need to provide.</w:t>
            </w:r>
          </w:p>
        </w:tc>
      </w:tr>
    </w:tbl>
    <w:p w14:paraId="2B91632B" w14:textId="77777777" w:rsidR="00CC1C8F" w:rsidRDefault="00CC1C8F"/>
    <w:p w14:paraId="28D61B3D" w14:textId="77777777" w:rsidR="00970D70" w:rsidRDefault="00970D70"/>
    <w:p w14:paraId="10C30ECE" w14:textId="77777777" w:rsidR="009A2D60" w:rsidRDefault="009A2D60"/>
    <w:p w14:paraId="7620EB68" w14:textId="77777777" w:rsidR="00CC370C" w:rsidRDefault="00CC370C"/>
    <w:p w14:paraId="11FF3C45" w14:textId="77777777" w:rsidR="00CC370C" w:rsidRDefault="00CC370C"/>
    <w:p w14:paraId="4A512004" w14:textId="77777777" w:rsidR="00DD7CAE" w:rsidRDefault="00DD7CAE"/>
    <w:sdt>
      <w:sdtPr>
        <w:rPr>
          <w:rFonts w:asciiTheme="minorHAnsi" w:eastAsiaTheme="minorHAnsi" w:hAnsiTheme="minorHAnsi" w:cstheme="minorBidi"/>
          <w:color w:val="auto"/>
          <w:sz w:val="22"/>
          <w:szCs w:val="22"/>
          <w:lang w:val="en-GB"/>
        </w:rPr>
        <w:id w:val="71088094"/>
        <w:docPartObj>
          <w:docPartGallery w:val="Table of Contents"/>
          <w:docPartUnique/>
        </w:docPartObj>
      </w:sdtPr>
      <w:sdtEndPr>
        <w:rPr>
          <w:b/>
          <w:bCs/>
          <w:noProof/>
        </w:rPr>
      </w:sdtEndPr>
      <w:sdtContent>
        <w:p w14:paraId="30BB5B92" w14:textId="77777777" w:rsidR="00A00C18" w:rsidRPr="009D4218" w:rsidRDefault="00E87026" w:rsidP="00A00C18">
          <w:pPr>
            <w:pStyle w:val="TOCHeading"/>
            <w:jc w:val="center"/>
            <w:rPr>
              <w:rFonts w:ascii="Arial" w:hAnsi="Arial" w:cs="Arial"/>
              <w:b/>
              <w:bCs/>
              <w:color w:val="auto"/>
              <w:sz w:val="28"/>
              <w:szCs w:val="28"/>
              <w:u w:val="single"/>
            </w:rPr>
          </w:pPr>
          <w:r w:rsidRPr="009D4218">
            <w:rPr>
              <w:rFonts w:ascii="Arial" w:hAnsi="Arial" w:cs="Arial"/>
              <w:b/>
              <w:bCs/>
              <w:color w:val="auto"/>
              <w:sz w:val="28"/>
              <w:szCs w:val="28"/>
              <w:u w:val="single"/>
            </w:rPr>
            <w:t>Contents</w:t>
          </w:r>
        </w:p>
        <w:p w14:paraId="0A7ED022" w14:textId="34DBD2D6" w:rsidR="0073181A" w:rsidRPr="009D4218" w:rsidRDefault="00E87026">
          <w:pPr>
            <w:pStyle w:val="TOC1"/>
            <w:tabs>
              <w:tab w:val="left" w:pos="480"/>
              <w:tab w:val="right" w:leader="dot" w:pos="9016"/>
            </w:tabs>
            <w:rPr>
              <w:rFonts w:eastAsiaTheme="minorEastAsia"/>
              <w:noProof/>
              <w:kern w:val="2"/>
              <w:sz w:val="28"/>
              <w:szCs w:val="28"/>
              <w:lang w:eastAsia="en-GB"/>
              <w14:ligatures w14:val="standardContextual"/>
            </w:rPr>
          </w:pPr>
          <w:r w:rsidRPr="009D4218">
            <w:rPr>
              <w:rFonts w:ascii="Arial" w:hAnsi="Arial" w:cs="Arial"/>
              <w:b/>
              <w:bCs/>
              <w:sz w:val="28"/>
              <w:szCs w:val="28"/>
            </w:rPr>
            <w:fldChar w:fldCharType="begin"/>
          </w:r>
          <w:r w:rsidRPr="009D4218">
            <w:rPr>
              <w:rFonts w:ascii="Arial" w:hAnsi="Arial" w:cs="Arial"/>
              <w:b/>
              <w:bCs/>
              <w:sz w:val="28"/>
              <w:szCs w:val="28"/>
            </w:rPr>
            <w:instrText xml:space="preserve"> TOC \o "1-3" \h \z \u </w:instrText>
          </w:r>
          <w:r w:rsidRPr="009D4218">
            <w:rPr>
              <w:rFonts w:ascii="Arial" w:hAnsi="Arial" w:cs="Arial"/>
              <w:b/>
              <w:bCs/>
              <w:sz w:val="28"/>
              <w:szCs w:val="28"/>
            </w:rPr>
            <w:fldChar w:fldCharType="separate"/>
          </w:r>
          <w:hyperlink w:anchor="_Toc215055598" w:history="1">
            <w:r w:rsidR="0073181A" w:rsidRPr="009D4218">
              <w:rPr>
                <w:rStyle w:val="Hyperlink"/>
                <w:rFonts w:ascii="Arial" w:eastAsiaTheme="majorEastAsia" w:hAnsi="Arial" w:cs="Arial"/>
                <w:b/>
                <w:bCs/>
                <w:noProof/>
                <w:sz w:val="28"/>
                <w:szCs w:val="28"/>
              </w:rPr>
              <w:t>1.</w:t>
            </w:r>
            <w:r w:rsidR="0073181A" w:rsidRPr="009D4218">
              <w:rPr>
                <w:rFonts w:eastAsiaTheme="minorEastAsia"/>
                <w:noProof/>
                <w:kern w:val="2"/>
                <w:sz w:val="28"/>
                <w:szCs w:val="28"/>
                <w:lang w:eastAsia="en-GB"/>
                <w14:ligatures w14:val="standardContextual"/>
              </w:rPr>
              <w:tab/>
            </w:r>
            <w:r w:rsidR="0073181A" w:rsidRPr="009D4218">
              <w:rPr>
                <w:rStyle w:val="Hyperlink"/>
                <w:rFonts w:ascii="Arial" w:eastAsiaTheme="majorEastAsia" w:hAnsi="Arial" w:cs="Arial"/>
                <w:b/>
                <w:bCs/>
                <w:noProof/>
                <w:sz w:val="28"/>
                <w:szCs w:val="28"/>
              </w:rPr>
              <w:t>Purpose</w:t>
            </w:r>
            <w:r w:rsidR="0073181A" w:rsidRPr="009D4218">
              <w:rPr>
                <w:noProof/>
                <w:webHidden/>
                <w:sz w:val="28"/>
                <w:szCs w:val="28"/>
              </w:rPr>
              <w:tab/>
            </w:r>
            <w:r w:rsidR="0073181A" w:rsidRPr="009D4218">
              <w:rPr>
                <w:noProof/>
                <w:webHidden/>
                <w:sz w:val="28"/>
                <w:szCs w:val="28"/>
              </w:rPr>
              <w:fldChar w:fldCharType="begin"/>
            </w:r>
            <w:r w:rsidR="0073181A" w:rsidRPr="009D4218">
              <w:rPr>
                <w:noProof/>
                <w:webHidden/>
                <w:sz w:val="28"/>
                <w:szCs w:val="28"/>
              </w:rPr>
              <w:instrText xml:space="preserve"> PAGEREF _Toc215055598 \h </w:instrText>
            </w:r>
            <w:r w:rsidR="0073181A" w:rsidRPr="009D4218">
              <w:rPr>
                <w:noProof/>
                <w:webHidden/>
                <w:sz w:val="28"/>
                <w:szCs w:val="28"/>
              </w:rPr>
            </w:r>
            <w:r w:rsidR="0073181A" w:rsidRPr="009D4218">
              <w:rPr>
                <w:noProof/>
                <w:webHidden/>
                <w:sz w:val="28"/>
                <w:szCs w:val="28"/>
              </w:rPr>
              <w:fldChar w:fldCharType="separate"/>
            </w:r>
            <w:r w:rsidR="0073181A" w:rsidRPr="009D4218">
              <w:rPr>
                <w:noProof/>
                <w:webHidden/>
                <w:sz w:val="28"/>
                <w:szCs w:val="28"/>
              </w:rPr>
              <w:t>3</w:t>
            </w:r>
            <w:r w:rsidR="0073181A" w:rsidRPr="009D4218">
              <w:rPr>
                <w:noProof/>
                <w:webHidden/>
                <w:sz w:val="28"/>
                <w:szCs w:val="28"/>
              </w:rPr>
              <w:fldChar w:fldCharType="end"/>
            </w:r>
          </w:hyperlink>
        </w:p>
        <w:p w14:paraId="3E034FEA" w14:textId="1C157C88"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599" w:history="1">
            <w:r w:rsidRPr="009D4218">
              <w:rPr>
                <w:rStyle w:val="Hyperlink"/>
                <w:rFonts w:ascii="Arial" w:eastAsiaTheme="majorEastAsia" w:hAnsi="Arial" w:cs="Arial"/>
                <w:b/>
                <w:bCs/>
                <w:noProof/>
                <w:sz w:val="28"/>
                <w:szCs w:val="28"/>
              </w:rPr>
              <w:t>2.</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Scope</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_Toc215055599 \h </w:instrText>
            </w:r>
            <w:r w:rsidRPr="009D4218">
              <w:rPr>
                <w:noProof/>
                <w:webHidden/>
                <w:sz w:val="28"/>
                <w:szCs w:val="28"/>
              </w:rPr>
            </w:r>
            <w:r w:rsidRPr="009D4218">
              <w:rPr>
                <w:noProof/>
                <w:webHidden/>
                <w:sz w:val="28"/>
                <w:szCs w:val="28"/>
              </w:rPr>
              <w:fldChar w:fldCharType="separate"/>
            </w:r>
            <w:r w:rsidRPr="009D4218">
              <w:rPr>
                <w:noProof/>
                <w:webHidden/>
                <w:sz w:val="28"/>
                <w:szCs w:val="28"/>
              </w:rPr>
              <w:t>3</w:t>
            </w:r>
            <w:r w:rsidRPr="009D4218">
              <w:rPr>
                <w:noProof/>
                <w:webHidden/>
                <w:sz w:val="28"/>
                <w:szCs w:val="28"/>
              </w:rPr>
              <w:fldChar w:fldCharType="end"/>
            </w:r>
          </w:hyperlink>
        </w:p>
        <w:p w14:paraId="201D9A41" w14:textId="4CCECD30"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600" w:history="1">
            <w:r w:rsidRPr="009D4218">
              <w:rPr>
                <w:rStyle w:val="Hyperlink"/>
                <w:rFonts w:ascii="Arial" w:eastAsiaTheme="majorEastAsia" w:hAnsi="Arial" w:cs="Arial"/>
                <w:b/>
                <w:bCs/>
                <w:noProof/>
                <w:sz w:val="28"/>
                <w:szCs w:val="28"/>
              </w:rPr>
              <w:t>3.</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What is Property Succession to Sandwell Council?</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_Toc215055600 \h </w:instrText>
            </w:r>
            <w:r w:rsidRPr="009D4218">
              <w:rPr>
                <w:noProof/>
                <w:webHidden/>
                <w:sz w:val="28"/>
                <w:szCs w:val="28"/>
              </w:rPr>
            </w:r>
            <w:r w:rsidRPr="009D4218">
              <w:rPr>
                <w:noProof/>
                <w:webHidden/>
                <w:sz w:val="28"/>
                <w:szCs w:val="28"/>
              </w:rPr>
              <w:fldChar w:fldCharType="separate"/>
            </w:r>
            <w:r w:rsidRPr="009D4218">
              <w:rPr>
                <w:noProof/>
                <w:webHidden/>
                <w:sz w:val="28"/>
                <w:szCs w:val="28"/>
              </w:rPr>
              <w:t>4</w:t>
            </w:r>
            <w:r w:rsidRPr="009D4218">
              <w:rPr>
                <w:noProof/>
                <w:webHidden/>
                <w:sz w:val="28"/>
                <w:szCs w:val="28"/>
              </w:rPr>
              <w:fldChar w:fldCharType="end"/>
            </w:r>
          </w:hyperlink>
        </w:p>
        <w:p w14:paraId="2AB365B7" w14:textId="58D373CF"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601" w:history="1">
            <w:r w:rsidRPr="009D4218">
              <w:rPr>
                <w:rStyle w:val="Hyperlink"/>
                <w:rFonts w:ascii="Arial" w:eastAsiaTheme="majorEastAsia" w:hAnsi="Arial" w:cs="Arial"/>
                <w:b/>
                <w:bCs/>
                <w:noProof/>
                <w:sz w:val="28"/>
                <w:szCs w:val="28"/>
              </w:rPr>
              <w:t>4.</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Policy Statement</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_Toc215055601 \h </w:instrText>
            </w:r>
            <w:r w:rsidRPr="009D4218">
              <w:rPr>
                <w:noProof/>
                <w:webHidden/>
                <w:sz w:val="28"/>
                <w:szCs w:val="28"/>
              </w:rPr>
            </w:r>
            <w:r w:rsidRPr="009D4218">
              <w:rPr>
                <w:noProof/>
                <w:webHidden/>
                <w:sz w:val="28"/>
                <w:szCs w:val="28"/>
              </w:rPr>
              <w:fldChar w:fldCharType="separate"/>
            </w:r>
            <w:r w:rsidRPr="009D4218">
              <w:rPr>
                <w:noProof/>
                <w:webHidden/>
                <w:sz w:val="28"/>
                <w:szCs w:val="28"/>
              </w:rPr>
              <w:t>5</w:t>
            </w:r>
            <w:r w:rsidRPr="009D4218">
              <w:rPr>
                <w:noProof/>
                <w:webHidden/>
                <w:sz w:val="28"/>
                <w:szCs w:val="28"/>
              </w:rPr>
              <w:fldChar w:fldCharType="end"/>
            </w:r>
          </w:hyperlink>
        </w:p>
        <w:p w14:paraId="3F51D680" w14:textId="275D38C4"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602" w:history="1">
            <w:r w:rsidRPr="009D4218">
              <w:rPr>
                <w:rStyle w:val="Hyperlink"/>
                <w:rFonts w:ascii="Arial" w:eastAsiaTheme="majorEastAsia" w:hAnsi="Arial" w:cs="Arial"/>
                <w:b/>
                <w:bCs/>
                <w:noProof/>
                <w:sz w:val="28"/>
                <w:szCs w:val="28"/>
              </w:rPr>
              <w:t>5.</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Development of Policy</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_Toc215055602 \h </w:instrText>
            </w:r>
            <w:r w:rsidRPr="009D4218">
              <w:rPr>
                <w:noProof/>
                <w:webHidden/>
                <w:sz w:val="28"/>
                <w:szCs w:val="28"/>
              </w:rPr>
            </w:r>
            <w:r w:rsidRPr="009D4218">
              <w:rPr>
                <w:noProof/>
                <w:webHidden/>
                <w:sz w:val="28"/>
                <w:szCs w:val="28"/>
              </w:rPr>
              <w:fldChar w:fldCharType="separate"/>
            </w:r>
            <w:r w:rsidRPr="009D4218">
              <w:rPr>
                <w:noProof/>
                <w:webHidden/>
                <w:sz w:val="28"/>
                <w:szCs w:val="28"/>
              </w:rPr>
              <w:t>11</w:t>
            </w:r>
            <w:r w:rsidRPr="009D4218">
              <w:rPr>
                <w:noProof/>
                <w:webHidden/>
                <w:sz w:val="28"/>
                <w:szCs w:val="28"/>
              </w:rPr>
              <w:fldChar w:fldCharType="end"/>
            </w:r>
          </w:hyperlink>
        </w:p>
        <w:p w14:paraId="419ECF1B" w14:textId="4041A638"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603" w:history="1">
            <w:r w:rsidRPr="009D4218">
              <w:rPr>
                <w:rStyle w:val="Hyperlink"/>
                <w:rFonts w:ascii="Arial" w:eastAsiaTheme="majorEastAsia" w:hAnsi="Arial" w:cs="Arial"/>
                <w:b/>
                <w:bCs/>
                <w:noProof/>
                <w:sz w:val="28"/>
                <w:szCs w:val="28"/>
              </w:rPr>
              <w:t>6.</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Related Documents</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_Toc215055603 \h </w:instrText>
            </w:r>
            <w:r w:rsidRPr="009D4218">
              <w:rPr>
                <w:noProof/>
                <w:webHidden/>
                <w:sz w:val="28"/>
                <w:szCs w:val="28"/>
              </w:rPr>
            </w:r>
            <w:r w:rsidRPr="009D4218">
              <w:rPr>
                <w:noProof/>
                <w:webHidden/>
                <w:sz w:val="28"/>
                <w:szCs w:val="28"/>
              </w:rPr>
              <w:fldChar w:fldCharType="separate"/>
            </w:r>
            <w:r w:rsidRPr="009D4218">
              <w:rPr>
                <w:noProof/>
                <w:webHidden/>
                <w:sz w:val="28"/>
                <w:szCs w:val="28"/>
              </w:rPr>
              <w:t>11</w:t>
            </w:r>
            <w:r w:rsidRPr="009D4218">
              <w:rPr>
                <w:noProof/>
                <w:webHidden/>
                <w:sz w:val="28"/>
                <w:szCs w:val="28"/>
              </w:rPr>
              <w:fldChar w:fldCharType="end"/>
            </w:r>
          </w:hyperlink>
        </w:p>
        <w:p w14:paraId="047C1A26" w14:textId="5FB0E661"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604" w:history="1">
            <w:r w:rsidRPr="009D4218">
              <w:rPr>
                <w:rStyle w:val="Hyperlink"/>
                <w:rFonts w:ascii="Arial" w:eastAsiaTheme="majorEastAsia" w:hAnsi="Arial" w:cs="Arial"/>
                <w:b/>
                <w:bCs/>
                <w:noProof/>
                <w:sz w:val="28"/>
                <w:szCs w:val="28"/>
              </w:rPr>
              <w:t>7.</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Legal Framework</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_Toc215055604 \h </w:instrText>
            </w:r>
            <w:r w:rsidRPr="009D4218">
              <w:rPr>
                <w:noProof/>
                <w:webHidden/>
                <w:sz w:val="28"/>
                <w:szCs w:val="28"/>
              </w:rPr>
            </w:r>
            <w:r w:rsidRPr="009D4218">
              <w:rPr>
                <w:noProof/>
                <w:webHidden/>
                <w:sz w:val="28"/>
                <w:szCs w:val="28"/>
              </w:rPr>
              <w:fldChar w:fldCharType="separate"/>
            </w:r>
            <w:r w:rsidRPr="009D4218">
              <w:rPr>
                <w:noProof/>
                <w:webHidden/>
                <w:sz w:val="28"/>
                <w:szCs w:val="28"/>
              </w:rPr>
              <w:t>12</w:t>
            </w:r>
            <w:r w:rsidRPr="009D4218">
              <w:rPr>
                <w:noProof/>
                <w:webHidden/>
                <w:sz w:val="28"/>
                <w:szCs w:val="28"/>
              </w:rPr>
              <w:fldChar w:fldCharType="end"/>
            </w:r>
          </w:hyperlink>
        </w:p>
        <w:p w14:paraId="2803E764" w14:textId="5EA02D4F"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605" w:history="1">
            <w:r w:rsidRPr="009D4218">
              <w:rPr>
                <w:rStyle w:val="Hyperlink"/>
                <w:rFonts w:ascii="Arial" w:eastAsiaTheme="majorEastAsia" w:hAnsi="Arial" w:cs="Arial"/>
                <w:b/>
                <w:bCs/>
                <w:noProof/>
                <w:sz w:val="28"/>
                <w:szCs w:val="28"/>
              </w:rPr>
              <w:t>8.</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Equality and Diversity</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_Toc215055605 \h </w:instrText>
            </w:r>
            <w:r w:rsidRPr="009D4218">
              <w:rPr>
                <w:noProof/>
                <w:webHidden/>
                <w:sz w:val="28"/>
                <w:szCs w:val="28"/>
              </w:rPr>
            </w:r>
            <w:r w:rsidRPr="009D4218">
              <w:rPr>
                <w:noProof/>
                <w:webHidden/>
                <w:sz w:val="28"/>
                <w:szCs w:val="28"/>
              </w:rPr>
              <w:fldChar w:fldCharType="separate"/>
            </w:r>
            <w:r w:rsidRPr="009D4218">
              <w:rPr>
                <w:noProof/>
                <w:webHidden/>
                <w:sz w:val="28"/>
                <w:szCs w:val="28"/>
              </w:rPr>
              <w:t>13</w:t>
            </w:r>
            <w:r w:rsidRPr="009D4218">
              <w:rPr>
                <w:noProof/>
                <w:webHidden/>
                <w:sz w:val="28"/>
                <w:szCs w:val="28"/>
              </w:rPr>
              <w:fldChar w:fldCharType="end"/>
            </w:r>
          </w:hyperlink>
        </w:p>
        <w:p w14:paraId="38D0BB06" w14:textId="40A55D3B" w:rsidR="0073181A" w:rsidRPr="009D4218" w:rsidRDefault="0073181A">
          <w:pPr>
            <w:pStyle w:val="TOC1"/>
            <w:tabs>
              <w:tab w:val="left" w:pos="480"/>
              <w:tab w:val="right" w:leader="dot" w:pos="9016"/>
            </w:tabs>
            <w:rPr>
              <w:rFonts w:eastAsiaTheme="minorEastAsia"/>
              <w:noProof/>
              <w:kern w:val="2"/>
              <w:sz w:val="28"/>
              <w:szCs w:val="28"/>
              <w:lang w:eastAsia="en-GB"/>
              <w14:ligatures w14:val="standardContextual"/>
            </w:rPr>
          </w:pPr>
          <w:hyperlink w:anchor="_Toc215055606" w:history="1">
            <w:r w:rsidRPr="009D4218">
              <w:rPr>
                <w:rStyle w:val="Hyperlink"/>
                <w:rFonts w:ascii="Arial" w:eastAsiaTheme="majorEastAsia" w:hAnsi="Arial" w:cs="Arial"/>
                <w:b/>
                <w:bCs/>
                <w:noProof/>
                <w:sz w:val="28"/>
                <w:szCs w:val="28"/>
              </w:rPr>
              <w:t>9.</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Monitoring and Review</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_Toc215055606 \h </w:instrText>
            </w:r>
            <w:r w:rsidRPr="009D4218">
              <w:rPr>
                <w:noProof/>
                <w:webHidden/>
                <w:sz w:val="28"/>
                <w:szCs w:val="28"/>
              </w:rPr>
            </w:r>
            <w:r w:rsidRPr="009D4218">
              <w:rPr>
                <w:noProof/>
                <w:webHidden/>
                <w:sz w:val="28"/>
                <w:szCs w:val="28"/>
              </w:rPr>
              <w:fldChar w:fldCharType="separate"/>
            </w:r>
            <w:r w:rsidRPr="009D4218">
              <w:rPr>
                <w:noProof/>
                <w:webHidden/>
                <w:sz w:val="28"/>
                <w:szCs w:val="28"/>
              </w:rPr>
              <w:t>14</w:t>
            </w:r>
            <w:r w:rsidRPr="009D4218">
              <w:rPr>
                <w:noProof/>
                <w:webHidden/>
                <w:sz w:val="28"/>
                <w:szCs w:val="28"/>
              </w:rPr>
              <w:fldChar w:fldCharType="end"/>
            </w:r>
          </w:hyperlink>
        </w:p>
        <w:p w14:paraId="3AA3AAE6" w14:textId="656A1957" w:rsidR="0073181A" w:rsidRPr="009D4218" w:rsidRDefault="0073181A">
          <w:pPr>
            <w:pStyle w:val="TOC1"/>
            <w:tabs>
              <w:tab w:val="left" w:pos="720"/>
              <w:tab w:val="right" w:leader="dot" w:pos="9016"/>
            </w:tabs>
            <w:rPr>
              <w:rFonts w:eastAsiaTheme="minorEastAsia"/>
              <w:noProof/>
              <w:kern w:val="2"/>
              <w:sz w:val="28"/>
              <w:szCs w:val="28"/>
              <w:lang w:eastAsia="en-GB"/>
              <w14:ligatures w14:val="standardContextual"/>
            </w:rPr>
          </w:pPr>
          <w:hyperlink w:anchor="_Toc215055607" w:history="1">
            <w:r w:rsidRPr="009D4218">
              <w:rPr>
                <w:rStyle w:val="Hyperlink"/>
                <w:rFonts w:ascii="Arial" w:eastAsiaTheme="majorEastAsia" w:hAnsi="Arial" w:cs="Arial"/>
                <w:b/>
                <w:bCs/>
                <w:noProof/>
                <w:sz w:val="28"/>
                <w:szCs w:val="28"/>
              </w:rPr>
              <w:t>10.</w:t>
            </w:r>
            <w:r w:rsidRPr="009D4218">
              <w:rPr>
                <w:rFonts w:eastAsiaTheme="minorEastAsia"/>
                <w:noProof/>
                <w:kern w:val="2"/>
                <w:sz w:val="28"/>
                <w:szCs w:val="28"/>
                <w:lang w:eastAsia="en-GB"/>
                <w14:ligatures w14:val="standardContextual"/>
              </w:rPr>
              <w:tab/>
            </w:r>
            <w:r w:rsidRPr="009D4218">
              <w:rPr>
                <w:rStyle w:val="Hyperlink"/>
                <w:rFonts w:ascii="Arial" w:eastAsiaTheme="majorEastAsia" w:hAnsi="Arial" w:cs="Arial"/>
                <w:b/>
                <w:bCs/>
                <w:noProof/>
                <w:sz w:val="28"/>
                <w:szCs w:val="28"/>
              </w:rPr>
              <w:t>Policy Document Version Control</w:t>
            </w:r>
            <w:r w:rsidRPr="009D4218">
              <w:rPr>
                <w:noProof/>
                <w:webHidden/>
                <w:sz w:val="28"/>
                <w:szCs w:val="28"/>
              </w:rPr>
              <w:tab/>
            </w:r>
            <w:r w:rsidRPr="009D4218">
              <w:rPr>
                <w:noProof/>
                <w:webHidden/>
                <w:sz w:val="28"/>
                <w:szCs w:val="28"/>
              </w:rPr>
              <w:fldChar w:fldCharType="begin"/>
            </w:r>
            <w:r w:rsidRPr="009D4218">
              <w:rPr>
                <w:noProof/>
                <w:webHidden/>
                <w:sz w:val="28"/>
                <w:szCs w:val="28"/>
              </w:rPr>
              <w:instrText xml:space="preserve"> PAGEREF _Toc215055607 \h </w:instrText>
            </w:r>
            <w:r w:rsidRPr="009D4218">
              <w:rPr>
                <w:noProof/>
                <w:webHidden/>
                <w:sz w:val="28"/>
                <w:szCs w:val="28"/>
              </w:rPr>
            </w:r>
            <w:r w:rsidRPr="009D4218">
              <w:rPr>
                <w:noProof/>
                <w:webHidden/>
                <w:sz w:val="28"/>
                <w:szCs w:val="28"/>
              </w:rPr>
              <w:fldChar w:fldCharType="separate"/>
            </w:r>
            <w:r w:rsidRPr="009D4218">
              <w:rPr>
                <w:noProof/>
                <w:webHidden/>
                <w:sz w:val="28"/>
                <w:szCs w:val="28"/>
              </w:rPr>
              <w:t>14</w:t>
            </w:r>
            <w:r w:rsidRPr="009D4218">
              <w:rPr>
                <w:noProof/>
                <w:webHidden/>
                <w:sz w:val="28"/>
                <w:szCs w:val="28"/>
              </w:rPr>
              <w:fldChar w:fldCharType="end"/>
            </w:r>
          </w:hyperlink>
        </w:p>
        <w:p w14:paraId="0C6A57A1" w14:textId="33E00B9A" w:rsidR="00A00C18" w:rsidRDefault="00E87026" w:rsidP="00A00C18">
          <w:pPr>
            <w:rPr>
              <w:b/>
              <w:bCs/>
              <w:noProof/>
            </w:rPr>
          </w:pPr>
          <w:r w:rsidRPr="009D4218">
            <w:rPr>
              <w:rFonts w:ascii="Arial" w:hAnsi="Arial" w:cs="Arial"/>
              <w:b/>
              <w:bCs/>
              <w:noProof/>
              <w:sz w:val="28"/>
              <w:szCs w:val="28"/>
            </w:rPr>
            <w:fldChar w:fldCharType="end"/>
          </w:r>
        </w:p>
      </w:sdtContent>
    </w:sdt>
    <w:p w14:paraId="0D9567F4" w14:textId="59A264EB" w:rsidR="00DD7CAE" w:rsidRDefault="00DD7CAE"/>
    <w:p w14:paraId="1EA109F7" w14:textId="77777777" w:rsidR="00DD7CAE" w:rsidRDefault="00DD7CAE"/>
    <w:p w14:paraId="08851F56" w14:textId="77777777" w:rsidR="00DD7CAE" w:rsidRDefault="00DD7CAE"/>
    <w:p w14:paraId="5BC0DB41" w14:textId="77777777" w:rsidR="00DD7CAE" w:rsidRDefault="00DD7CAE"/>
    <w:p w14:paraId="775AC2D8" w14:textId="77777777" w:rsidR="00A00C18" w:rsidRDefault="00A00C18"/>
    <w:p w14:paraId="2CBE8879" w14:textId="77777777" w:rsidR="00A00C18" w:rsidRDefault="00A00C18"/>
    <w:p w14:paraId="511CECE3" w14:textId="77777777" w:rsidR="00A00C18" w:rsidRDefault="00A00C18"/>
    <w:p w14:paraId="0E2CB233" w14:textId="77777777" w:rsidR="00A00C18" w:rsidRDefault="00A00C18"/>
    <w:p w14:paraId="67CB91F6" w14:textId="77777777" w:rsidR="00A00C18" w:rsidRDefault="00A00C18"/>
    <w:p w14:paraId="572FBFE8" w14:textId="77777777" w:rsidR="00A00C18" w:rsidRDefault="00A00C18"/>
    <w:p w14:paraId="418E5CBA" w14:textId="77777777" w:rsidR="00A00C18" w:rsidRDefault="00A00C18"/>
    <w:p w14:paraId="3CBF2B6B" w14:textId="77777777" w:rsidR="00A00C18" w:rsidRDefault="00A00C18"/>
    <w:p w14:paraId="2751FD11" w14:textId="77777777" w:rsidR="00A00C18" w:rsidRDefault="00A00C18"/>
    <w:p w14:paraId="6228E72D" w14:textId="77777777" w:rsidR="00A00C18" w:rsidRDefault="00A00C18"/>
    <w:p w14:paraId="0B784EE1" w14:textId="77777777" w:rsidR="00A00C18" w:rsidRDefault="00A00C18"/>
    <w:p w14:paraId="50280D8F" w14:textId="77777777" w:rsidR="009B57FA" w:rsidRDefault="009B57FA"/>
    <w:p w14:paraId="70D21F8D" w14:textId="77777777" w:rsidR="009B57FA" w:rsidRDefault="009B57FA"/>
    <w:p w14:paraId="39503FA6" w14:textId="2B507EA7" w:rsidR="00C13F6F" w:rsidRDefault="00E87026" w:rsidP="00C13F6F">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Hlk165643217"/>
      <w:bookmarkStart w:id="1" w:name="_Toc215055598"/>
      <w:r w:rsidRPr="006879D5">
        <w:rPr>
          <w:rFonts w:ascii="Arial" w:eastAsiaTheme="majorEastAsia" w:hAnsi="Arial" w:cs="Arial"/>
          <w:b/>
          <w:bCs/>
          <w:color w:val="2F5496" w:themeColor="accent1" w:themeShade="BF"/>
          <w:sz w:val="28"/>
          <w:szCs w:val="28"/>
        </w:rPr>
        <w:lastRenderedPageBreak/>
        <w:t>Purpose</w:t>
      </w:r>
      <w:bookmarkEnd w:id="0"/>
      <w:bookmarkEnd w:id="1"/>
    </w:p>
    <w:p w14:paraId="05873B7E" w14:textId="77777777" w:rsidR="00713D9E" w:rsidRPr="00713D9E" w:rsidRDefault="00713D9E" w:rsidP="00713D9E">
      <w:pPr>
        <w:keepNext/>
        <w:keepLines/>
        <w:spacing w:after="0"/>
        <w:ind w:left="360"/>
        <w:outlineLvl w:val="0"/>
        <w:rPr>
          <w:rFonts w:ascii="Arial" w:eastAsiaTheme="majorEastAsia" w:hAnsi="Arial" w:cs="Arial"/>
          <w:b/>
          <w:bCs/>
          <w:color w:val="2F5496" w:themeColor="accent1" w:themeShade="BF"/>
          <w:sz w:val="28"/>
          <w:szCs w:val="28"/>
        </w:rPr>
      </w:pPr>
    </w:p>
    <w:p w14:paraId="34C8E1F0" w14:textId="43EB0564" w:rsidR="00713D9E" w:rsidRPr="001C6A83" w:rsidRDefault="000E76C7" w:rsidP="008C780E">
      <w:pPr>
        <w:spacing w:after="0"/>
        <w:ind w:left="426" w:hanging="710"/>
        <w:rPr>
          <w:rFonts w:ascii="Arial" w:hAnsi="Arial" w:cs="Arial"/>
          <w:sz w:val="28"/>
          <w:szCs w:val="28"/>
        </w:rPr>
      </w:pPr>
      <w:r>
        <w:rPr>
          <w:rFonts w:ascii="Arial" w:hAnsi="Arial" w:cs="Arial"/>
          <w:sz w:val="28"/>
          <w:szCs w:val="28"/>
        </w:rPr>
        <w:t>1</w:t>
      </w:r>
      <w:r w:rsidR="001C6A83">
        <w:rPr>
          <w:rFonts w:ascii="Arial" w:hAnsi="Arial" w:cs="Arial"/>
          <w:sz w:val="28"/>
          <w:szCs w:val="28"/>
        </w:rPr>
        <w:t>.</w:t>
      </w:r>
      <w:r>
        <w:rPr>
          <w:rFonts w:ascii="Arial" w:hAnsi="Arial" w:cs="Arial"/>
          <w:sz w:val="28"/>
          <w:szCs w:val="28"/>
        </w:rPr>
        <w:t xml:space="preserve">1 </w:t>
      </w:r>
      <w:r w:rsidR="008C780E">
        <w:rPr>
          <w:rFonts w:ascii="Arial" w:hAnsi="Arial" w:cs="Arial"/>
          <w:sz w:val="28"/>
          <w:szCs w:val="28"/>
        </w:rPr>
        <w:t xml:space="preserve">   </w:t>
      </w:r>
      <w:r w:rsidR="00713D9E" w:rsidRPr="001C6A83">
        <w:rPr>
          <w:rFonts w:ascii="Arial" w:hAnsi="Arial" w:cs="Arial"/>
          <w:sz w:val="28"/>
          <w:szCs w:val="28"/>
        </w:rPr>
        <w:t>Sandwell Council is committed to ensuring that the rights of succession for council housing tenants are applied fairly, consistently, and in line with legislation and tenancy agreements. The purpose of this policy is to provide clear guidance on who may succeed to a tenancy and the process for assessing and managing succession requests.</w:t>
      </w:r>
    </w:p>
    <w:p w14:paraId="4C52F3A4" w14:textId="77777777" w:rsidR="00483D6B" w:rsidRPr="006879D5" w:rsidRDefault="00483D6B" w:rsidP="00483D6B">
      <w:pPr>
        <w:spacing w:after="0"/>
        <w:rPr>
          <w:rFonts w:ascii="Arial" w:hAnsi="Arial" w:cs="Arial"/>
          <w:sz w:val="28"/>
          <w:szCs w:val="28"/>
        </w:rPr>
      </w:pPr>
    </w:p>
    <w:p w14:paraId="76974F70" w14:textId="0712FDCC" w:rsidR="00775A60" w:rsidRPr="006879D5" w:rsidRDefault="00E87026" w:rsidP="00A00C18">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Toc215055599"/>
      <w:bookmarkStart w:id="3" w:name="_Hlk164762292"/>
      <w:r w:rsidRPr="006879D5">
        <w:rPr>
          <w:rFonts w:ascii="Arial" w:eastAsiaTheme="majorEastAsia" w:hAnsi="Arial" w:cs="Arial"/>
          <w:b/>
          <w:bCs/>
          <w:color w:val="2F5496" w:themeColor="accent1" w:themeShade="BF"/>
          <w:sz w:val="28"/>
          <w:szCs w:val="28"/>
        </w:rPr>
        <w:t>Scope</w:t>
      </w:r>
      <w:bookmarkEnd w:id="2"/>
    </w:p>
    <w:bookmarkEnd w:id="3"/>
    <w:p w14:paraId="3B6C266F" w14:textId="77777777" w:rsidR="00DC3EDD" w:rsidRPr="006879D5" w:rsidRDefault="00DC3EDD" w:rsidP="00DC3EDD">
      <w:pPr>
        <w:keepNext/>
        <w:keepLines/>
        <w:spacing w:after="0"/>
        <w:outlineLvl w:val="0"/>
        <w:rPr>
          <w:rFonts w:ascii="Arial" w:eastAsiaTheme="majorEastAsia" w:hAnsi="Arial" w:cs="Arial"/>
          <w:b/>
          <w:bCs/>
          <w:color w:val="2F5496" w:themeColor="accent1" w:themeShade="BF"/>
          <w:sz w:val="28"/>
          <w:szCs w:val="28"/>
        </w:rPr>
      </w:pPr>
    </w:p>
    <w:p w14:paraId="1455EBC3" w14:textId="77777777" w:rsidR="001F61A2" w:rsidRDefault="001F61A2" w:rsidP="001F61A2">
      <w:pPr>
        <w:pStyle w:val="ListParagraph"/>
        <w:ind w:left="426"/>
        <w:rPr>
          <w:rFonts w:ascii="Arial" w:hAnsi="Arial" w:cs="Arial"/>
          <w:sz w:val="28"/>
          <w:szCs w:val="28"/>
        </w:rPr>
      </w:pPr>
    </w:p>
    <w:p w14:paraId="5484DE38" w14:textId="57E08467" w:rsidR="001F61A2" w:rsidRPr="002129C1" w:rsidRDefault="002129C1" w:rsidP="002129C1">
      <w:pPr>
        <w:pStyle w:val="ListParagraph"/>
        <w:numPr>
          <w:ilvl w:val="1"/>
          <w:numId w:val="1"/>
        </w:numPr>
        <w:ind w:left="426" w:hanging="710"/>
        <w:rPr>
          <w:rFonts w:ascii="Arial" w:hAnsi="Arial" w:cs="Arial"/>
          <w:sz w:val="28"/>
          <w:szCs w:val="28"/>
        </w:rPr>
      </w:pPr>
      <w:r w:rsidRPr="002129C1">
        <w:rPr>
          <w:rFonts w:ascii="Arial" w:hAnsi="Arial" w:cs="Arial"/>
          <w:sz w:val="28"/>
          <w:szCs w:val="28"/>
        </w:rPr>
        <w:t xml:space="preserve">This policy applies to all tenancies issued by Sandwell Council and managed directly by our </w:t>
      </w:r>
      <w:r>
        <w:rPr>
          <w:rFonts w:ascii="Arial" w:hAnsi="Arial" w:cs="Arial"/>
          <w:sz w:val="28"/>
          <w:szCs w:val="28"/>
        </w:rPr>
        <w:t>Housing Service</w:t>
      </w:r>
      <w:r w:rsidRPr="002129C1">
        <w:rPr>
          <w:rFonts w:ascii="Arial" w:hAnsi="Arial" w:cs="Arial"/>
          <w:sz w:val="28"/>
          <w:szCs w:val="28"/>
        </w:rPr>
        <w:t xml:space="preserve">, including secure, introductory, and demoted tenancies. It also covers succession rights for all these tenancy </w:t>
      </w:r>
      <w:proofErr w:type="gramStart"/>
      <w:r w:rsidRPr="002129C1">
        <w:rPr>
          <w:rFonts w:ascii="Arial" w:hAnsi="Arial" w:cs="Arial"/>
          <w:sz w:val="28"/>
          <w:szCs w:val="28"/>
        </w:rPr>
        <w:t>types, and</w:t>
      </w:r>
      <w:proofErr w:type="gramEnd"/>
      <w:r w:rsidRPr="002129C1">
        <w:rPr>
          <w:rFonts w:ascii="Arial" w:hAnsi="Arial" w:cs="Arial"/>
          <w:sz w:val="28"/>
          <w:szCs w:val="28"/>
        </w:rPr>
        <w:t xml:space="preserve"> applies to introductory tenants who may become secure tenants following the successful completion of their introductory period.</w:t>
      </w:r>
    </w:p>
    <w:p w14:paraId="67F27442" w14:textId="77777777" w:rsidR="002129C1" w:rsidRPr="002129C1" w:rsidRDefault="002129C1" w:rsidP="002129C1">
      <w:pPr>
        <w:pStyle w:val="ListParagraph"/>
        <w:ind w:left="426"/>
        <w:rPr>
          <w:rFonts w:ascii="Arial" w:hAnsi="Arial" w:cs="Arial"/>
          <w:sz w:val="28"/>
          <w:szCs w:val="28"/>
        </w:rPr>
      </w:pPr>
    </w:p>
    <w:p w14:paraId="4B9F1778" w14:textId="77777777" w:rsidR="001F61A2" w:rsidRDefault="001F61A2" w:rsidP="001F61A2">
      <w:pPr>
        <w:pStyle w:val="ListParagraph"/>
        <w:numPr>
          <w:ilvl w:val="1"/>
          <w:numId w:val="1"/>
        </w:numPr>
        <w:ind w:left="426" w:hanging="710"/>
        <w:rPr>
          <w:rFonts w:ascii="Arial" w:hAnsi="Arial" w:cs="Arial"/>
          <w:sz w:val="28"/>
          <w:szCs w:val="28"/>
        </w:rPr>
      </w:pPr>
      <w:r w:rsidRPr="001F61A2">
        <w:rPr>
          <w:rFonts w:ascii="Arial" w:hAnsi="Arial" w:cs="Arial"/>
          <w:sz w:val="28"/>
          <w:szCs w:val="28"/>
        </w:rPr>
        <w:t>This policy does not apply to any other type of tenancy or licence issued or managed by Sandwell Council, which may be governed by different legislation or policies.</w:t>
      </w:r>
    </w:p>
    <w:p w14:paraId="328B6599" w14:textId="77777777" w:rsidR="001F61A2" w:rsidRPr="001F61A2" w:rsidRDefault="001F61A2" w:rsidP="001F61A2">
      <w:pPr>
        <w:pStyle w:val="ListParagraph"/>
        <w:rPr>
          <w:rFonts w:ascii="Arial" w:hAnsi="Arial" w:cs="Arial"/>
          <w:sz w:val="28"/>
          <w:szCs w:val="28"/>
        </w:rPr>
      </w:pPr>
    </w:p>
    <w:p w14:paraId="4DBC9E7C" w14:textId="1F78FF34" w:rsidR="0071313E" w:rsidRDefault="0071313E" w:rsidP="0071313E">
      <w:pPr>
        <w:pStyle w:val="ListParagraph"/>
        <w:numPr>
          <w:ilvl w:val="1"/>
          <w:numId w:val="1"/>
        </w:numPr>
        <w:ind w:left="426" w:hanging="710"/>
        <w:rPr>
          <w:rFonts w:ascii="Arial" w:hAnsi="Arial" w:cs="Arial"/>
          <w:sz w:val="28"/>
          <w:szCs w:val="28"/>
        </w:rPr>
      </w:pPr>
      <w:r w:rsidRPr="003F377F">
        <w:rPr>
          <w:rFonts w:ascii="Arial" w:hAnsi="Arial" w:cs="Arial"/>
          <w:sz w:val="28"/>
          <w:szCs w:val="28"/>
        </w:rPr>
        <w:t>Under the Localism Act 2011, eligibility to succeed to a secure tenancy granted on or after 1 April 2012 is restricted to the deceased tenant’s spouse or partner, or a person who was living with the tenant as if they were married or civil partners, and who occupied the property as their only or principal home at the time of the tenant’s death.</w:t>
      </w:r>
    </w:p>
    <w:p w14:paraId="2DBBEDF5" w14:textId="77777777" w:rsidR="0071313E" w:rsidRPr="0071313E" w:rsidRDefault="0071313E" w:rsidP="0071313E">
      <w:pPr>
        <w:pStyle w:val="ListParagraph"/>
        <w:rPr>
          <w:rFonts w:ascii="Arial" w:hAnsi="Arial" w:cs="Arial"/>
          <w:sz w:val="28"/>
          <w:szCs w:val="28"/>
        </w:rPr>
      </w:pPr>
    </w:p>
    <w:p w14:paraId="5818D915" w14:textId="1CCAFE63" w:rsidR="0071313E" w:rsidRPr="0003425A" w:rsidRDefault="0071313E" w:rsidP="0003425A">
      <w:pPr>
        <w:pStyle w:val="ListParagraph"/>
        <w:numPr>
          <w:ilvl w:val="1"/>
          <w:numId w:val="1"/>
        </w:numPr>
        <w:ind w:left="426" w:hanging="710"/>
        <w:rPr>
          <w:rFonts w:ascii="Arial" w:hAnsi="Arial" w:cs="Arial"/>
          <w:sz w:val="28"/>
          <w:szCs w:val="28"/>
        </w:rPr>
      </w:pPr>
      <w:r w:rsidRPr="0071313E">
        <w:rPr>
          <w:rFonts w:ascii="Arial" w:hAnsi="Arial" w:cs="Arial"/>
          <w:sz w:val="28"/>
          <w:szCs w:val="28"/>
        </w:rPr>
        <w:t>For tenancies that commenced prior to 1 April 2012, a family member, as defined by the Housing Act 1985, is also entitled to succeed, provided they resided with the tenant for at least 12 months prior to the tenant’s death.</w:t>
      </w:r>
      <w:r w:rsidR="0003425A">
        <w:rPr>
          <w:rFonts w:ascii="Arial" w:hAnsi="Arial" w:cs="Arial"/>
          <w:sz w:val="28"/>
          <w:szCs w:val="28"/>
        </w:rPr>
        <w:t xml:space="preserve"> </w:t>
      </w:r>
      <w:r w:rsidR="0003425A" w:rsidRPr="0003425A">
        <w:rPr>
          <w:rFonts w:ascii="Arial" w:hAnsi="Arial" w:cs="Arial"/>
          <w:sz w:val="28"/>
          <w:szCs w:val="28"/>
        </w:rPr>
        <w:t>Succession can only occur once. If the deceased tenant was already a successor, no further statutory succession is allowed.</w:t>
      </w:r>
    </w:p>
    <w:p w14:paraId="44CAE51A" w14:textId="77777777" w:rsidR="0071313E" w:rsidRPr="0071313E" w:rsidRDefault="0071313E" w:rsidP="0071313E">
      <w:pPr>
        <w:pStyle w:val="ListParagraph"/>
        <w:rPr>
          <w:rFonts w:ascii="Arial" w:hAnsi="Arial" w:cs="Arial"/>
          <w:sz w:val="28"/>
          <w:szCs w:val="28"/>
        </w:rPr>
      </w:pPr>
    </w:p>
    <w:p w14:paraId="4C4CD2E5" w14:textId="328DCEB1" w:rsidR="0071313E" w:rsidRDefault="0071313E" w:rsidP="0071313E">
      <w:pPr>
        <w:pStyle w:val="ListParagraph"/>
        <w:numPr>
          <w:ilvl w:val="1"/>
          <w:numId w:val="1"/>
        </w:numPr>
        <w:ind w:left="426" w:hanging="710"/>
        <w:rPr>
          <w:rFonts w:ascii="Arial" w:hAnsi="Arial" w:cs="Arial"/>
          <w:sz w:val="28"/>
          <w:szCs w:val="28"/>
        </w:rPr>
      </w:pPr>
      <w:r w:rsidRPr="0071313E">
        <w:rPr>
          <w:rFonts w:ascii="Arial" w:hAnsi="Arial" w:cs="Arial"/>
          <w:sz w:val="28"/>
          <w:szCs w:val="28"/>
        </w:rPr>
        <w:t xml:space="preserve">Where a tenancy commenced after 1 April 2012, a family member may only succeed if the tenancy agreement expressly permits it. </w:t>
      </w:r>
      <w:r w:rsidRPr="0071313E">
        <w:rPr>
          <w:rFonts w:ascii="Arial" w:hAnsi="Arial" w:cs="Arial"/>
          <w:sz w:val="28"/>
          <w:szCs w:val="28"/>
        </w:rPr>
        <w:lastRenderedPageBreak/>
        <w:t>Sandwell Council’s tenancy agreements do not allow family members to succeed.</w:t>
      </w:r>
      <w:r w:rsidR="0003425A">
        <w:rPr>
          <w:rFonts w:ascii="Arial" w:hAnsi="Arial" w:cs="Arial"/>
          <w:sz w:val="28"/>
          <w:szCs w:val="28"/>
        </w:rPr>
        <w:t xml:space="preserve"> </w:t>
      </w:r>
    </w:p>
    <w:p w14:paraId="422A6EC8" w14:textId="77777777" w:rsidR="0003425A" w:rsidRPr="0003425A" w:rsidRDefault="0003425A" w:rsidP="0003425A">
      <w:pPr>
        <w:pStyle w:val="ListParagraph"/>
        <w:rPr>
          <w:rFonts w:ascii="Arial" w:hAnsi="Arial" w:cs="Arial"/>
          <w:sz w:val="28"/>
          <w:szCs w:val="28"/>
        </w:rPr>
      </w:pPr>
    </w:p>
    <w:p w14:paraId="467F0807" w14:textId="285E3741" w:rsidR="00DD5BF7" w:rsidRDefault="0003425A" w:rsidP="0082098B">
      <w:pPr>
        <w:pStyle w:val="ListParagraph"/>
        <w:numPr>
          <w:ilvl w:val="1"/>
          <w:numId w:val="1"/>
        </w:numPr>
        <w:ind w:left="426" w:hanging="710"/>
        <w:rPr>
          <w:rFonts w:ascii="Arial" w:hAnsi="Arial" w:cs="Arial"/>
          <w:sz w:val="28"/>
          <w:szCs w:val="28"/>
        </w:rPr>
      </w:pPr>
      <w:r w:rsidRPr="0003425A">
        <w:rPr>
          <w:rFonts w:ascii="Arial" w:hAnsi="Arial" w:cs="Arial"/>
          <w:sz w:val="28"/>
          <w:szCs w:val="28"/>
        </w:rPr>
        <w:t>If a person succeeds to a property and the property is deemed unsuitable, for example it has been specifically adapted for a disabled person or it is under-occupied then the person will be supported to move to more suitable accommodation, or the Council will seek to recover possession through the Courts.</w:t>
      </w:r>
    </w:p>
    <w:p w14:paraId="41931B2C" w14:textId="77777777" w:rsidR="0003425A" w:rsidRPr="0003425A" w:rsidRDefault="0003425A" w:rsidP="0003425A">
      <w:pPr>
        <w:pStyle w:val="ListParagraph"/>
        <w:rPr>
          <w:rFonts w:ascii="Arial" w:hAnsi="Arial" w:cs="Arial"/>
          <w:sz w:val="28"/>
          <w:szCs w:val="28"/>
        </w:rPr>
      </w:pPr>
    </w:p>
    <w:p w14:paraId="5B4AC07B" w14:textId="03D48B2F" w:rsidR="00433554" w:rsidRDefault="00E87026" w:rsidP="002744D6">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4" w:name="_Toc215055600"/>
      <w:r w:rsidRPr="006879D5">
        <w:rPr>
          <w:rFonts w:ascii="Arial" w:eastAsiaTheme="majorEastAsia" w:hAnsi="Arial" w:cs="Arial"/>
          <w:b/>
          <w:bCs/>
          <w:color w:val="2F5496" w:themeColor="accent1" w:themeShade="BF"/>
          <w:sz w:val="28"/>
          <w:szCs w:val="28"/>
        </w:rPr>
        <w:t xml:space="preserve">What is </w:t>
      </w:r>
      <w:r w:rsidR="00713D9E">
        <w:rPr>
          <w:rFonts w:ascii="Arial" w:eastAsiaTheme="majorEastAsia" w:hAnsi="Arial" w:cs="Arial"/>
          <w:b/>
          <w:bCs/>
          <w:color w:val="2F5496" w:themeColor="accent1" w:themeShade="BF"/>
          <w:sz w:val="28"/>
          <w:szCs w:val="28"/>
        </w:rPr>
        <w:t>Property Succession</w:t>
      </w:r>
      <w:r w:rsidRPr="006879D5">
        <w:rPr>
          <w:rFonts w:ascii="Arial" w:eastAsiaTheme="majorEastAsia" w:hAnsi="Arial" w:cs="Arial"/>
          <w:b/>
          <w:bCs/>
          <w:color w:val="2F5496" w:themeColor="accent1" w:themeShade="BF"/>
          <w:sz w:val="28"/>
          <w:szCs w:val="28"/>
        </w:rPr>
        <w:t xml:space="preserve"> to Sandwell Council?</w:t>
      </w:r>
      <w:bookmarkEnd w:id="4"/>
    </w:p>
    <w:p w14:paraId="02F085A8" w14:textId="77777777" w:rsidR="002744D6" w:rsidRPr="002744D6" w:rsidRDefault="002744D6" w:rsidP="002744D6">
      <w:pPr>
        <w:keepNext/>
        <w:keepLines/>
        <w:spacing w:after="0"/>
        <w:ind w:left="360"/>
        <w:outlineLvl w:val="0"/>
        <w:rPr>
          <w:rFonts w:ascii="Arial" w:eastAsiaTheme="majorEastAsia" w:hAnsi="Arial" w:cs="Arial"/>
          <w:b/>
          <w:bCs/>
          <w:color w:val="2F5496" w:themeColor="accent1" w:themeShade="BF"/>
          <w:sz w:val="28"/>
          <w:szCs w:val="28"/>
        </w:rPr>
      </w:pPr>
    </w:p>
    <w:p w14:paraId="003177E0" w14:textId="1E109E00" w:rsidR="001E6172" w:rsidRPr="00E22936" w:rsidRDefault="002F537F" w:rsidP="001E6172">
      <w:pPr>
        <w:pStyle w:val="ListParagraph"/>
        <w:numPr>
          <w:ilvl w:val="1"/>
          <w:numId w:val="1"/>
        </w:numPr>
        <w:ind w:left="426" w:hanging="710"/>
        <w:rPr>
          <w:rFonts w:ascii="Arial" w:hAnsi="Arial" w:cs="Arial"/>
          <w:sz w:val="28"/>
          <w:szCs w:val="28"/>
        </w:rPr>
      </w:pPr>
      <w:r w:rsidRPr="00E22936">
        <w:rPr>
          <w:rFonts w:ascii="Arial" w:hAnsi="Arial" w:cs="Arial"/>
          <w:sz w:val="28"/>
          <w:szCs w:val="28"/>
        </w:rPr>
        <w:t>Property succession is the process by which a council tenancy is legally passed to another person when a tenant dies. Succession ensures that, in certain circumstances, a spouse, partner, or qualifying family member may take over the tenancy, provided that the legal and tenancy-agreement conditions are met.</w:t>
      </w:r>
      <w:r w:rsidR="0003425A">
        <w:rPr>
          <w:rFonts w:ascii="Arial" w:hAnsi="Arial" w:cs="Arial"/>
          <w:sz w:val="28"/>
          <w:szCs w:val="28"/>
        </w:rPr>
        <w:t xml:space="preserve"> </w:t>
      </w:r>
      <w:r w:rsidR="0003425A" w:rsidRPr="0003425A">
        <w:rPr>
          <w:rFonts w:ascii="Arial" w:hAnsi="Arial" w:cs="Arial"/>
          <w:sz w:val="28"/>
          <w:szCs w:val="28"/>
        </w:rPr>
        <w:t>Succession can only occur once.</w:t>
      </w:r>
    </w:p>
    <w:p w14:paraId="04D07A03" w14:textId="77777777" w:rsidR="001E6172" w:rsidRPr="00E22936" w:rsidRDefault="001E6172" w:rsidP="001E6172">
      <w:pPr>
        <w:pStyle w:val="ListParagraph"/>
        <w:rPr>
          <w:rFonts w:ascii="Arial" w:hAnsi="Arial" w:cs="Arial"/>
          <w:sz w:val="28"/>
          <w:szCs w:val="28"/>
        </w:rPr>
      </w:pPr>
    </w:p>
    <w:p w14:paraId="3EA656FD" w14:textId="77777777" w:rsidR="004F6990" w:rsidRPr="00E22936" w:rsidRDefault="002F537F" w:rsidP="004F6990">
      <w:pPr>
        <w:pStyle w:val="ListParagraph"/>
        <w:numPr>
          <w:ilvl w:val="1"/>
          <w:numId w:val="1"/>
        </w:numPr>
        <w:ind w:left="426" w:hanging="710"/>
        <w:rPr>
          <w:rFonts w:ascii="Arial" w:hAnsi="Arial" w:cs="Arial"/>
          <w:sz w:val="28"/>
          <w:szCs w:val="28"/>
        </w:rPr>
      </w:pPr>
      <w:r w:rsidRPr="00E22936">
        <w:rPr>
          <w:rFonts w:ascii="Arial" w:hAnsi="Arial" w:cs="Arial"/>
          <w:sz w:val="28"/>
          <w:szCs w:val="28"/>
        </w:rPr>
        <w:t>Succession rights are determined by a combination of legislation, tenancy agreement terms, and the individual circumstances of the household. Sandwell Council will assess each request for succession carefully and consistently to ensure that the correct legal framework is applied.</w:t>
      </w:r>
    </w:p>
    <w:p w14:paraId="0E63F4DD" w14:textId="77777777" w:rsidR="004F6990" w:rsidRPr="004F6990" w:rsidRDefault="004F6990" w:rsidP="004F6990">
      <w:pPr>
        <w:pStyle w:val="ListParagraph"/>
        <w:rPr>
          <w:rFonts w:ascii="Arial" w:hAnsi="Arial" w:cs="Arial"/>
          <w:color w:val="FF0000"/>
          <w:sz w:val="28"/>
          <w:szCs w:val="28"/>
        </w:rPr>
      </w:pPr>
    </w:p>
    <w:p w14:paraId="710E7D97" w14:textId="77777777" w:rsidR="004F6990" w:rsidRPr="00810F0D" w:rsidRDefault="002F537F" w:rsidP="00810F0D">
      <w:pPr>
        <w:pStyle w:val="ListParagraph"/>
        <w:numPr>
          <w:ilvl w:val="1"/>
          <w:numId w:val="1"/>
        </w:numPr>
        <w:spacing w:after="0"/>
        <w:ind w:left="426" w:hanging="710"/>
        <w:rPr>
          <w:rFonts w:ascii="Arial" w:hAnsi="Arial" w:cs="Arial"/>
          <w:sz w:val="28"/>
          <w:szCs w:val="28"/>
        </w:rPr>
      </w:pPr>
      <w:r w:rsidRPr="00810F0D">
        <w:rPr>
          <w:rFonts w:ascii="Arial" w:hAnsi="Arial" w:cs="Arial"/>
          <w:sz w:val="28"/>
          <w:szCs w:val="28"/>
        </w:rPr>
        <w:t>Below are simple explanations of the key terms used within this policy:</w:t>
      </w:r>
    </w:p>
    <w:p w14:paraId="53F50B7B" w14:textId="77777777" w:rsidR="004F6990" w:rsidRPr="00810F0D" w:rsidRDefault="004F6990" w:rsidP="00810F0D">
      <w:pPr>
        <w:pStyle w:val="ListParagraph"/>
        <w:spacing w:after="0"/>
        <w:rPr>
          <w:rFonts w:ascii="Arial" w:hAnsi="Arial" w:cs="Arial"/>
          <w:sz w:val="28"/>
          <w:szCs w:val="28"/>
        </w:rPr>
      </w:pPr>
    </w:p>
    <w:p w14:paraId="4DBDBB28" w14:textId="77777777" w:rsidR="004F6990" w:rsidRPr="00810F0D" w:rsidRDefault="002F537F" w:rsidP="00C26539">
      <w:pPr>
        <w:pStyle w:val="ListParagraph"/>
        <w:numPr>
          <w:ilvl w:val="0"/>
          <w:numId w:val="6"/>
        </w:numPr>
        <w:spacing w:after="0"/>
        <w:rPr>
          <w:rFonts w:ascii="Arial" w:hAnsi="Arial" w:cs="Arial"/>
          <w:b/>
          <w:bCs/>
          <w:sz w:val="28"/>
          <w:szCs w:val="28"/>
        </w:rPr>
      </w:pPr>
      <w:r w:rsidRPr="00810F0D">
        <w:rPr>
          <w:rFonts w:ascii="Arial" w:hAnsi="Arial" w:cs="Arial"/>
          <w:b/>
          <w:bCs/>
          <w:sz w:val="28"/>
          <w:szCs w:val="28"/>
        </w:rPr>
        <w:t>Statutory Right to Succession</w:t>
      </w:r>
    </w:p>
    <w:p w14:paraId="43A1612F" w14:textId="74E43984" w:rsidR="004F6990" w:rsidRPr="00810F0D" w:rsidRDefault="002F537F" w:rsidP="00810F0D">
      <w:pPr>
        <w:pStyle w:val="ListParagraph"/>
        <w:spacing w:after="0"/>
        <w:rPr>
          <w:rFonts w:ascii="Arial" w:hAnsi="Arial" w:cs="Arial"/>
          <w:sz w:val="28"/>
          <w:szCs w:val="28"/>
        </w:rPr>
      </w:pPr>
      <w:r w:rsidRPr="00810F0D">
        <w:rPr>
          <w:rFonts w:ascii="Arial" w:hAnsi="Arial" w:cs="Arial"/>
          <w:sz w:val="28"/>
          <w:szCs w:val="28"/>
        </w:rPr>
        <w:t>The legal process by which a secure tenancy passes to another person upon the tenant’s death, as set out in the Housing Act. Only one statutory succession is allowed during the lifetime of a tenancy.</w:t>
      </w:r>
    </w:p>
    <w:p w14:paraId="717A4F3A" w14:textId="77777777" w:rsidR="002F537F" w:rsidRPr="00810F0D" w:rsidRDefault="002F537F" w:rsidP="00C26539">
      <w:pPr>
        <w:pStyle w:val="ListParagraph"/>
        <w:numPr>
          <w:ilvl w:val="0"/>
          <w:numId w:val="6"/>
        </w:numPr>
        <w:spacing w:after="0"/>
        <w:rPr>
          <w:rFonts w:ascii="Arial" w:hAnsi="Arial" w:cs="Arial"/>
          <w:b/>
          <w:bCs/>
          <w:sz w:val="28"/>
          <w:szCs w:val="28"/>
        </w:rPr>
      </w:pPr>
      <w:r w:rsidRPr="00810F0D">
        <w:rPr>
          <w:rFonts w:ascii="Arial" w:hAnsi="Arial" w:cs="Arial"/>
          <w:b/>
          <w:bCs/>
          <w:sz w:val="28"/>
          <w:szCs w:val="28"/>
        </w:rPr>
        <w:t>Contractual Right to Succession</w:t>
      </w:r>
    </w:p>
    <w:p w14:paraId="558FD8A7" w14:textId="022CED14" w:rsidR="004F6990" w:rsidRPr="00810F0D" w:rsidRDefault="0003425A" w:rsidP="00810F0D">
      <w:pPr>
        <w:pStyle w:val="ListParagraph"/>
        <w:spacing w:after="0"/>
        <w:rPr>
          <w:rFonts w:ascii="Arial" w:hAnsi="Arial" w:cs="Arial"/>
          <w:sz w:val="28"/>
          <w:szCs w:val="28"/>
        </w:rPr>
      </w:pPr>
      <w:r w:rsidRPr="0003425A">
        <w:rPr>
          <w:rFonts w:ascii="Arial" w:hAnsi="Arial" w:cs="Arial"/>
          <w:sz w:val="28"/>
          <w:szCs w:val="28"/>
        </w:rPr>
        <w:t xml:space="preserve">A right granted through the express terms of a tenancy agreement as permitted by Section 86A(2)(b) of the Housing Act 1985.  Succession only applies if there is an express term of the tenancy agreement that identifies specific persons (other than a spouse or civil partner) who may qualify to succeed the tenant.  No further </w:t>
      </w:r>
      <w:r w:rsidRPr="0003425A">
        <w:rPr>
          <w:rFonts w:ascii="Arial" w:hAnsi="Arial" w:cs="Arial"/>
          <w:sz w:val="28"/>
          <w:szCs w:val="28"/>
        </w:rPr>
        <w:lastRenderedPageBreak/>
        <w:t>statutory or contractual succession will be available following this succession.</w:t>
      </w:r>
    </w:p>
    <w:p w14:paraId="683A686E" w14:textId="6BDE9891" w:rsidR="002F537F" w:rsidRPr="00810F0D" w:rsidRDefault="002F537F" w:rsidP="00C26539">
      <w:pPr>
        <w:pStyle w:val="ListParagraph"/>
        <w:numPr>
          <w:ilvl w:val="0"/>
          <w:numId w:val="6"/>
        </w:numPr>
        <w:spacing w:after="0"/>
        <w:rPr>
          <w:rFonts w:ascii="Arial" w:hAnsi="Arial" w:cs="Arial"/>
          <w:b/>
          <w:bCs/>
          <w:sz w:val="28"/>
          <w:szCs w:val="28"/>
        </w:rPr>
      </w:pPr>
      <w:r w:rsidRPr="00810F0D">
        <w:rPr>
          <w:rFonts w:ascii="Arial" w:hAnsi="Arial" w:cs="Arial"/>
          <w:b/>
          <w:bCs/>
          <w:sz w:val="28"/>
          <w:szCs w:val="28"/>
        </w:rPr>
        <w:t>Survivorship</w:t>
      </w:r>
    </w:p>
    <w:p w14:paraId="6EB773CA" w14:textId="34ACED52" w:rsidR="004F6990" w:rsidRPr="00810F0D" w:rsidRDefault="0003425A" w:rsidP="00810F0D">
      <w:pPr>
        <w:pStyle w:val="ListParagraph"/>
        <w:spacing w:after="0"/>
        <w:rPr>
          <w:rFonts w:ascii="Arial" w:hAnsi="Arial" w:cs="Arial"/>
          <w:sz w:val="28"/>
          <w:szCs w:val="28"/>
        </w:rPr>
      </w:pPr>
      <w:r w:rsidRPr="0003425A">
        <w:rPr>
          <w:rFonts w:ascii="Arial" w:hAnsi="Arial" w:cs="Arial"/>
          <w:sz w:val="28"/>
          <w:szCs w:val="28"/>
        </w:rPr>
        <w:t>Where a tenancy is held jointly and one tenant dies, the survivor automatically becomes the sole tenant. Under Section 88(1)(b) of the Housing Act 1985, this survivor is legally defined as a successor, and no further statutory succession may occur.</w:t>
      </w:r>
    </w:p>
    <w:p w14:paraId="3CEAE79B" w14:textId="77777777" w:rsidR="00810F0D" w:rsidRDefault="002F537F" w:rsidP="00C26539">
      <w:pPr>
        <w:pStyle w:val="ListParagraph"/>
        <w:numPr>
          <w:ilvl w:val="0"/>
          <w:numId w:val="6"/>
        </w:numPr>
        <w:spacing w:after="0"/>
        <w:rPr>
          <w:rFonts w:ascii="Arial" w:hAnsi="Arial" w:cs="Arial"/>
          <w:b/>
          <w:bCs/>
          <w:sz w:val="28"/>
          <w:szCs w:val="28"/>
        </w:rPr>
      </w:pPr>
      <w:r w:rsidRPr="00810F0D">
        <w:rPr>
          <w:rFonts w:ascii="Arial" w:hAnsi="Arial" w:cs="Arial"/>
          <w:b/>
          <w:bCs/>
          <w:sz w:val="28"/>
          <w:szCs w:val="28"/>
        </w:rPr>
        <w:t>Spouse or Civil Partner</w:t>
      </w:r>
    </w:p>
    <w:p w14:paraId="3D27FEED" w14:textId="77777777" w:rsidR="002744D6" w:rsidRDefault="002F537F" w:rsidP="002744D6">
      <w:pPr>
        <w:pStyle w:val="ListParagraph"/>
        <w:spacing w:after="0"/>
        <w:rPr>
          <w:rFonts w:ascii="Arial" w:hAnsi="Arial" w:cs="Arial"/>
          <w:sz w:val="28"/>
          <w:szCs w:val="28"/>
        </w:rPr>
      </w:pPr>
      <w:r w:rsidRPr="00810F0D">
        <w:rPr>
          <w:rFonts w:ascii="Arial" w:hAnsi="Arial" w:cs="Arial"/>
          <w:sz w:val="28"/>
          <w:szCs w:val="28"/>
        </w:rPr>
        <w:t>This includes a husband, wife, civil partner, or a cohabiting partner who was living with the tenant as if they were married or in a civil partnership at the time of the tenant’s death.</w:t>
      </w:r>
      <w:bookmarkStart w:id="5" w:name="_Hlk215038997"/>
    </w:p>
    <w:p w14:paraId="5A234B85" w14:textId="39CE5F3A" w:rsidR="002F537F" w:rsidRPr="002744D6" w:rsidRDefault="002F537F" w:rsidP="00C26539">
      <w:pPr>
        <w:pStyle w:val="ListParagraph"/>
        <w:numPr>
          <w:ilvl w:val="0"/>
          <w:numId w:val="6"/>
        </w:numPr>
        <w:spacing w:after="0"/>
        <w:rPr>
          <w:rFonts w:ascii="Arial" w:hAnsi="Arial" w:cs="Arial"/>
          <w:b/>
          <w:bCs/>
          <w:sz w:val="28"/>
          <w:szCs w:val="28"/>
        </w:rPr>
      </w:pPr>
      <w:r w:rsidRPr="002744D6">
        <w:rPr>
          <w:rFonts w:ascii="Arial" w:hAnsi="Arial" w:cs="Arial"/>
          <w:b/>
          <w:bCs/>
          <w:sz w:val="28"/>
          <w:szCs w:val="28"/>
        </w:rPr>
        <w:t>Qualifying Member of the Family</w:t>
      </w:r>
    </w:p>
    <w:p w14:paraId="4CDC9706" w14:textId="10E13BDD" w:rsidR="002744D6" w:rsidRDefault="002F537F" w:rsidP="002744D6">
      <w:pPr>
        <w:pStyle w:val="ListParagraph"/>
        <w:rPr>
          <w:rFonts w:ascii="Arial" w:hAnsi="Arial" w:cs="Arial"/>
          <w:sz w:val="28"/>
          <w:szCs w:val="28"/>
        </w:rPr>
      </w:pPr>
      <w:r w:rsidRPr="00810F0D">
        <w:rPr>
          <w:rFonts w:ascii="Arial" w:hAnsi="Arial" w:cs="Arial"/>
          <w:sz w:val="28"/>
          <w:szCs w:val="28"/>
        </w:rPr>
        <w:t>Family members as defined by the Housing Act 1985—including a child, parent, grandchild, grandparent, sibling, aunt, uncle, niece, nephew, step-relation, or half-relation. To qualify, the person must have been living with the tenant at the time of their death and for at least the 12 months immediately before. This right applies only to secure tenancies that began before 1 April 2012.</w:t>
      </w:r>
      <w:bookmarkEnd w:id="5"/>
    </w:p>
    <w:p w14:paraId="17B2FB92" w14:textId="12CE18F8" w:rsidR="00574EA2" w:rsidRDefault="00E87026" w:rsidP="00574EA2">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6" w:name="_Toc215055601"/>
      <w:bookmarkStart w:id="7" w:name="_Hlk164766672"/>
      <w:r w:rsidRPr="006879D5">
        <w:rPr>
          <w:rFonts w:ascii="Arial" w:eastAsiaTheme="majorEastAsia" w:hAnsi="Arial" w:cs="Arial"/>
          <w:b/>
          <w:bCs/>
          <w:color w:val="2F5496" w:themeColor="accent1" w:themeShade="BF"/>
          <w:sz w:val="28"/>
          <w:szCs w:val="28"/>
        </w:rPr>
        <w:t>Policy Statement</w:t>
      </w:r>
      <w:bookmarkEnd w:id="6"/>
      <w:r w:rsidRPr="006879D5">
        <w:rPr>
          <w:rFonts w:ascii="Arial" w:eastAsiaTheme="majorEastAsia" w:hAnsi="Arial" w:cs="Arial"/>
          <w:b/>
          <w:bCs/>
          <w:color w:val="2F5496" w:themeColor="accent1" w:themeShade="BF"/>
          <w:sz w:val="28"/>
          <w:szCs w:val="28"/>
        </w:rPr>
        <w:t xml:space="preserve"> </w:t>
      </w:r>
    </w:p>
    <w:p w14:paraId="47BD75ED" w14:textId="77777777" w:rsidR="00872B16" w:rsidRPr="006879D5" w:rsidRDefault="00872B16" w:rsidP="00872B16">
      <w:pPr>
        <w:keepNext/>
        <w:keepLines/>
        <w:spacing w:after="0"/>
        <w:ind w:left="360"/>
        <w:outlineLvl w:val="0"/>
        <w:rPr>
          <w:rFonts w:ascii="Arial" w:eastAsiaTheme="majorEastAsia" w:hAnsi="Arial" w:cs="Arial"/>
          <w:b/>
          <w:bCs/>
          <w:color w:val="2F5496" w:themeColor="accent1" w:themeShade="BF"/>
          <w:sz w:val="28"/>
          <w:szCs w:val="28"/>
        </w:rPr>
      </w:pPr>
    </w:p>
    <w:bookmarkEnd w:id="7"/>
    <w:p w14:paraId="13232A62" w14:textId="09F0CA2C" w:rsidR="00503001" w:rsidRPr="00620945"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 xml:space="preserve">When applying this policy, Sandwell Council will balance the need to </w:t>
      </w:r>
      <w:r w:rsidR="00C7568A">
        <w:rPr>
          <w:rFonts w:ascii="Arial" w:hAnsi="Arial" w:cs="Arial"/>
          <w:sz w:val="28"/>
          <w:szCs w:val="28"/>
        </w:rPr>
        <w:t xml:space="preserve">respond to housing demand and manage </w:t>
      </w:r>
      <w:r w:rsidRPr="00503001">
        <w:rPr>
          <w:rFonts w:ascii="Arial" w:hAnsi="Arial" w:cs="Arial"/>
          <w:sz w:val="28"/>
          <w:szCs w:val="28"/>
        </w:rPr>
        <w:t>our housing stock responsibly with the need to treat bereaved households with sensitivity and fairness.</w:t>
      </w:r>
    </w:p>
    <w:p w14:paraId="2D02A16E" w14:textId="77777777" w:rsidR="00620945" w:rsidRPr="00503001" w:rsidRDefault="00620945" w:rsidP="00620945">
      <w:pPr>
        <w:pStyle w:val="ListParagraph"/>
        <w:ind w:left="710"/>
        <w:rPr>
          <w:rFonts w:ascii="Arial" w:hAnsi="Arial" w:cs="Arial"/>
          <w:sz w:val="28"/>
          <w:szCs w:val="28"/>
        </w:rPr>
      </w:pPr>
    </w:p>
    <w:p w14:paraId="631D48B3" w14:textId="4C8DC509" w:rsidR="00620945" w:rsidRPr="00620945" w:rsidRDefault="00B345F3" w:rsidP="00620945">
      <w:pPr>
        <w:pStyle w:val="ListParagraph"/>
        <w:numPr>
          <w:ilvl w:val="1"/>
          <w:numId w:val="1"/>
        </w:numPr>
        <w:ind w:left="710" w:hanging="710"/>
        <w:rPr>
          <w:rFonts w:ascii="Arial" w:hAnsi="Arial" w:cs="Arial"/>
          <w:sz w:val="28"/>
          <w:szCs w:val="28"/>
        </w:rPr>
      </w:pPr>
      <w:r w:rsidRPr="00B345F3">
        <w:rPr>
          <w:rFonts w:ascii="Arial" w:hAnsi="Arial" w:cs="Arial"/>
          <w:sz w:val="28"/>
          <w:szCs w:val="28"/>
        </w:rPr>
        <w:t>Statutory succession occurs automatically by operation of law, however, potential successors should notify the Council in writing within 28 days of the tenant’s death, unless there are extenuating circumstances, to ensure that they meet the eligibility requirements for succession and that tenancy records can be updated.</w:t>
      </w:r>
    </w:p>
    <w:p w14:paraId="7B540FF7" w14:textId="77777777" w:rsidR="00620945" w:rsidRPr="00620945" w:rsidRDefault="00620945" w:rsidP="00620945">
      <w:pPr>
        <w:pStyle w:val="ListParagraph"/>
        <w:rPr>
          <w:rFonts w:ascii="Arial" w:hAnsi="Arial" w:cs="Arial"/>
          <w:sz w:val="28"/>
          <w:szCs w:val="28"/>
        </w:rPr>
      </w:pPr>
    </w:p>
    <w:p w14:paraId="12BDAB51" w14:textId="4F0627FA" w:rsidR="00620945" w:rsidRPr="00620945"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Applicants must provide evidence to support their succession claim.</w:t>
      </w:r>
      <w:r w:rsidR="008C780E">
        <w:rPr>
          <w:rFonts w:ascii="Arial" w:hAnsi="Arial" w:cs="Arial"/>
          <w:sz w:val="28"/>
          <w:szCs w:val="28"/>
        </w:rPr>
        <w:t xml:space="preserve"> </w:t>
      </w:r>
      <w:r w:rsidR="00B01530">
        <w:rPr>
          <w:rFonts w:ascii="Arial" w:hAnsi="Arial" w:cs="Arial"/>
          <w:sz w:val="28"/>
          <w:szCs w:val="28"/>
        </w:rPr>
        <w:t>T</w:t>
      </w:r>
      <w:r w:rsidRPr="00503001">
        <w:rPr>
          <w:rFonts w:ascii="Arial" w:hAnsi="Arial" w:cs="Arial"/>
          <w:sz w:val="28"/>
          <w:szCs w:val="28"/>
        </w:rPr>
        <w:t xml:space="preserve">enants </w:t>
      </w:r>
      <w:r w:rsidR="00B01530">
        <w:rPr>
          <w:rFonts w:ascii="Arial" w:hAnsi="Arial" w:cs="Arial"/>
          <w:sz w:val="28"/>
          <w:szCs w:val="28"/>
        </w:rPr>
        <w:t xml:space="preserve">must </w:t>
      </w:r>
      <w:r w:rsidRPr="00503001">
        <w:rPr>
          <w:rFonts w:ascii="Arial" w:hAnsi="Arial" w:cs="Arial"/>
          <w:sz w:val="28"/>
          <w:szCs w:val="28"/>
        </w:rPr>
        <w:t>notify us in writing of any long-term change to the household. We will check whether the information provided covers the full period needed to establish eligibility.</w:t>
      </w:r>
    </w:p>
    <w:p w14:paraId="1161F083" w14:textId="77777777" w:rsidR="00620945" w:rsidRPr="00620945" w:rsidRDefault="00620945" w:rsidP="00620945">
      <w:pPr>
        <w:pStyle w:val="ListParagraph"/>
        <w:rPr>
          <w:rFonts w:ascii="Arial" w:hAnsi="Arial" w:cs="Arial"/>
          <w:sz w:val="28"/>
          <w:szCs w:val="28"/>
        </w:rPr>
      </w:pPr>
    </w:p>
    <w:p w14:paraId="58021A0C" w14:textId="1C76C058" w:rsidR="00503001" w:rsidRPr="00503001"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 xml:space="preserve">We will also verify other supporting documentation to confirm the applicant’s family connection, length of residence, and that the </w:t>
      </w:r>
      <w:r w:rsidRPr="00503001">
        <w:rPr>
          <w:rFonts w:ascii="Arial" w:hAnsi="Arial" w:cs="Arial"/>
          <w:sz w:val="28"/>
          <w:szCs w:val="28"/>
        </w:rPr>
        <w:lastRenderedPageBreak/>
        <w:t>property was their only or main home. Evidence required will include:</w:t>
      </w:r>
    </w:p>
    <w:p w14:paraId="63AE28E8" w14:textId="77777777" w:rsidR="00503001" w:rsidRPr="00503001" w:rsidRDefault="00503001" w:rsidP="00C26539">
      <w:pPr>
        <w:pStyle w:val="ListParagraph"/>
        <w:numPr>
          <w:ilvl w:val="0"/>
          <w:numId w:val="6"/>
        </w:numPr>
        <w:rPr>
          <w:rFonts w:ascii="Arial" w:hAnsi="Arial" w:cs="Arial"/>
          <w:sz w:val="28"/>
          <w:szCs w:val="28"/>
        </w:rPr>
      </w:pPr>
      <w:r w:rsidRPr="00503001">
        <w:rPr>
          <w:rFonts w:ascii="Arial" w:hAnsi="Arial" w:cs="Arial"/>
          <w:sz w:val="28"/>
          <w:szCs w:val="28"/>
        </w:rPr>
        <w:t>Death certificate of the tenant</w:t>
      </w:r>
    </w:p>
    <w:p w14:paraId="2B64315C" w14:textId="77777777" w:rsidR="00503001" w:rsidRPr="00503001" w:rsidRDefault="00503001" w:rsidP="00C26539">
      <w:pPr>
        <w:pStyle w:val="ListParagraph"/>
        <w:numPr>
          <w:ilvl w:val="0"/>
          <w:numId w:val="6"/>
        </w:numPr>
        <w:rPr>
          <w:rFonts w:ascii="Arial" w:hAnsi="Arial" w:cs="Arial"/>
          <w:sz w:val="28"/>
          <w:szCs w:val="28"/>
        </w:rPr>
      </w:pPr>
      <w:r w:rsidRPr="00503001">
        <w:rPr>
          <w:rFonts w:ascii="Arial" w:hAnsi="Arial" w:cs="Arial"/>
          <w:sz w:val="28"/>
          <w:szCs w:val="28"/>
        </w:rPr>
        <w:t>Applicant’s full birth certificate</w:t>
      </w:r>
    </w:p>
    <w:p w14:paraId="3DC67189" w14:textId="77777777" w:rsidR="00503001" w:rsidRPr="00503001" w:rsidRDefault="00503001" w:rsidP="00C26539">
      <w:pPr>
        <w:pStyle w:val="ListParagraph"/>
        <w:numPr>
          <w:ilvl w:val="0"/>
          <w:numId w:val="6"/>
        </w:numPr>
        <w:rPr>
          <w:rFonts w:ascii="Arial" w:hAnsi="Arial" w:cs="Arial"/>
          <w:sz w:val="28"/>
          <w:szCs w:val="28"/>
        </w:rPr>
      </w:pPr>
      <w:r w:rsidRPr="00503001">
        <w:rPr>
          <w:rFonts w:ascii="Arial" w:hAnsi="Arial" w:cs="Arial"/>
          <w:sz w:val="28"/>
          <w:szCs w:val="28"/>
        </w:rPr>
        <w:t>Passport, driving licence, or other photo identification</w:t>
      </w:r>
    </w:p>
    <w:p w14:paraId="00FE69D1" w14:textId="77777777" w:rsidR="00503001" w:rsidRPr="00503001" w:rsidRDefault="00503001" w:rsidP="00C26539">
      <w:pPr>
        <w:pStyle w:val="ListParagraph"/>
        <w:numPr>
          <w:ilvl w:val="0"/>
          <w:numId w:val="6"/>
        </w:numPr>
        <w:rPr>
          <w:rFonts w:ascii="Arial" w:hAnsi="Arial" w:cs="Arial"/>
          <w:sz w:val="28"/>
          <w:szCs w:val="28"/>
        </w:rPr>
      </w:pPr>
      <w:r w:rsidRPr="00503001">
        <w:rPr>
          <w:rFonts w:ascii="Arial" w:hAnsi="Arial" w:cs="Arial"/>
          <w:sz w:val="28"/>
          <w:szCs w:val="28"/>
        </w:rPr>
        <w:t>Proof of residence (at the date of death for a spouse/partner, and for at least the previous 12 months for a qualifying family member), e.g. bank statements, electoral registration records</w:t>
      </w:r>
    </w:p>
    <w:p w14:paraId="3B2E309F" w14:textId="77777777" w:rsidR="00503001" w:rsidRPr="000C3A5B" w:rsidRDefault="00503001" w:rsidP="00C26539">
      <w:pPr>
        <w:pStyle w:val="ListParagraph"/>
        <w:numPr>
          <w:ilvl w:val="0"/>
          <w:numId w:val="6"/>
        </w:numPr>
        <w:rPr>
          <w:rFonts w:ascii="Arial" w:hAnsi="Arial" w:cs="Arial"/>
          <w:sz w:val="28"/>
          <w:szCs w:val="28"/>
        </w:rPr>
      </w:pPr>
      <w:r w:rsidRPr="00503001">
        <w:rPr>
          <w:rFonts w:ascii="Arial" w:hAnsi="Arial" w:cs="Arial"/>
          <w:sz w:val="28"/>
          <w:szCs w:val="28"/>
        </w:rPr>
        <w:t>Proof of family relationship</w:t>
      </w:r>
    </w:p>
    <w:p w14:paraId="272F19B2" w14:textId="77777777" w:rsidR="00620945" w:rsidRPr="00503001" w:rsidRDefault="00620945" w:rsidP="00620945">
      <w:pPr>
        <w:pStyle w:val="ListParagraph"/>
        <w:ind w:left="710"/>
        <w:rPr>
          <w:rFonts w:ascii="Arial" w:hAnsi="Arial" w:cs="Arial"/>
          <w:sz w:val="28"/>
          <w:szCs w:val="28"/>
        </w:rPr>
      </w:pPr>
    </w:p>
    <w:p w14:paraId="760C185B" w14:textId="70BE9FF6" w:rsidR="00503001" w:rsidRPr="000C3A5B"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Where the information provided does not reasonably establish eligibility, Sandwell Council may request further evidence or carry out additional investigations.</w:t>
      </w:r>
      <w:r w:rsidR="00C7568A">
        <w:rPr>
          <w:rFonts w:ascii="Arial" w:hAnsi="Arial" w:cs="Arial"/>
          <w:sz w:val="28"/>
          <w:szCs w:val="28"/>
        </w:rPr>
        <w:t xml:space="preserve"> Ultimately it is the responsibility of the applicant to prove they are eligible, and thus if eligibility is not clearly established, the Council will not consider the application any further. </w:t>
      </w:r>
    </w:p>
    <w:p w14:paraId="259C77FF" w14:textId="77777777" w:rsidR="00620945" w:rsidRPr="00503001" w:rsidRDefault="00620945" w:rsidP="00620945">
      <w:pPr>
        <w:pStyle w:val="ListParagraph"/>
        <w:ind w:left="710"/>
        <w:rPr>
          <w:rFonts w:ascii="Arial" w:hAnsi="Arial" w:cs="Arial"/>
          <w:sz w:val="28"/>
          <w:szCs w:val="28"/>
        </w:rPr>
      </w:pPr>
    </w:p>
    <w:p w14:paraId="55ECCFDB" w14:textId="7BFE40CA" w:rsidR="008C780E" w:rsidRDefault="00503001" w:rsidP="00B345F3">
      <w:pPr>
        <w:pStyle w:val="ListParagraph"/>
        <w:numPr>
          <w:ilvl w:val="1"/>
          <w:numId w:val="1"/>
        </w:numPr>
        <w:ind w:left="710" w:hanging="710"/>
        <w:rPr>
          <w:rFonts w:ascii="Arial" w:hAnsi="Arial" w:cs="Arial"/>
          <w:sz w:val="28"/>
          <w:szCs w:val="28"/>
        </w:rPr>
      </w:pPr>
      <w:r w:rsidRPr="00503001">
        <w:rPr>
          <w:rFonts w:ascii="Arial" w:hAnsi="Arial" w:cs="Arial"/>
          <w:sz w:val="28"/>
          <w:szCs w:val="28"/>
        </w:rPr>
        <w:t>Before making any decision, we will always check the tenancy agreement and tenancy history, including whether any previous succession or assignment has already taken place.</w:t>
      </w:r>
    </w:p>
    <w:p w14:paraId="16DE32C5" w14:textId="77777777" w:rsidR="00B345F3" w:rsidRPr="00B345F3" w:rsidRDefault="00B345F3" w:rsidP="00B345F3">
      <w:pPr>
        <w:pStyle w:val="ListParagraph"/>
        <w:rPr>
          <w:rFonts w:ascii="Arial" w:hAnsi="Arial" w:cs="Arial"/>
          <w:sz w:val="28"/>
          <w:szCs w:val="28"/>
        </w:rPr>
      </w:pPr>
    </w:p>
    <w:p w14:paraId="3AB25A8F" w14:textId="7E4A9086" w:rsidR="00503001" w:rsidRPr="000C3A5B" w:rsidRDefault="00AF7E29" w:rsidP="00503001">
      <w:pPr>
        <w:pStyle w:val="ListParagraph"/>
        <w:numPr>
          <w:ilvl w:val="1"/>
          <w:numId w:val="1"/>
        </w:numPr>
        <w:ind w:left="710" w:hanging="710"/>
        <w:rPr>
          <w:rFonts w:ascii="Arial" w:hAnsi="Arial" w:cs="Arial"/>
          <w:sz w:val="28"/>
          <w:szCs w:val="28"/>
        </w:rPr>
      </w:pPr>
      <w:r w:rsidRPr="00AF7E29">
        <w:rPr>
          <w:rFonts w:ascii="Arial" w:hAnsi="Arial" w:cs="Arial"/>
          <w:sz w:val="28"/>
          <w:szCs w:val="28"/>
        </w:rPr>
        <w:t>If a family member under 18 is eligible to take over a tenancy (for agreements started before April 2012), a "Trustee" (usually a parent, guardian, or relative) will hold it for them as a minor cannot legally hold a tenancy. If no relative is available, the Council will involve Social Services.  The minor is granted an "equitable tenancy," meaning they have the right to live at the property. Once the successor reaches 18, the tenancy is officially transferred into their name, as long as they are still living there as their main home.</w:t>
      </w:r>
    </w:p>
    <w:p w14:paraId="0CE77A2D" w14:textId="77777777" w:rsidR="00F22ABC" w:rsidRPr="000C3A5B" w:rsidRDefault="00F22ABC" w:rsidP="00F22ABC">
      <w:pPr>
        <w:pStyle w:val="ListParagraph"/>
        <w:rPr>
          <w:rFonts w:ascii="Arial" w:hAnsi="Arial" w:cs="Arial"/>
          <w:sz w:val="28"/>
          <w:szCs w:val="28"/>
        </w:rPr>
      </w:pPr>
    </w:p>
    <w:p w14:paraId="39FB3580" w14:textId="19332A69" w:rsidR="00F22ABC" w:rsidRPr="000C3A5B"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Where someone has been living with the tenant but has no statutory or contractual succession right</w:t>
      </w:r>
      <w:r w:rsidR="00113D6E">
        <w:rPr>
          <w:rFonts w:ascii="Arial" w:hAnsi="Arial" w:cs="Arial"/>
          <w:sz w:val="28"/>
          <w:szCs w:val="28"/>
        </w:rPr>
        <w:t>s</w:t>
      </w:r>
      <w:r w:rsidRPr="00503001">
        <w:rPr>
          <w:rFonts w:ascii="Arial" w:hAnsi="Arial" w:cs="Arial"/>
          <w:sz w:val="28"/>
          <w:szCs w:val="28"/>
        </w:rPr>
        <w:t>, Sandwell Council is not normally able to grant a new tenancy for the same property due to high housing demand and limited stock.</w:t>
      </w:r>
      <w:r w:rsidR="00B0034F">
        <w:rPr>
          <w:rFonts w:ascii="Arial" w:hAnsi="Arial" w:cs="Arial"/>
          <w:sz w:val="28"/>
          <w:szCs w:val="28"/>
        </w:rPr>
        <w:t xml:space="preserve"> Instead, Sandwe</w:t>
      </w:r>
      <w:r w:rsidR="00113D6E">
        <w:rPr>
          <w:rFonts w:ascii="Arial" w:hAnsi="Arial" w:cs="Arial"/>
          <w:sz w:val="28"/>
          <w:szCs w:val="28"/>
        </w:rPr>
        <w:t>l</w:t>
      </w:r>
      <w:r w:rsidR="00B0034F">
        <w:rPr>
          <w:rFonts w:ascii="Arial" w:hAnsi="Arial" w:cs="Arial"/>
          <w:sz w:val="28"/>
          <w:szCs w:val="28"/>
        </w:rPr>
        <w:t>l Council will prov</w:t>
      </w:r>
      <w:r w:rsidR="00113D6E">
        <w:rPr>
          <w:rFonts w:ascii="Arial" w:hAnsi="Arial" w:cs="Arial"/>
          <w:sz w:val="28"/>
          <w:szCs w:val="28"/>
        </w:rPr>
        <w:t>i</w:t>
      </w:r>
      <w:r w:rsidR="00B0034F">
        <w:rPr>
          <w:rFonts w:ascii="Arial" w:hAnsi="Arial" w:cs="Arial"/>
          <w:sz w:val="28"/>
          <w:szCs w:val="28"/>
        </w:rPr>
        <w:t>de support to find suitable alternative accommodation.</w:t>
      </w:r>
    </w:p>
    <w:p w14:paraId="75404A89" w14:textId="77777777" w:rsidR="00F22ABC" w:rsidRPr="000C3A5B" w:rsidRDefault="00F22ABC" w:rsidP="00F22ABC">
      <w:pPr>
        <w:pStyle w:val="ListParagraph"/>
        <w:rPr>
          <w:rFonts w:ascii="Arial" w:hAnsi="Arial" w:cs="Arial"/>
          <w:sz w:val="28"/>
          <w:szCs w:val="28"/>
        </w:rPr>
      </w:pPr>
    </w:p>
    <w:p w14:paraId="6748E482" w14:textId="76E64188" w:rsidR="00503001" w:rsidRPr="000C3A5B"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 xml:space="preserve">However, </w:t>
      </w:r>
      <w:r w:rsidR="00113D6E">
        <w:rPr>
          <w:rFonts w:ascii="Arial" w:hAnsi="Arial" w:cs="Arial"/>
          <w:sz w:val="28"/>
          <w:szCs w:val="28"/>
        </w:rPr>
        <w:t xml:space="preserve">there are some limited circumstances in which </w:t>
      </w:r>
      <w:r w:rsidRPr="00503001">
        <w:rPr>
          <w:rFonts w:ascii="Arial" w:hAnsi="Arial" w:cs="Arial"/>
          <w:sz w:val="28"/>
          <w:szCs w:val="28"/>
        </w:rPr>
        <w:t xml:space="preserve"> Sandwell Council </w:t>
      </w:r>
      <w:r w:rsidR="00113D6E">
        <w:rPr>
          <w:rFonts w:ascii="Arial" w:hAnsi="Arial" w:cs="Arial"/>
          <w:sz w:val="28"/>
          <w:szCs w:val="28"/>
        </w:rPr>
        <w:t xml:space="preserve">can </w:t>
      </w:r>
      <w:r w:rsidRPr="00503001">
        <w:rPr>
          <w:rFonts w:ascii="Arial" w:hAnsi="Arial" w:cs="Arial"/>
          <w:sz w:val="28"/>
          <w:szCs w:val="28"/>
        </w:rPr>
        <w:t xml:space="preserve">consider using discretion to </w:t>
      </w:r>
      <w:r w:rsidR="00113D6E">
        <w:rPr>
          <w:rFonts w:ascii="Arial" w:hAnsi="Arial" w:cs="Arial"/>
          <w:sz w:val="28"/>
          <w:szCs w:val="28"/>
        </w:rPr>
        <w:t xml:space="preserve">grant a new Introductory </w:t>
      </w:r>
      <w:r w:rsidR="00113D6E">
        <w:rPr>
          <w:rFonts w:ascii="Arial" w:hAnsi="Arial" w:cs="Arial"/>
          <w:sz w:val="28"/>
          <w:szCs w:val="28"/>
        </w:rPr>
        <w:lastRenderedPageBreak/>
        <w:t xml:space="preserve">tenancy at the same property, as reflected in </w:t>
      </w:r>
      <w:r w:rsidRPr="00503001">
        <w:rPr>
          <w:rFonts w:ascii="Arial" w:hAnsi="Arial" w:cs="Arial"/>
          <w:sz w:val="28"/>
          <w:szCs w:val="28"/>
        </w:rPr>
        <w:t>our Allocations Policy.</w:t>
      </w:r>
    </w:p>
    <w:p w14:paraId="609CD647" w14:textId="77777777" w:rsidR="00F22ABC" w:rsidRPr="00F22ABC" w:rsidRDefault="00F22ABC" w:rsidP="00F22ABC">
      <w:pPr>
        <w:pStyle w:val="ListParagraph"/>
        <w:rPr>
          <w:rFonts w:ascii="Arial" w:hAnsi="Arial" w:cs="Arial"/>
          <w:b/>
          <w:bCs/>
          <w:sz w:val="28"/>
          <w:szCs w:val="28"/>
        </w:rPr>
      </w:pPr>
    </w:p>
    <w:p w14:paraId="4417E76D" w14:textId="321AF346" w:rsidR="0068529E" w:rsidRPr="00F82754" w:rsidRDefault="00503001" w:rsidP="0068529E">
      <w:pPr>
        <w:pStyle w:val="ListParagraph"/>
        <w:numPr>
          <w:ilvl w:val="1"/>
          <w:numId w:val="1"/>
        </w:numPr>
        <w:ind w:left="710" w:hanging="710"/>
        <w:rPr>
          <w:rFonts w:ascii="Arial" w:hAnsi="Arial" w:cs="Arial"/>
          <w:sz w:val="28"/>
          <w:szCs w:val="28"/>
        </w:rPr>
      </w:pPr>
      <w:r w:rsidRPr="00503001">
        <w:rPr>
          <w:rFonts w:ascii="Arial" w:hAnsi="Arial" w:cs="Arial"/>
          <w:sz w:val="28"/>
          <w:szCs w:val="28"/>
        </w:rPr>
        <w:t>If the tenancy was introductory or demoted at the time of the tenant’s death, it will remain in that status for the successor until the required period has been satisfactorily completed. Sandwell Council may extend an introductory tenancy where appropriate.</w:t>
      </w:r>
    </w:p>
    <w:p w14:paraId="17F95013" w14:textId="77777777" w:rsidR="0068529E" w:rsidRPr="00F82754" w:rsidRDefault="0068529E" w:rsidP="0068529E">
      <w:pPr>
        <w:pStyle w:val="ListParagraph"/>
        <w:rPr>
          <w:rFonts w:ascii="Arial" w:hAnsi="Arial" w:cs="Arial"/>
          <w:sz w:val="28"/>
          <w:szCs w:val="28"/>
        </w:rPr>
      </w:pPr>
    </w:p>
    <w:p w14:paraId="48235587" w14:textId="66ED5936" w:rsidR="00503001" w:rsidRPr="00503001"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 xml:space="preserve">Even where a person qualifies to succeed, they may still be required to move to more suitable accommodation. Sandwell Council </w:t>
      </w:r>
      <w:r w:rsidR="00C41D9B">
        <w:rPr>
          <w:rFonts w:ascii="Arial" w:hAnsi="Arial" w:cs="Arial"/>
          <w:sz w:val="28"/>
          <w:szCs w:val="28"/>
        </w:rPr>
        <w:t xml:space="preserve">will </w:t>
      </w:r>
      <w:r w:rsidRPr="00503001">
        <w:rPr>
          <w:rFonts w:ascii="Arial" w:hAnsi="Arial" w:cs="Arial"/>
          <w:sz w:val="28"/>
          <w:szCs w:val="28"/>
        </w:rPr>
        <w:t>seek possession under the following grounds of Schedule 2 of the Housing Act 1985, provided suitable alternative accommodation is available:</w:t>
      </w:r>
    </w:p>
    <w:p w14:paraId="0E94F30A" w14:textId="77777777" w:rsidR="00503001" w:rsidRPr="00503001" w:rsidRDefault="00503001" w:rsidP="00C26539">
      <w:pPr>
        <w:pStyle w:val="ListParagraph"/>
        <w:numPr>
          <w:ilvl w:val="0"/>
          <w:numId w:val="7"/>
        </w:numPr>
        <w:rPr>
          <w:rFonts w:ascii="Arial" w:hAnsi="Arial" w:cs="Arial"/>
          <w:sz w:val="28"/>
          <w:szCs w:val="28"/>
        </w:rPr>
      </w:pPr>
      <w:r w:rsidRPr="00503001">
        <w:rPr>
          <w:rFonts w:ascii="Arial" w:hAnsi="Arial" w:cs="Arial"/>
          <w:sz w:val="28"/>
          <w:szCs w:val="28"/>
        </w:rPr>
        <w:t>Ground 13 – the property has been specially adapted for a disabled person</w:t>
      </w:r>
    </w:p>
    <w:p w14:paraId="033C75B1" w14:textId="77777777" w:rsidR="00503001" w:rsidRPr="00503001" w:rsidRDefault="00503001" w:rsidP="00C26539">
      <w:pPr>
        <w:pStyle w:val="ListParagraph"/>
        <w:numPr>
          <w:ilvl w:val="0"/>
          <w:numId w:val="7"/>
        </w:numPr>
        <w:rPr>
          <w:rFonts w:ascii="Arial" w:hAnsi="Arial" w:cs="Arial"/>
          <w:sz w:val="28"/>
          <w:szCs w:val="28"/>
        </w:rPr>
      </w:pPr>
      <w:r w:rsidRPr="00503001">
        <w:rPr>
          <w:rFonts w:ascii="Arial" w:hAnsi="Arial" w:cs="Arial"/>
          <w:sz w:val="28"/>
          <w:szCs w:val="28"/>
        </w:rPr>
        <w:t>Ground 15 – the property is designed for an elderly person (e.g., sheltered housing)</w:t>
      </w:r>
    </w:p>
    <w:p w14:paraId="0B779C5F" w14:textId="77777777" w:rsidR="00D751DB" w:rsidRDefault="00503001" w:rsidP="00C26539">
      <w:pPr>
        <w:pStyle w:val="ListParagraph"/>
        <w:numPr>
          <w:ilvl w:val="0"/>
          <w:numId w:val="7"/>
        </w:numPr>
        <w:rPr>
          <w:rFonts w:ascii="Arial" w:hAnsi="Arial" w:cs="Arial"/>
          <w:sz w:val="28"/>
          <w:szCs w:val="28"/>
        </w:rPr>
      </w:pPr>
      <w:r w:rsidRPr="00503001">
        <w:rPr>
          <w:rFonts w:ascii="Arial" w:hAnsi="Arial" w:cs="Arial"/>
          <w:sz w:val="28"/>
          <w:szCs w:val="28"/>
        </w:rPr>
        <w:t>Ground 15A – the successor is under-occupying the property and is not the spouse, civil partner, or surviving joint tenant</w:t>
      </w:r>
      <w:r w:rsidR="00D751DB">
        <w:rPr>
          <w:rFonts w:ascii="Arial" w:hAnsi="Arial" w:cs="Arial"/>
          <w:sz w:val="28"/>
          <w:szCs w:val="28"/>
        </w:rPr>
        <w:t>.</w:t>
      </w:r>
    </w:p>
    <w:p w14:paraId="4320B150" w14:textId="64830DCB" w:rsidR="00503001" w:rsidRPr="00D751DB" w:rsidRDefault="00175D0D" w:rsidP="00D751DB">
      <w:pPr>
        <w:ind w:left="720"/>
        <w:rPr>
          <w:rFonts w:ascii="Arial" w:hAnsi="Arial" w:cs="Arial"/>
          <w:sz w:val="28"/>
          <w:szCs w:val="28"/>
        </w:rPr>
      </w:pPr>
      <w:r w:rsidRPr="00175D0D">
        <w:rPr>
          <w:rFonts w:ascii="Arial" w:hAnsi="Arial" w:cs="Arial"/>
          <w:sz w:val="28"/>
          <w:szCs w:val="28"/>
        </w:rPr>
        <w:t>A Notice of Seeking Possession will be served on the successor no earlier than six months and no later than twelve months after the death of the tenant (or the date the Council became aware of the death).</w:t>
      </w:r>
    </w:p>
    <w:p w14:paraId="2399982A" w14:textId="77777777" w:rsidR="00F858AF" w:rsidRPr="00503001" w:rsidRDefault="00F858AF" w:rsidP="00F858AF">
      <w:pPr>
        <w:pStyle w:val="ListParagraph"/>
        <w:ind w:left="710"/>
        <w:rPr>
          <w:rFonts w:ascii="Arial" w:hAnsi="Arial" w:cs="Arial"/>
          <w:b/>
          <w:bCs/>
          <w:sz w:val="28"/>
          <w:szCs w:val="28"/>
        </w:rPr>
      </w:pPr>
    </w:p>
    <w:p w14:paraId="583F1930" w14:textId="77777777" w:rsidR="00503001" w:rsidRPr="00D751DB"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b/>
          <w:bCs/>
          <w:i/>
          <w:iCs/>
          <w:sz w:val="28"/>
          <w:szCs w:val="28"/>
        </w:rPr>
        <w:t>Note:</w:t>
      </w:r>
      <w:r w:rsidRPr="00503001">
        <w:rPr>
          <w:rFonts w:ascii="Arial" w:hAnsi="Arial" w:cs="Arial"/>
          <w:sz w:val="28"/>
          <w:szCs w:val="28"/>
        </w:rPr>
        <w:t xml:space="preserve"> If the court grants possession and the successor accepts the alternative property offered by Sandwell Council, they will remain a successor in their new tenancy.</w:t>
      </w:r>
    </w:p>
    <w:p w14:paraId="105EA751" w14:textId="77777777" w:rsidR="00F82754" w:rsidRPr="00F82754" w:rsidRDefault="00F82754" w:rsidP="00F82754">
      <w:pPr>
        <w:pStyle w:val="ListParagraph"/>
        <w:rPr>
          <w:rFonts w:ascii="Arial" w:hAnsi="Arial" w:cs="Arial"/>
          <w:b/>
          <w:bCs/>
          <w:sz w:val="28"/>
          <w:szCs w:val="28"/>
        </w:rPr>
      </w:pPr>
    </w:p>
    <w:p w14:paraId="07B61916" w14:textId="79CB200D" w:rsidR="00503001" w:rsidRPr="0091138A" w:rsidRDefault="00503001" w:rsidP="00503001">
      <w:pPr>
        <w:pStyle w:val="ListParagraph"/>
        <w:numPr>
          <w:ilvl w:val="1"/>
          <w:numId w:val="1"/>
        </w:numPr>
        <w:ind w:left="710" w:hanging="710"/>
        <w:rPr>
          <w:rFonts w:ascii="Arial" w:hAnsi="Arial" w:cs="Arial"/>
          <w:sz w:val="28"/>
          <w:szCs w:val="28"/>
        </w:rPr>
      </w:pPr>
      <w:r w:rsidRPr="00503001">
        <w:rPr>
          <w:rFonts w:ascii="Arial" w:hAnsi="Arial" w:cs="Arial"/>
          <w:sz w:val="28"/>
          <w:szCs w:val="28"/>
        </w:rPr>
        <w:t>If more than one person applies to succeed and each meets the qualifying criteria, the applicants must decide between themselves who will take the tenancy. If they cannot reach agreement, Sandwell Council will make the final decision.</w:t>
      </w:r>
    </w:p>
    <w:p w14:paraId="440C77E2" w14:textId="77777777" w:rsidR="0091138A" w:rsidRPr="0091138A" w:rsidRDefault="0091138A" w:rsidP="0091138A">
      <w:pPr>
        <w:pStyle w:val="ListParagraph"/>
        <w:rPr>
          <w:rFonts w:ascii="Arial" w:hAnsi="Arial" w:cs="Arial"/>
          <w:b/>
          <w:bCs/>
          <w:sz w:val="28"/>
          <w:szCs w:val="28"/>
        </w:rPr>
      </w:pPr>
    </w:p>
    <w:p w14:paraId="6FED21E1" w14:textId="587E0BF5" w:rsidR="00503001" w:rsidRDefault="00503001" w:rsidP="00503001">
      <w:pPr>
        <w:pStyle w:val="ListParagraph"/>
        <w:numPr>
          <w:ilvl w:val="1"/>
          <w:numId w:val="1"/>
        </w:numPr>
        <w:ind w:left="710" w:hanging="710"/>
        <w:rPr>
          <w:rFonts w:ascii="Arial" w:hAnsi="Arial" w:cs="Arial"/>
          <w:sz w:val="28"/>
          <w:szCs w:val="28"/>
        </w:rPr>
      </w:pPr>
      <w:bookmarkStart w:id="8" w:name="_Hlk215043659"/>
      <w:r w:rsidRPr="00503001">
        <w:rPr>
          <w:rFonts w:ascii="Arial" w:hAnsi="Arial" w:cs="Arial"/>
          <w:sz w:val="28"/>
          <w:szCs w:val="28"/>
        </w:rPr>
        <w:t>The deceased tenant’s rent account continues to run until the tenancy legally ends. Where there is a statutory succession, the tenancy does not end. The successor becomes responsible for rent from the Monday following the tenant’s death.</w:t>
      </w:r>
      <w:r w:rsidR="00175D0D">
        <w:rPr>
          <w:rFonts w:ascii="Arial" w:hAnsi="Arial" w:cs="Arial"/>
          <w:sz w:val="28"/>
          <w:szCs w:val="28"/>
        </w:rPr>
        <w:t xml:space="preserve"> </w:t>
      </w:r>
      <w:r w:rsidR="00175D0D" w:rsidRPr="00175D0D">
        <w:rPr>
          <w:rFonts w:ascii="Arial" w:hAnsi="Arial" w:cs="Arial"/>
          <w:sz w:val="28"/>
          <w:szCs w:val="28"/>
        </w:rPr>
        <w:t xml:space="preserve">Although a successor "steps into the shoes" of the deceased tenant, they do not take over the former tenant’s arrears as that falls onto the </w:t>
      </w:r>
      <w:r w:rsidR="00175D0D" w:rsidRPr="00175D0D">
        <w:rPr>
          <w:rFonts w:ascii="Arial" w:hAnsi="Arial" w:cs="Arial"/>
          <w:sz w:val="28"/>
          <w:szCs w:val="28"/>
        </w:rPr>
        <w:lastRenderedPageBreak/>
        <w:t>deceased’s estate. Unless they were a joint tenant and succeeded through survivorship as when they were joint tenants they were jointly and severally liable for the rent.</w:t>
      </w:r>
    </w:p>
    <w:bookmarkEnd w:id="8"/>
    <w:p w14:paraId="0E5EAAA8" w14:textId="77777777" w:rsidR="00DB51E2" w:rsidRPr="00DB51E2" w:rsidRDefault="00DB51E2" w:rsidP="00DB51E2">
      <w:pPr>
        <w:pStyle w:val="ListParagraph"/>
        <w:rPr>
          <w:rFonts w:ascii="Arial" w:hAnsi="Arial" w:cs="Arial"/>
          <w:sz w:val="28"/>
          <w:szCs w:val="28"/>
        </w:rPr>
      </w:pPr>
    </w:p>
    <w:p w14:paraId="0ECE894A" w14:textId="7AC3CB0A" w:rsidR="00175D0D" w:rsidRDefault="00175D0D" w:rsidP="00175D0D">
      <w:pPr>
        <w:pStyle w:val="ListParagraph"/>
        <w:numPr>
          <w:ilvl w:val="1"/>
          <w:numId w:val="1"/>
        </w:numPr>
        <w:ind w:left="710" w:hanging="710"/>
        <w:rPr>
          <w:rFonts w:ascii="Arial" w:hAnsi="Arial" w:cs="Arial"/>
          <w:sz w:val="28"/>
          <w:szCs w:val="28"/>
        </w:rPr>
      </w:pPr>
      <w:bookmarkStart w:id="9" w:name="_Hlk215041688"/>
      <w:r>
        <w:rPr>
          <w:rFonts w:ascii="Arial" w:hAnsi="Arial" w:cs="Arial"/>
          <w:sz w:val="28"/>
          <w:szCs w:val="28"/>
        </w:rPr>
        <w:t>I</w:t>
      </w:r>
      <w:r w:rsidRPr="00175D0D">
        <w:rPr>
          <w:rFonts w:ascii="Arial" w:hAnsi="Arial" w:cs="Arial"/>
          <w:sz w:val="28"/>
          <w:szCs w:val="28"/>
        </w:rPr>
        <w:t xml:space="preserve">f there is no one eligible to succeed and no will, the Council must serve the </w:t>
      </w:r>
      <w:r>
        <w:rPr>
          <w:rFonts w:ascii="Arial" w:hAnsi="Arial" w:cs="Arial"/>
          <w:sz w:val="28"/>
          <w:szCs w:val="28"/>
        </w:rPr>
        <w:t>Notice to Quit (</w:t>
      </w:r>
      <w:r w:rsidRPr="00175D0D">
        <w:rPr>
          <w:rFonts w:ascii="Arial" w:hAnsi="Arial" w:cs="Arial"/>
          <w:sz w:val="28"/>
          <w:szCs w:val="28"/>
        </w:rPr>
        <w:t>NTQ</w:t>
      </w:r>
      <w:r>
        <w:rPr>
          <w:rFonts w:ascii="Arial" w:hAnsi="Arial" w:cs="Arial"/>
          <w:sz w:val="28"/>
          <w:szCs w:val="28"/>
        </w:rPr>
        <w:t>)</w:t>
      </w:r>
      <w:r w:rsidRPr="00175D0D">
        <w:rPr>
          <w:rFonts w:ascii="Arial" w:hAnsi="Arial" w:cs="Arial"/>
          <w:sz w:val="28"/>
          <w:szCs w:val="28"/>
        </w:rPr>
        <w:t xml:space="preserve"> on the Public Trustee to legally end the tenancy.</w:t>
      </w:r>
    </w:p>
    <w:p w14:paraId="5D8B09A8" w14:textId="77777777" w:rsidR="00175D0D" w:rsidRPr="00175D0D" w:rsidRDefault="00175D0D" w:rsidP="00175D0D">
      <w:pPr>
        <w:pStyle w:val="ListParagraph"/>
        <w:rPr>
          <w:rFonts w:ascii="Arial" w:hAnsi="Arial" w:cs="Arial"/>
          <w:sz w:val="28"/>
          <w:szCs w:val="28"/>
        </w:rPr>
      </w:pPr>
    </w:p>
    <w:p w14:paraId="7687D372" w14:textId="77777777" w:rsidR="00175D0D" w:rsidRPr="00175D0D" w:rsidRDefault="00175D0D" w:rsidP="00175D0D">
      <w:pPr>
        <w:pStyle w:val="ListParagraph"/>
        <w:numPr>
          <w:ilvl w:val="1"/>
          <w:numId w:val="1"/>
        </w:numPr>
        <w:ind w:left="710" w:hanging="710"/>
        <w:rPr>
          <w:rFonts w:ascii="Arial" w:hAnsi="Arial" w:cs="Arial"/>
          <w:b/>
          <w:bCs/>
          <w:sz w:val="28"/>
          <w:szCs w:val="28"/>
        </w:rPr>
      </w:pPr>
      <w:r w:rsidRPr="00175D0D">
        <w:rPr>
          <w:rFonts w:ascii="Arial" w:hAnsi="Arial" w:cs="Arial"/>
          <w:b/>
          <w:bCs/>
          <w:sz w:val="28"/>
          <w:szCs w:val="28"/>
        </w:rPr>
        <w:t>Succession and the Right to Buy</w:t>
      </w:r>
    </w:p>
    <w:p w14:paraId="53C7B845" w14:textId="77777777" w:rsidR="00175D0D" w:rsidRDefault="00175D0D" w:rsidP="00175D0D">
      <w:pPr>
        <w:pStyle w:val="ListParagraph"/>
        <w:ind w:left="710"/>
        <w:rPr>
          <w:rFonts w:ascii="Arial" w:hAnsi="Arial" w:cs="Arial"/>
          <w:sz w:val="28"/>
          <w:szCs w:val="28"/>
        </w:rPr>
      </w:pPr>
      <w:r w:rsidRPr="00175D0D">
        <w:rPr>
          <w:rFonts w:ascii="Arial" w:hAnsi="Arial" w:cs="Arial"/>
          <w:sz w:val="28"/>
          <w:szCs w:val="28"/>
        </w:rPr>
        <w:t>The Right to Buy (RTB) reforms introduced in 2025 expanded eligibility and access to discounted home ownership for qualifying secure tenants. Where a secure tenant has exercised the Right to Buy, the legal status of the home and the nature of occupation change fundamentally. As a result, statutory succession rights no longer apply once a property has been purchased under the Right to Buy.</w:t>
      </w:r>
    </w:p>
    <w:p w14:paraId="5075CB39" w14:textId="77777777" w:rsidR="00175D0D" w:rsidRPr="00175D0D" w:rsidRDefault="00175D0D" w:rsidP="00175D0D">
      <w:pPr>
        <w:pStyle w:val="ListParagraph"/>
        <w:ind w:left="710"/>
        <w:rPr>
          <w:rFonts w:ascii="Arial" w:hAnsi="Arial" w:cs="Arial"/>
          <w:sz w:val="28"/>
          <w:szCs w:val="28"/>
        </w:rPr>
      </w:pPr>
    </w:p>
    <w:p w14:paraId="2FF512A6" w14:textId="77777777" w:rsidR="00175D0D" w:rsidRPr="00175D0D" w:rsidRDefault="00175D0D" w:rsidP="00175D0D">
      <w:pPr>
        <w:pStyle w:val="ListParagraph"/>
        <w:ind w:left="710"/>
        <w:rPr>
          <w:rFonts w:ascii="Arial" w:hAnsi="Arial" w:cs="Arial"/>
          <w:sz w:val="28"/>
          <w:szCs w:val="28"/>
        </w:rPr>
      </w:pPr>
      <w:r w:rsidRPr="00175D0D">
        <w:rPr>
          <w:rFonts w:ascii="Arial" w:hAnsi="Arial" w:cs="Arial"/>
          <w:sz w:val="28"/>
          <w:szCs w:val="28"/>
        </w:rPr>
        <w:t>Upon completion of a Right to Buy purchase, the tenancy ends and is replaced by either:</w:t>
      </w:r>
    </w:p>
    <w:p w14:paraId="67D92D23" w14:textId="77777777" w:rsidR="00175D0D" w:rsidRPr="00175D0D" w:rsidRDefault="00175D0D" w:rsidP="00175D0D">
      <w:pPr>
        <w:pStyle w:val="ListParagraph"/>
        <w:numPr>
          <w:ilvl w:val="0"/>
          <w:numId w:val="25"/>
        </w:numPr>
        <w:rPr>
          <w:rFonts w:ascii="Arial" w:hAnsi="Arial" w:cs="Arial"/>
          <w:sz w:val="28"/>
          <w:szCs w:val="28"/>
        </w:rPr>
      </w:pPr>
      <w:r w:rsidRPr="00175D0D">
        <w:rPr>
          <w:rFonts w:ascii="Arial" w:hAnsi="Arial" w:cs="Arial"/>
          <w:sz w:val="28"/>
          <w:szCs w:val="28"/>
        </w:rPr>
        <w:t>a long leasehold interest (for flats and maisonettes), or</w:t>
      </w:r>
    </w:p>
    <w:p w14:paraId="11A598D2" w14:textId="77777777" w:rsidR="00175D0D" w:rsidRPr="00175D0D" w:rsidRDefault="00175D0D" w:rsidP="00175D0D">
      <w:pPr>
        <w:pStyle w:val="ListParagraph"/>
        <w:numPr>
          <w:ilvl w:val="0"/>
          <w:numId w:val="25"/>
        </w:numPr>
        <w:rPr>
          <w:rFonts w:ascii="Arial" w:hAnsi="Arial" w:cs="Arial"/>
          <w:sz w:val="28"/>
          <w:szCs w:val="28"/>
        </w:rPr>
      </w:pPr>
      <w:r w:rsidRPr="00175D0D">
        <w:rPr>
          <w:rFonts w:ascii="Arial" w:hAnsi="Arial" w:cs="Arial"/>
          <w:sz w:val="28"/>
          <w:szCs w:val="28"/>
        </w:rPr>
        <w:t>freehold ownership (for houses),</w:t>
      </w:r>
    </w:p>
    <w:p w14:paraId="18E4627E" w14:textId="77777777" w:rsidR="00175D0D" w:rsidRPr="00175D0D" w:rsidRDefault="00175D0D" w:rsidP="00175D0D">
      <w:pPr>
        <w:pStyle w:val="ListParagraph"/>
        <w:numPr>
          <w:ilvl w:val="0"/>
          <w:numId w:val="25"/>
        </w:numPr>
        <w:rPr>
          <w:rFonts w:ascii="Arial" w:hAnsi="Arial" w:cs="Arial"/>
          <w:sz w:val="28"/>
          <w:szCs w:val="28"/>
        </w:rPr>
      </w:pPr>
      <w:r w:rsidRPr="00175D0D">
        <w:rPr>
          <w:rFonts w:ascii="Arial" w:hAnsi="Arial" w:cs="Arial"/>
          <w:sz w:val="28"/>
          <w:szCs w:val="28"/>
        </w:rPr>
        <w:t>subject to the terms of the sale and any relevant covenants.</w:t>
      </w:r>
    </w:p>
    <w:p w14:paraId="7367DE77" w14:textId="77777777" w:rsidR="00175D0D" w:rsidRPr="00175D0D" w:rsidRDefault="00175D0D" w:rsidP="00175D0D">
      <w:pPr>
        <w:pStyle w:val="ListParagraph"/>
        <w:ind w:left="710"/>
        <w:rPr>
          <w:rFonts w:ascii="Arial" w:hAnsi="Arial" w:cs="Arial"/>
          <w:sz w:val="28"/>
          <w:szCs w:val="28"/>
        </w:rPr>
      </w:pPr>
    </w:p>
    <w:p w14:paraId="0CA34A14" w14:textId="4203F7E1" w:rsidR="00175D0D" w:rsidRPr="00175D0D" w:rsidRDefault="000F5897" w:rsidP="00175D0D">
      <w:pPr>
        <w:pStyle w:val="ListParagraph"/>
        <w:numPr>
          <w:ilvl w:val="1"/>
          <w:numId w:val="1"/>
        </w:numPr>
        <w:ind w:left="710" w:hanging="710"/>
        <w:rPr>
          <w:rFonts w:ascii="Arial" w:hAnsi="Arial" w:cs="Arial"/>
          <w:b/>
          <w:bCs/>
          <w:sz w:val="28"/>
          <w:szCs w:val="28"/>
        </w:rPr>
      </w:pPr>
      <w:r>
        <w:rPr>
          <w:rFonts w:ascii="Arial" w:hAnsi="Arial" w:cs="Arial"/>
          <w:b/>
          <w:bCs/>
          <w:sz w:val="28"/>
          <w:szCs w:val="28"/>
        </w:rPr>
        <w:t>Right to Buy Effects</w:t>
      </w:r>
      <w:r w:rsidR="00175D0D" w:rsidRPr="00175D0D">
        <w:rPr>
          <w:rFonts w:ascii="Arial" w:hAnsi="Arial" w:cs="Arial"/>
          <w:b/>
          <w:bCs/>
          <w:sz w:val="28"/>
          <w:szCs w:val="28"/>
        </w:rPr>
        <w:t xml:space="preserve"> on Succession Rights</w:t>
      </w:r>
    </w:p>
    <w:p w14:paraId="6F5D8D9F" w14:textId="77777777" w:rsidR="00175D0D" w:rsidRPr="00175D0D" w:rsidRDefault="00175D0D" w:rsidP="00175D0D">
      <w:pPr>
        <w:pStyle w:val="ListParagraph"/>
        <w:ind w:left="710"/>
        <w:rPr>
          <w:rFonts w:ascii="Arial" w:hAnsi="Arial" w:cs="Arial"/>
          <w:sz w:val="28"/>
          <w:szCs w:val="28"/>
        </w:rPr>
      </w:pPr>
      <w:r w:rsidRPr="00175D0D">
        <w:rPr>
          <w:rFonts w:ascii="Arial" w:hAnsi="Arial" w:cs="Arial"/>
          <w:sz w:val="28"/>
          <w:szCs w:val="28"/>
        </w:rPr>
        <w:t xml:space="preserve">Succession rights under the Housing Act 1985 apply </w:t>
      </w:r>
      <w:r w:rsidRPr="00175D0D">
        <w:rPr>
          <w:rFonts w:ascii="Arial" w:hAnsi="Arial" w:cs="Arial"/>
          <w:b/>
          <w:bCs/>
          <w:sz w:val="28"/>
          <w:szCs w:val="28"/>
        </w:rPr>
        <w:t>only to secure tenancies</w:t>
      </w:r>
      <w:r w:rsidRPr="00175D0D">
        <w:rPr>
          <w:rFonts w:ascii="Arial" w:hAnsi="Arial" w:cs="Arial"/>
          <w:sz w:val="28"/>
          <w:szCs w:val="28"/>
        </w:rPr>
        <w:t>. Once a property has been purchased under the Right to Buy:</w:t>
      </w:r>
    </w:p>
    <w:p w14:paraId="730EFAFA" w14:textId="77777777" w:rsidR="00175D0D" w:rsidRPr="00175D0D" w:rsidRDefault="00175D0D" w:rsidP="00175D0D">
      <w:pPr>
        <w:pStyle w:val="ListParagraph"/>
        <w:numPr>
          <w:ilvl w:val="0"/>
          <w:numId w:val="26"/>
        </w:numPr>
        <w:rPr>
          <w:rFonts w:ascii="Arial" w:hAnsi="Arial" w:cs="Arial"/>
          <w:sz w:val="28"/>
          <w:szCs w:val="28"/>
        </w:rPr>
      </w:pPr>
      <w:r w:rsidRPr="00175D0D">
        <w:rPr>
          <w:rFonts w:ascii="Arial" w:hAnsi="Arial" w:cs="Arial"/>
          <w:sz w:val="28"/>
          <w:szCs w:val="28"/>
        </w:rPr>
        <w:t>There is no statutory or contractual right of succession to the former council tenancy.</w:t>
      </w:r>
    </w:p>
    <w:p w14:paraId="20BF5085" w14:textId="77777777" w:rsidR="00175D0D" w:rsidRPr="00175D0D" w:rsidRDefault="00175D0D" w:rsidP="00175D0D">
      <w:pPr>
        <w:pStyle w:val="ListParagraph"/>
        <w:numPr>
          <w:ilvl w:val="0"/>
          <w:numId w:val="26"/>
        </w:numPr>
        <w:rPr>
          <w:rFonts w:ascii="Arial" w:hAnsi="Arial" w:cs="Arial"/>
          <w:sz w:val="28"/>
          <w:szCs w:val="28"/>
        </w:rPr>
      </w:pPr>
      <w:r w:rsidRPr="00175D0D">
        <w:rPr>
          <w:rFonts w:ascii="Arial" w:hAnsi="Arial" w:cs="Arial"/>
          <w:sz w:val="28"/>
          <w:szCs w:val="28"/>
        </w:rPr>
        <w:t>Occupation and future rights to the property are governed by property law, not housing legislation.</w:t>
      </w:r>
    </w:p>
    <w:p w14:paraId="3998A6D2" w14:textId="77777777" w:rsidR="00175D0D" w:rsidRPr="00175D0D" w:rsidRDefault="00175D0D" w:rsidP="00175D0D">
      <w:pPr>
        <w:pStyle w:val="ListParagraph"/>
        <w:ind w:left="710"/>
        <w:rPr>
          <w:rFonts w:ascii="Arial" w:hAnsi="Arial" w:cs="Arial"/>
          <w:sz w:val="28"/>
          <w:szCs w:val="28"/>
        </w:rPr>
      </w:pPr>
    </w:p>
    <w:p w14:paraId="6680AFFE" w14:textId="77777777" w:rsidR="00175D0D" w:rsidRPr="00175D0D" w:rsidRDefault="00175D0D" w:rsidP="00175D0D">
      <w:pPr>
        <w:pStyle w:val="ListParagraph"/>
        <w:numPr>
          <w:ilvl w:val="1"/>
          <w:numId w:val="1"/>
        </w:numPr>
        <w:ind w:left="710" w:hanging="710"/>
        <w:rPr>
          <w:rFonts w:ascii="Arial" w:hAnsi="Arial" w:cs="Arial"/>
          <w:sz w:val="28"/>
          <w:szCs w:val="28"/>
        </w:rPr>
      </w:pPr>
      <w:r w:rsidRPr="00175D0D">
        <w:rPr>
          <w:rFonts w:ascii="Arial" w:hAnsi="Arial" w:cs="Arial"/>
          <w:sz w:val="28"/>
          <w:szCs w:val="28"/>
        </w:rPr>
        <w:t>Any right to remain in or inherit the property will depend on:</w:t>
      </w:r>
    </w:p>
    <w:p w14:paraId="71EC8D85" w14:textId="77777777" w:rsidR="00175D0D" w:rsidRPr="00175D0D" w:rsidRDefault="00175D0D" w:rsidP="00175D0D">
      <w:pPr>
        <w:pStyle w:val="ListParagraph"/>
        <w:numPr>
          <w:ilvl w:val="0"/>
          <w:numId w:val="27"/>
        </w:numPr>
        <w:rPr>
          <w:rFonts w:ascii="Arial" w:hAnsi="Arial" w:cs="Arial"/>
          <w:sz w:val="28"/>
          <w:szCs w:val="28"/>
        </w:rPr>
      </w:pPr>
      <w:r w:rsidRPr="00175D0D">
        <w:rPr>
          <w:rFonts w:ascii="Arial" w:hAnsi="Arial" w:cs="Arial"/>
          <w:sz w:val="28"/>
          <w:szCs w:val="28"/>
        </w:rPr>
        <w:t>the terms of the lease (where applicable), and/or</w:t>
      </w:r>
    </w:p>
    <w:p w14:paraId="1AFE16E3" w14:textId="77777777" w:rsidR="00175D0D" w:rsidRDefault="00175D0D" w:rsidP="00175D0D">
      <w:pPr>
        <w:pStyle w:val="ListParagraph"/>
        <w:numPr>
          <w:ilvl w:val="0"/>
          <w:numId w:val="27"/>
        </w:numPr>
        <w:rPr>
          <w:rFonts w:ascii="Arial" w:hAnsi="Arial" w:cs="Arial"/>
          <w:sz w:val="28"/>
          <w:szCs w:val="28"/>
        </w:rPr>
      </w:pPr>
      <w:r w:rsidRPr="00175D0D">
        <w:rPr>
          <w:rFonts w:ascii="Arial" w:hAnsi="Arial" w:cs="Arial"/>
          <w:sz w:val="28"/>
          <w:szCs w:val="28"/>
        </w:rPr>
        <w:t>the owner’s will, intestacy rules, or other legal arrangements.</w:t>
      </w:r>
    </w:p>
    <w:p w14:paraId="1BD6CCCB" w14:textId="77777777" w:rsidR="00175D0D" w:rsidRPr="00175D0D" w:rsidRDefault="00175D0D" w:rsidP="00175D0D">
      <w:pPr>
        <w:pStyle w:val="ListParagraph"/>
        <w:ind w:left="710"/>
        <w:rPr>
          <w:rFonts w:ascii="Arial" w:hAnsi="Arial" w:cs="Arial"/>
          <w:sz w:val="28"/>
          <w:szCs w:val="28"/>
        </w:rPr>
      </w:pPr>
    </w:p>
    <w:p w14:paraId="20C0C7C7" w14:textId="77777777" w:rsidR="00175D0D" w:rsidRPr="00175D0D" w:rsidRDefault="00175D0D" w:rsidP="00175D0D">
      <w:pPr>
        <w:pStyle w:val="ListParagraph"/>
        <w:numPr>
          <w:ilvl w:val="1"/>
          <w:numId w:val="1"/>
        </w:numPr>
        <w:ind w:left="710" w:hanging="710"/>
        <w:rPr>
          <w:rFonts w:ascii="Arial" w:hAnsi="Arial" w:cs="Arial"/>
          <w:sz w:val="28"/>
          <w:szCs w:val="28"/>
        </w:rPr>
      </w:pPr>
      <w:r w:rsidRPr="00175D0D">
        <w:rPr>
          <w:rFonts w:ascii="Arial" w:hAnsi="Arial" w:cs="Arial"/>
          <w:sz w:val="28"/>
          <w:szCs w:val="28"/>
        </w:rPr>
        <w:t xml:space="preserve">Sandwell Council has </w:t>
      </w:r>
      <w:r w:rsidRPr="00175D0D">
        <w:rPr>
          <w:rFonts w:ascii="Arial" w:hAnsi="Arial" w:cs="Arial"/>
          <w:b/>
          <w:bCs/>
          <w:sz w:val="28"/>
          <w:szCs w:val="28"/>
        </w:rPr>
        <w:t>no discretion</w:t>
      </w:r>
      <w:r w:rsidRPr="00175D0D">
        <w:rPr>
          <w:rFonts w:ascii="Arial" w:hAnsi="Arial" w:cs="Arial"/>
          <w:sz w:val="28"/>
          <w:szCs w:val="28"/>
        </w:rPr>
        <w:t xml:space="preserve"> to grant a succession or a new council tenancy in respect of a property that has been purchased under the Right to Buy.</w:t>
      </w:r>
    </w:p>
    <w:p w14:paraId="1EBCD172" w14:textId="77777777" w:rsidR="00175D0D" w:rsidRPr="00175D0D" w:rsidRDefault="00175D0D" w:rsidP="00175D0D">
      <w:pPr>
        <w:pStyle w:val="ListParagraph"/>
        <w:numPr>
          <w:ilvl w:val="1"/>
          <w:numId w:val="1"/>
        </w:numPr>
        <w:ind w:left="710" w:hanging="710"/>
        <w:rPr>
          <w:rFonts w:ascii="Arial" w:hAnsi="Arial" w:cs="Arial"/>
          <w:sz w:val="28"/>
          <w:szCs w:val="28"/>
        </w:rPr>
      </w:pPr>
      <w:r w:rsidRPr="00175D0D">
        <w:rPr>
          <w:rFonts w:ascii="Arial" w:hAnsi="Arial" w:cs="Arial"/>
          <w:sz w:val="28"/>
          <w:szCs w:val="28"/>
        </w:rPr>
        <w:lastRenderedPageBreak/>
        <w:t>Applications Made Following the Death of an RTB Purchaser</w:t>
      </w:r>
    </w:p>
    <w:p w14:paraId="4CBBC613" w14:textId="77777777" w:rsidR="00175D0D" w:rsidRPr="00175D0D" w:rsidRDefault="00175D0D" w:rsidP="00175D0D">
      <w:pPr>
        <w:pStyle w:val="ListParagraph"/>
        <w:ind w:left="710"/>
        <w:rPr>
          <w:rFonts w:ascii="Arial" w:hAnsi="Arial" w:cs="Arial"/>
          <w:sz w:val="28"/>
          <w:szCs w:val="28"/>
        </w:rPr>
      </w:pPr>
      <w:r w:rsidRPr="00175D0D">
        <w:rPr>
          <w:rFonts w:ascii="Arial" w:hAnsi="Arial" w:cs="Arial"/>
          <w:sz w:val="28"/>
          <w:szCs w:val="28"/>
        </w:rPr>
        <w:t>Where a former secure tenant dies after completing a Right to Buy purchase:</w:t>
      </w:r>
    </w:p>
    <w:p w14:paraId="5AAAA190" w14:textId="77777777" w:rsidR="00175D0D" w:rsidRPr="00175D0D" w:rsidRDefault="00175D0D" w:rsidP="00175D0D">
      <w:pPr>
        <w:pStyle w:val="ListParagraph"/>
        <w:numPr>
          <w:ilvl w:val="0"/>
          <w:numId w:val="28"/>
        </w:numPr>
        <w:rPr>
          <w:rFonts w:ascii="Arial" w:hAnsi="Arial" w:cs="Arial"/>
          <w:sz w:val="28"/>
          <w:szCs w:val="28"/>
        </w:rPr>
      </w:pPr>
      <w:r w:rsidRPr="00175D0D">
        <w:rPr>
          <w:rFonts w:ascii="Arial" w:hAnsi="Arial" w:cs="Arial"/>
          <w:sz w:val="28"/>
          <w:szCs w:val="28"/>
        </w:rPr>
        <w:t>The property does not revert to Sandwell Council.</w:t>
      </w:r>
    </w:p>
    <w:p w14:paraId="5F050945" w14:textId="77777777" w:rsidR="00175D0D" w:rsidRPr="00175D0D" w:rsidRDefault="00175D0D" w:rsidP="00175D0D">
      <w:pPr>
        <w:pStyle w:val="ListParagraph"/>
        <w:numPr>
          <w:ilvl w:val="0"/>
          <w:numId w:val="28"/>
        </w:numPr>
        <w:rPr>
          <w:rFonts w:ascii="Arial" w:hAnsi="Arial" w:cs="Arial"/>
          <w:sz w:val="28"/>
          <w:szCs w:val="28"/>
        </w:rPr>
      </w:pPr>
      <w:r w:rsidRPr="00175D0D">
        <w:rPr>
          <w:rFonts w:ascii="Arial" w:hAnsi="Arial" w:cs="Arial"/>
          <w:sz w:val="28"/>
          <w:szCs w:val="28"/>
        </w:rPr>
        <w:t>Family members or household members cannot succeed to the former tenancy.</w:t>
      </w:r>
    </w:p>
    <w:p w14:paraId="5F4194D9" w14:textId="77777777" w:rsidR="00175D0D" w:rsidRPr="00175D0D" w:rsidRDefault="00175D0D" w:rsidP="00175D0D">
      <w:pPr>
        <w:pStyle w:val="ListParagraph"/>
        <w:numPr>
          <w:ilvl w:val="0"/>
          <w:numId w:val="28"/>
        </w:numPr>
        <w:rPr>
          <w:rFonts w:ascii="Arial" w:hAnsi="Arial" w:cs="Arial"/>
          <w:sz w:val="28"/>
          <w:szCs w:val="28"/>
        </w:rPr>
      </w:pPr>
      <w:r w:rsidRPr="00175D0D">
        <w:rPr>
          <w:rFonts w:ascii="Arial" w:hAnsi="Arial" w:cs="Arial"/>
          <w:sz w:val="28"/>
          <w:szCs w:val="28"/>
        </w:rPr>
        <w:t>Any disputes regarding occupation, inheritance, or ownership must be resolved through private legal processes.</w:t>
      </w:r>
    </w:p>
    <w:p w14:paraId="032F0D76" w14:textId="77777777" w:rsidR="00175D0D" w:rsidRPr="00175D0D" w:rsidRDefault="00175D0D" w:rsidP="00175D0D">
      <w:pPr>
        <w:pStyle w:val="ListParagraph"/>
        <w:ind w:left="710"/>
        <w:rPr>
          <w:rFonts w:ascii="Arial" w:hAnsi="Arial" w:cs="Arial"/>
          <w:sz w:val="28"/>
          <w:szCs w:val="28"/>
        </w:rPr>
      </w:pPr>
    </w:p>
    <w:p w14:paraId="71F8418A" w14:textId="77777777" w:rsidR="00175D0D" w:rsidRDefault="00175D0D" w:rsidP="00175D0D">
      <w:pPr>
        <w:pStyle w:val="ListParagraph"/>
        <w:numPr>
          <w:ilvl w:val="1"/>
          <w:numId w:val="1"/>
        </w:numPr>
        <w:ind w:left="710" w:hanging="710"/>
        <w:rPr>
          <w:rFonts w:ascii="Arial" w:hAnsi="Arial" w:cs="Arial"/>
          <w:sz w:val="28"/>
          <w:szCs w:val="28"/>
        </w:rPr>
      </w:pPr>
      <w:r w:rsidRPr="00175D0D">
        <w:rPr>
          <w:rFonts w:ascii="Arial" w:hAnsi="Arial" w:cs="Arial"/>
          <w:sz w:val="28"/>
          <w:szCs w:val="28"/>
        </w:rPr>
        <w:t>The Council will provide general housing advice where appropriate, including information on housing options, but it cannot intervene in matters of ownership or succession to privately owned property.</w:t>
      </w:r>
    </w:p>
    <w:p w14:paraId="05EDD156" w14:textId="77777777" w:rsidR="00D14FD2" w:rsidRPr="00175D0D" w:rsidRDefault="00D14FD2" w:rsidP="00D14FD2">
      <w:pPr>
        <w:pStyle w:val="ListParagraph"/>
        <w:ind w:left="710"/>
        <w:rPr>
          <w:rFonts w:ascii="Arial" w:hAnsi="Arial" w:cs="Arial"/>
          <w:sz w:val="28"/>
          <w:szCs w:val="28"/>
        </w:rPr>
      </w:pPr>
    </w:p>
    <w:p w14:paraId="5BF73CDF" w14:textId="05AFA878" w:rsidR="00175D0D" w:rsidRPr="00175D0D" w:rsidRDefault="00175D0D" w:rsidP="00175D0D">
      <w:pPr>
        <w:pStyle w:val="ListParagraph"/>
        <w:numPr>
          <w:ilvl w:val="1"/>
          <w:numId w:val="1"/>
        </w:numPr>
        <w:ind w:left="710" w:hanging="710"/>
        <w:rPr>
          <w:rFonts w:ascii="Arial" w:hAnsi="Arial" w:cs="Arial"/>
          <w:b/>
          <w:bCs/>
          <w:sz w:val="28"/>
          <w:szCs w:val="28"/>
        </w:rPr>
      </w:pPr>
      <w:r w:rsidRPr="00175D0D">
        <w:rPr>
          <w:rFonts w:ascii="Arial" w:hAnsi="Arial" w:cs="Arial"/>
          <w:b/>
          <w:bCs/>
          <w:sz w:val="28"/>
          <w:szCs w:val="28"/>
        </w:rPr>
        <w:t>R</w:t>
      </w:r>
      <w:r w:rsidR="000F5897">
        <w:rPr>
          <w:rFonts w:ascii="Arial" w:hAnsi="Arial" w:cs="Arial"/>
          <w:b/>
          <w:bCs/>
          <w:sz w:val="28"/>
          <w:szCs w:val="28"/>
        </w:rPr>
        <w:t>ight to Buy</w:t>
      </w:r>
      <w:r w:rsidRPr="00175D0D">
        <w:rPr>
          <w:rFonts w:ascii="Arial" w:hAnsi="Arial" w:cs="Arial"/>
          <w:b/>
          <w:bCs/>
          <w:sz w:val="28"/>
          <w:szCs w:val="28"/>
        </w:rPr>
        <w:t xml:space="preserve"> Applications in Progress at the Time of Death</w:t>
      </w:r>
    </w:p>
    <w:p w14:paraId="36E72D06" w14:textId="77777777" w:rsidR="00175D0D" w:rsidRPr="00175D0D" w:rsidRDefault="00175D0D" w:rsidP="000F5897">
      <w:pPr>
        <w:pStyle w:val="ListParagraph"/>
        <w:ind w:left="710"/>
        <w:rPr>
          <w:rFonts w:ascii="Arial" w:hAnsi="Arial" w:cs="Arial"/>
          <w:sz w:val="28"/>
          <w:szCs w:val="28"/>
        </w:rPr>
      </w:pPr>
      <w:r w:rsidRPr="00175D0D">
        <w:rPr>
          <w:rFonts w:ascii="Arial" w:hAnsi="Arial" w:cs="Arial"/>
          <w:sz w:val="28"/>
          <w:szCs w:val="28"/>
        </w:rPr>
        <w:t>Where a secure tenant dies before completion of a Right to Buy purchase:</w:t>
      </w:r>
    </w:p>
    <w:p w14:paraId="5DB71C3D" w14:textId="77777777" w:rsidR="00175D0D" w:rsidRPr="00175D0D" w:rsidRDefault="00175D0D" w:rsidP="000F5897">
      <w:pPr>
        <w:pStyle w:val="ListParagraph"/>
        <w:numPr>
          <w:ilvl w:val="0"/>
          <w:numId w:val="29"/>
        </w:numPr>
        <w:rPr>
          <w:rFonts w:ascii="Arial" w:hAnsi="Arial" w:cs="Arial"/>
          <w:sz w:val="28"/>
          <w:szCs w:val="28"/>
        </w:rPr>
      </w:pPr>
      <w:r w:rsidRPr="00175D0D">
        <w:rPr>
          <w:rFonts w:ascii="Arial" w:hAnsi="Arial" w:cs="Arial"/>
          <w:sz w:val="28"/>
          <w:szCs w:val="28"/>
        </w:rPr>
        <w:t>The RTB application will be treated in line with relevant legislation and guidance in force at the time.</w:t>
      </w:r>
    </w:p>
    <w:p w14:paraId="54C340ED" w14:textId="7880DC1D" w:rsidR="00175D0D" w:rsidRPr="00F577EB" w:rsidRDefault="00F577EB" w:rsidP="00F577EB">
      <w:pPr>
        <w:pStyle w:val="ListParagraph"/>
        <w:numPr>
          <w:ilvl w:val="0"/>
          <w:numId w:val="29"/>
        </w:numPr>
        <w:rPr>
          <w:rFonts w:ascii="Arial" w:hAnsi="Arial" w:cs="Arial"/>
          <w:sz w:val="28"/>
          <w:szCs w:val="28"/>
        </w:rPr>
      </w:pPr>
      <w:r w:rsidRPr="00F577EB">
        <w:rPr>
          <w:rFonts w:ascii="Arial" w:hAnsi="Arial" w:cs="Arial"/>
          <w:sz w:val="28"/>
          <w:szCs w:val="28"/>
        </w:rPr>
        <w:t xml:space="preserve">A family member who is not entitled to succeed to the tenancy (because a succession has already occurred) can still complete the purchase if they were validly joined to the RTB application before the tenant died. The family member must have lived in the property as their only or principal home at the time of the death to remain eligible. </w:t>
      </w:r>
    </w:p>
    <w:p w14:paraId="619EAC19" w14:textId="77777777" w:rsidR="00175D0D" w:rsidRPr="00175D0D" w:rsidRDefault="00175D0D" w:rsidP="000F5897">
      <w:pPr>
        <w:pStyle w:val="ListParagraph"/>
        <w:numPr>
          <w:ilvl w:val="0"/>
          <w:numId w:val="29"/>
        </w:numPr>
        <w:rPr>
          <w:rFonts w:ascii="Arial" w:hAnsi="Arial" w:cs="Arial"/>
          <w:sz w:val="28"/>
          <w:szCs w:val="28"/>
        </w:rPr>
      </w:pPr>
      <w:r w:rsidRPr="00175D0D">
        <w:rPr>
          <w:rFonts w:ascii="Arial" w:hAnsi="Arial" w:cs="Arial"/>
          <w:sz w:val="28"/>
          <w:szCs w:val="28"/>
        </w:rPr>
        <w:t>If no statutory succession occurs, the Right to Buy application will normally lapse.</w:t>
      </w:r>
    </w:p>
    <w:p w14:paraId="1F3D196B" w14:textId="77777777" w:rsidR="00175D0D" w:rsidRDefault="00175D0D" w:rsidP="000F5897">
      <w:pPr>
        <w:pStyle w:val="ListParagraph"/>
        <w:numPr>
          <w:ilvl w:val="0"/>
          <w:numId w:val="29"/>
        </w:numPr>
        <w:rPr>
          <w:rFonts w:ascii="Arial" w:hAnsi="Arial" w:cs="Arial"/>
          <w:sz w:val="28"/>
          <w:szCs w:val="28"/>
        </w:rPr>
      </w:pPr>
      <w:r w:rsidRPr="00175D0D">
        <w:rPr>
          <w:rFonts w:ascii="Arial" w:hAnsi="Arial" w:cs="Arial"/>
          <w:sz w:val="28"/>
          <w:szCs w:val="28"/>
        </w:rPr>
        <w:t>Each case will be assessed on its individual facts, having regard to the tenancy status, eligibility for succession, and the stage reached in the RTB process.</w:t>
      </w:r>
    </w:p>
    <w:p w14:paraId="281B7E7D" w14:textId="77777777" w:rsidR="000F5897" w:rsidRPr="00175D0D" w:rsidRDefault="000F5897" w:rsidP="000F5897">
      <w:pPr>
        <w:pStyle w:val="ListParagraph"/>
        <w:ind w:left="710"/>
        <w:rPr>
          <w:rFonts w:ascii="Arial" w:hAnsi="Arial" w:cs="Arial"/>
          <w:sz w:val="28"/>
          <w:szCs w:val="28"/>
        </w:rPr>
      </w:pPr>
    </w:p>
    <w:p w14:paraId="0604EBA7" w14:textId="06862680" w:rsidR="00175D0D" w:rsidRPr="00175D0D" w:rsidRDefault="000F5897" w:rsidP="00175D0D">
      <w:pPr>
        <w:pStyle w:val="ListParagraph"/>
        <w:numPr>
          <w:ilvl w:val="1"/>
          <w:numId w:val="1"/>
        </w:numPr>
        <w:ind w:left="710" w:hanging="710"/>
        <w:rPr>
          <w:rFonts w:ascii="Arial" w:hAnsi="Arial" w:cs="Arial"/>
          <w:b/>
          <w:bCs/>
          <w:sz w:val="28"/>
          <w:szCs w:val="28"/>
        </w:rPr>
      </w:pPr>
      <w:r>
        <w:rPr>
          <w:rFonts w:ascii="Arial" w:hAnsi="Arial" w:cs="Arial"/>
          <w:b/>
          <w:bCs/>
          <w:sz w:val="28"/>
          <w:szCs w:val="28"/>
        </w:rPr>
        <w:t xml:space="preserve">Right to Buy </w:t>
      </w:r>
      <w:r w:rsidR="00175D0D" w:rsidRPr="00175D0D">
        <w:rPr>
          <w:rFonts w:ascii="Arial" w:hAnsi="Arial" w:cs="Arial"/>
          <w:b/>
          <w:bCs/>
          <w:sz w:val="28"/>
          <w:szCs w:val="28"/>
        </w:rPr>
        <w:t>Housing Advice and Support</w:t>
      </w:r>
    </w:p>
    <w:p w14:paraId="01504533" w14:textId="038FD0D4" w:rsidR="00175D0D" w:rsidRPr="000F5897" w:rsidRDefault="00175D0D" w:rsidP="000F5897">
      <w:pPr>
        <w:pStyle w:val="ListParagraph"/>
        <w:ind w:left="710"/>
        <w:rPr>
          <w:rFonts w:ascii="Arial" w:hAnsi="Arial" w:cs="Arial"/>
          <w:sz w:val="28"/>
          <w:szCs w:val="28"/>
        </w:rPr>
      </w:pPr>
      <w:r w:rsidRPr="00175D0D">
        <w:rPr>
          <w:rFonts w:ascii="Arial" w:hAnsi="Arial" w:cs="Arial"/>
          <w:sz w:val="28"/>
          <w:szCs w:val="28"/>
        </w:rPr>
        <w:t>Where the death of a tenant who has exercised, or was in the process of exercising, the Right to Buy results in housing insecurity for household members, Sandwell Council will offer advice and signposting in line with its wider housing options and homelessness duties. This does not include granting succession or a replacement tenancy where no legal right exists.</w:t>
      </w:r>
    </w:p>
    <w:bookmarkEnd w:id="9"/>
    <w:p w14:paraId="303B90CF" w14:textId="77777777" w:rsidR="00141CAD" w:rsidRPr="00141CAD" w:rsidRDefault="00141CAD" w:rsidP="00141CAD">
      <w:pPr>
        <w:pStyle w:val="ListParagraph"/>
        <w:rPr>
          <w:rFonts w:ascii="Arial" w:hAnsi="Arial" w:cs="Arial"/>
          <w:sz w:val="28"/>
          <w:szCs w:val="28"/>
        </w:rPr>
      </w:pPr>
    </w:p>
    <w:p w14:paraId="4A19D19A" w14:textId="37A24918" w:rsidR="00141CAD" w:rsidRPr="00E24A6F" w:rsidRDefault="00141CAD" w:rsidP="00141CAD">
      <w:pPr>
        <w:pStyle w:val="ListParagraph"/>
        <w:numPr>
          <w:ilvl w:val="1"/>
          <w:numId w:val="1"/>
        </w:numPr>
        <w:ind w:left="710" w:hanging="710"/>
        <w:rPr>
          <w:rFonts w:ascii="Arial" w:hAnsi="Arial" w:cs="Arial"/>
          <w:b/>
          <w:bCs/>
          <w:sz w:val="28"/>
          <w:szCs w:val="28"/>
        </w:rPr>
      </w:pPr>
      <w:r w:rsidRPr="00E24A6F">
        <w:rPr>
          <w:rFonts w:ascii="Arial" w:hAnsi="Arial" w:cs="Arial"/>
          <w:b/>
          <w:bCs/>
          <w:sz w:val="28"/>
          <w:szCs w:val="28"/>
        </w:rPr>
        <w:lastRenderedPageBreak/>
        <w:t xml:space="preserve">Monitoring </w:t>
      </w:r>
    </w:p>
    <w:p w14:paraId="00562ED8" w14:textId="3031BC84" w:rsidR="00E24A6F" w:rsidRDefault="00E24A6F" w:rsidP="00C26539">
      <w:pPr>
        <w:pStyle w:val="ListParagraph"/>
        <w:numPr>
          <w:ilvl w:val="0"/>
          <w:numId w:val="8"/>
        </w:numPr>
        <w:rPr>
          <w:rFonts w:ascii="Arial" w:hAnsi="Arial" w:cs="Arial"/>
          <w:sz w:val="28"/>
          <w:szCs w:val="28"/>
        </w:rPr>
      </w:pPr>
      <w:r w:rsidRPr="00E24A6F">
        <w:rPr>
          <w:rFonts w:ascii="Arial" w:hAnsi="Arial" w:cs="Arial"/>
          <w:sz w:val="28"/>
          <w:szCs w:val="28"/>
        </w:rPr>
        <w:t xml:space="preserve">We will implement this policy through our Succession procedure and in conjunction with </w:t>
      </w:r>
      <w:r w:rsidR="004F03F7">
        <w:rPr>
          <w:rFonts w:ascii="Arial" w:hAnsi="Arial" w:cs="Arial"/>
          <w:sz w:val="28"/>
          <w:szCs w:val="28"/>
        </w:rPr>
        <w:t>Sandwell Council’s</w:t>
      </w:r>
      <w:r w:rsidRPr="00E24A6F">
        <w:rPr>
          <w:rFonts w:ascii="Arial" w:hAnsi="Arial" w:cs="Arial"/>
          <w:sz w:val="28"/>
          <w:szCs w:val="28"/>
        </w:rPr>
        <w:t xml:space="preserve"> Allocations </w:t>
      </w:r>
      <w:r w:rsidR="004F03F7">
        <w:rPr>
          <w:rFonts w:ascii="Arial" w:hAnsi="Arial" w:cs="Arial"/>
          <w:sz w:val="28"/>
          <w:szCs w:val="28"/>
        </w:rPr>
        <w:t>Policy</w:t>
      </w:r>
      <w:r w:rsidRPr="00E24A6F">
        <w:rPr>
          <w:rFonts w:ascii="Arial" w:hAnsi="Arial" w:cs="Arial"/>
          <w:sz w:val="28"/>
          <w:szCs w:val="28"/>
        </w:rPr>
        <w:t xml:space="preserve">. </w:t>
      </w:r>
    </w:p>
    <w:p w14:paraId="40121CFE" w14:textId="0B11475F" w:rsidR="00332079" w:rsidRDefault="00E24A6F" w:rsidP="008C780E">
      <w:pPr>
        <w:pStyle w:val="ListParagraph"/>
        <w:numPr>
          <w:ilvl w:val="0"/>
          <w:numId w:val="8"/>
        </w:numPr>
        <w:rPr>
          <w:rFonts w:ascii="Arial" w:hAnsi="Arial" w:cs="Arial"/>
          <w:sz w:val="28"/>
          <w:szCs w:val="28"/>
        </w:rPr>
      </w:pPr>
      <w:r w:rsidRPr="00E24A6F">
        <w:rPr>
          <w:rFonts w:ascii="Arial" w:hAnsi="Arial" w:cs="Arial"/>
          <w:sz w:val="28"/>
          <w:szCs w:val="28"/>
        </w:rPr>
        <w:t>We will monitor the implementation through a series of internal checks to ensure that the policy is applied and administered correctly, and in line with required timeframes.</w:t>
      </w:r>
    </w:p>
    <w:p w14:paraId="5CBF411C" w14:textId="77777777" w:rsidR="008C780E" w:rsidRPr="008C780E" w:rsidRDefault="008C780E" w:rsidP="008C780E">
      <w:pPr>
        <w:pStyle w:val="ListParagraph"/>
        <w:ind w:left="1080"/>
        <w:rPr>
          <w:rFonts w:ascii="Arial" w:hAnsi="Arial" w:cs="Arial"/>
          <w:sz w:val="28"/>
          <w:szCs w:val="28"/>
        </w:rPr>
      </w:pPr>
    </w:p>
    <w:p w14:paraId="61114247" w14:textId="41C86246" w:rsidR="0023495A" w:rsidRDefault="0023495A" w:rsidP="008C780E">
      <w:pPr>
        <w:pStyle w:val="ListParagraph"/>
        <w:numPr>
          <w:ilvl w:val="1"/>
          <w:numId w:val="1"/>
        </w:numPr>
        <w:ind w:left="709" w:hanging="709"/>
        <w:rPr>
          <w:rFonts w:ascii="Arial" w:hAnsi="Arial" w:cs="Arial"/>
          <w:b/>
          <w:bCs/>
          <w:sz w:val="28"/>
          <w:szCs w:val="28"/>
        </w:rPr>
      </w:pPr>
      <w:bookmarkStart w:id="10" w:name="_Hlk215045810"/>
      <w:r w:rsidRPr="00332079">
        <w:rPr>
          <w:rFonts w:ascii="Arial" w:hAnsi="Arial" w:cs="Arial"/>
          <w:b/>
          <w:bCs/>
          <w:sz w:val="28"/>
          <w:szCs w:val="28"/>
        </w:rPr>
        <w:t>C</w:t>
      </w:r>
      <w:r w:rsidR="009D2E1E">
        <w:rPr>
          <w:rFonts w:ascii="Arial" w:hAnsi="Arial" w:cs="Arial"/>
          <w:b/>
          <w:bCs/>
          <w:sz w:val="28"/>
          <w:szCs w:val="28"/>
        </w:rPr>
        <w:t>omplaints</w:t>
      </w:r>
    </w:p>
    <w:bookmarkEnd w:id="10"/>
    <w:p w14:paraId="01EE9657" w14:textId="77777777" w:rsidR="009D2E1E" w:rsidRPr="009D2E1E" w:rsidRDefault="009D2E1E" w:rsidP="009D2E1E">
      <w:pPr>
        <w:spacing w:before="100" w:beforeAutospacing="1" w:after="100" w:afterAutospacing="1" w:line="240" w:lineRule="auto"/>
        <w:ind w:left="720"/>
        <w:rPr>
          <w:rFonts w:ascii="Arial" w:eastAsia="Times New Roman" w:hAnsi="Arial" w:cs="Arial"/>
          <w:sz w:val="28"/>
          <w:szCs w:val="28"/>
          <w:lang w:eastAsia="en-GB"/>
        </w:rPr>
      </w:pPr>
      <w:r w:rsidRPr="009D2E1E">
        <w:rPr>
          <w:rFonts w:ascii="Arial" w:eastAsia="Times New Roman" w:hAnsi="Arial" w:cs="Arial"/>
          <w:sz w:val="28"/>
          <w:szCs w:val="28"/>
          <w:lang w:eastAsia="en-GB"/>
        </w:rPr>
        <w:t>Sandwell Council is committed to providing a clear, fair, and supportive service when dealing with succession requests. If a tenant, household member, or applicant is unhappy with how their succession case has been handled, we encourage them to raise their concerns.</w:t>
      </w:r>
    </w:p>
    <w:p w14:paraId="390A3B62" w14:textId="77777777" w:rsidR="009D2E1E" w:rsidRPr="009D2E1E" w:rsidRDefault="009D2E1E" w:rsidP="009D2E1E">
      <w:pPr>
        <w:spacing w:after="0" w:line="240" w:lineRule="auto"/>
        <w:ind w:left="720"/>
        <w:rPr>
          <w:rFonts w:ascii="Arial" w:eastAsia="Times New Roman" w:hAnsi="Arial" w:cs="Arial"/>
          <w:sz w:val="28"/>
          <w:szCs w:val="28"/>
          <w:lang w:eastAsia="en-GB"/>
        </w:rPr>
      </w:pPr>
      <w:r w:rsidRPr="009D2E1E">
        <w:rPr>
          <w:rFonts w:ascii="Arial" w:eastAsia="Times New Roman" w:hAnsi="Arial" w:cs="Arial"/>
          <w:sz w:val="28"/>
          <w:szCs w:val="28"/>
          <w:lang w:eastAsia="en-GB"/>
        </w:rPr>
        <w:t>You can contact us through the following routes:</w:t>
      </w:r>
    </w:p>
    <w:p w14:paraId="5894E5C9" w14:textId="77777777" w:rsidR="009D2E1E" w:rsidRPr="009D2E1E" w:rsidRDefault="009D2E1E" w:rsidP="00C26539">
      <w:pPr>
        <w:pStyle w:val="ListParagraph"/>
        <w:numPr>
          <w:ilvl w:val="1"/>
          <w:numId w:val="11"/>
        </w:numPr>
        <w:spacing w:after="0" w:line="240" w:lineRule="auto"/>
        <w:rPr>
          <w:rFonts w:ascii="Arial" w:eastAsia="Times New Roman" w:hAnsi="Arial" w:cs="Arial"/>
          <w:sz w:val="28"/>
          <w:szCs w:val="28"/>
          <w:lang w:eastAsia="en-GB"/>
        </w:rPr>
      </w:pPr>
      <w:r w:rsidRPr="009D2E1E">
        <w:rPr>
          <w:rFonts w:ascii="Arial" w:eastAsia="Times New Roman" w:hAnsi="Arial" w:cs="Arial"/>
          <w:b/>
          <w:bCs/>
          <w:sz w:val="28"/>
          <w:szCs w:val="28"/>
          <w:lang w:eastAsia="en-GB"/>
        </w:rPr>
        <w:t>Online:</w:t>
      </w:r>
      <w:r w:rsidRPr="009D2E1E">
        <w:rPr>
          <w:rFonts w:ascii="Arial" w:eastAsia="Times New Roman" w:hAnsi="Arial" w:cs="Arial"/>
          <w:sz w:val="28"/>
          <w:szCs w:val="28"/>
          <w:lang w:eastAsia="en-GB"/>
        </w:rPr>
        <w:t xml:space="preserve"> via </w:t>
      </w:r>
      <w:proofErr w:type="spellStart"/>
      <w:r w:rsidRPr="009D2E1E">
        <w:rPr>
          <w:rFonts w:ascii="Arial" w:eastAsia="Times New Roman" w:hAnsi="Arial" w:cs="Arial"/>
          <w:sz w:val="28"/>
          <w:szCs w:val="28"/>
          <w:lang w:eastAsia="en-GB"/>
        </w:rPr>
        <w:t>MySandwell</w:t>
      </w:r>
      <w:proofErr w:type="spellEnd"/>
    </w:p>
    <w:p w14:paraId="63402FED" w14:textId="77777777" w:rsidR="009D2E1E" w:rsidRPr="009D2E1E" w:rsidRDefault="009D2E1E" w:rsidP="00C26539">
      <w:pPr>
        <w:pStyle w:val="ListParagraph"/>
        <w:numPr>
          <w:ilvl w:val="1"/>
          <w:numId w:val="11"/>
        </w:numPr>
        <w:spacing w:before="100" w:beforeAutospacing="1" w:after="100" w:afterAutospacing="1" w:line="240" w:lineRule="auto"/>
        <w:rPr>
          <w:rFonts w:ascii="Arial" w:eastAsia="Times New Roman" w:hAnsi="Arial" w:cs="Arial"/>
          <w:sz w:val="28"/>
          <w:szCs w:val="28"/>
          <w:lang w:eastAsia="en-GB"/>
        </w:rPr>
      </w:pPr>
      <w:r w:rsidRPr="009D2E1E">
        <w:rPr>
          <w:rFonts w:ascii="Arial" w:eastAsia="Times New Roman" w:hAnsi="Arial" w:cs="Arial"/>
          <w:b/>
          <w:bCs/>
          <w:sz w:val="28"/>
          <w:szCs w:val="28"/>
          <w:lang w:eastAsia="en-GB"/>
        </w:rPr>
        <w:t>Email:</w:t>
      </w:r>
      <w:r w:rsidRPr="009D2E1E">
        <w:rPr>
          <w:rFonts w:ascii="Arial" w:eastAsia="Times New Roman" w:hAnsi="Arial" w:cs="Arial"/>
          <w:sz w:val="28"/>
          <w:szCs w:val="28"/>
          <w:lang w:eastAsia="en-GB"/>
        </w:rPr>
        <w:t xml:space="preserve"> customer_services@sandwell.gov.uk</w:t>
      </w:r>
    </w:p>
    <w:p w14:paraId="307B841F" w14:textId="77777777" w:rsidR="009D2E1E" w:rsidRPr="009D2E1E" w:rsidRDefault="009D2E1E" w:rsidP="00C26539">
      <w:pPr>
        <w:pStyle w:val="ListParagraph"/>
        <w:numPr>
          <w:ilvl w:val="1"/>
          <w:numId w:val="11"/>
        </w:numPr>
        <w:spacing w:before="100" w:beforeAutospacing="1" w:after="100" w:afterAutospacing="1" w:line="240" w:lineRule="auto"/>
        <w:rPr>
          <w:rFonts w:ascii="Arial" w:eastAsia="Times New Roman" w:hAnsi="Arial" w:cs="Arial"/>
          <w:sz w:val="28"/>
          <w:szCs w:val="28"/>
          <w:lang w:eastAsia="en-GB"/>
        </w:rPr>
      </w:pPr>
      <w:r w:rsidRPr="009D2E1E">
        <w:rPr>
          <w:rFonts w:ascii="Arial" w:eastAsia="Times New Roman" w:hAnsi="Arial" w:cs="Arial"/>
          <w:b/>
          <w:bCs/>
          <w:sz w:val="28"/>
          <w:szCs w:val="28"/>
          <w:lang w:eastAsia="en-GB"/>
        </w:rPr>
        <w:t>Phone:</w:t>
      </w:r>
      <w:r w:rsidRPr="009D2E1E">
        <w:rPr>
          <w:rFonts w:ascii="Arial" w:eastAsia="Times New Roman" w:hAnsi="Arial" w:cs="Arial"/>
          <w:sz w:val="28"/>
          <w:szCs w:val="28"/>
          <w:lang w:eastAsia="en-GB"/>
        </w:rPr>
        <w:t xml:space="preserve"> 0121 569 7867</w:t>
      </w:r>
    </w:p>
    <w:p w14:paraId="0D8857C1" w14:textId="77777777" w:rsidR="009D2E1E" w:rsidRPr="009D2E1E" w:rsidRDefault="009D2E1E" w:rsidP="00C26539">
      <w:pPr>
        <w:pStyle w:val="ListParagraph"/>
        <w:numPr>
          <w:ilvl w:val="1"/>
          <w:numId w:val="11"/>
        </w:numPr>
        <w:spacing w:before="100" w:beforeAutospacing="1" w:after="100" w:afterAutospacing="1" w:line="240" w:lineRule="auto"/>
        <w:rPr>
          <w:rFonts w:ascii="Arial" w:eastAsia="Times New Roman" w:hAnsi="Arial" w:cs="Arial"/>
          <w:sz w:val="28"/>
          <w:szCs w:val="28"/>
          <w:lang w:eastAsia="en-GB"/>
        </w:rPr>
      </w:pPr>
      <w:r w:rsidRPr="009D2E1E">
        <w:rPr>
          <w:rFonts w:ascii="Arial" w:eastAsia="Times New Roman" w:hAnsi="Arial" w:cs="Arial"/>
          <w:b/>
          <w:bCs/>
          <w:sz w:val="28"/>
          <w:szCs w:val="28"/>
          <w:lang w:eastAsia="en-GB"/>
        </w:rPr>
        <w:t>In writing:</w:t>
      </w:r>
      <w:r w:rsidRPr="009D2E1E">
        <w:rPr>
          <w:rFonts w:ascii="Arial" w:eastAsia="Times New Roman" w:hAnsi="Arial" w:cs="Arial"/>
          <w:sz w:val="28"/>
          <w:szCs w:val="28"/>
          <w:lang w:eastAsia="en-GB"/>
        </w:rPr>
        <w:br/>
        <w:t>Customer Feedback Team</w:t>
      </w:r>
      <w:r w:rsidRPr="009D2E1E">
        <w:rPr>
          <w:rFonts w:ascii="Arial" w:eastAsia="Times New Roman" w:hAnsi="Arial" w:cs="Arial"/>
          <w:sz w:val="28"/>
          <w:szCs w:val="28"/>
          <w:lang w:eastAsia="en-GB"/>
        </w:rPr>
        <w:br/>
        <w:t>Sandwell Council</w:t>
      </w:r>
      <w:r w:rsidRPr="009D2E1E">
        <w:rPr>
          <w:rFonts w:ascii="Arial" w:eastAsia="Times New Roman" w:hAnsi="Arial" w:cs="Arial"/>
          <w:sz w:val="28"/>
          <w:szCs w:val="28"/>
          <w:lang w:eastAsia="en-GB"/>
        </w:rPr>
        <w:br/>
        <w:t>Roway Lane</w:t>
      </w:r>
      <w:r w:rsidRPr="009D2E1E">
        <w:rPr>
          <w:rFonts w:ascii="Arial" w:eastAsia="Times New Roman" w:hAnsi="Arial" w:cs="Arial"/>
          <w:sz w:val="28"/>
          <w:szCs w:val="28"/>
          <w:lang w:eastAsia="en-GB"/>
        </w:rPr>
        <w:br/>
        <w:t>Oldbury</w:t>
      </w:r>
      <w:r w:rsidRPr="009D2E1E">
        <w:rPr>
          <w:rFonts w:ascii="Arial" w:eastAsia="Times New Roman" w:hAnsi="Arial" w:cs="Arial"/>
          <w:sz w:val="28"/>
          <w:szCs w:val="28"/>
          <w:lang w:eastAsia="en-GB"/>
        </w:rPr>
        <w:br/>
        <w:t>B69 3ES</w:t>
      </w:r>
    </w:p>
    <w:p w14:paraId="429B4D52" w14:textId="77777777" w:rsidR="009D2E1E" w:rsidRPr="009D2E1E" w:rsidRDefault="009D2E1E" w:rsidP="009D2E1E">
      <w:pPr>
        <w:spacing w:before="100" w:beforeAutospacing="1" w:after="100" w:afterAutospacing="1" w:line="240" w:lineRule="auto"/>
        <w:ind w:left="720"/>
        <w:rPr>
          <w:rFonts w:ascii="Arial" w:eastAsia="Times New Roman" w:hAnsi="Arial" w:cs="Arial"/>
          <w:sz w:val="28"/>
          <w:szCs w:val="28"/>
          <w:lang w:eastAsia="en-GB"/>
        </w:rPr>
      </w:pPr>
      <w:r w:rsidRPr="009D2E1E">
        <w:rPr>
          <w:rFonts w:ascii="Arial" w:eastAsia="Times New Roman" w:hAnsi="Arial" w:cs="Arial"/>
          <w:sz w:val="28"/>
          <w:szCs w:val="28"/>
          <w:lang w:eastAsia="en-GB"/>
        </w:rPr>
        <w:t xml:space="preserve">We will always try to resolve concerns quickly. If this is not possible, the matter will be managed under our formal </w:t>
      </w:r>
      <w:proofErr w:type="gramStart"/>
      <w:r w:rsidRPr="009D2E1E">
        <w:rPr>
          <w:rFonts w:ascii="Arial" w:eastAsia="Times New Roman" w:hAnsi="Arial" w:cs="Arial"/>
          <w:sz w:val="28"/>
          <w:szCs w:val="28"/>
          <w:lang w:eastAsia="en-GB"/>
        </w:rPr>
        <w:t>complaints</w:t>
      </w:r>
      <w:proofErr w:type="gramEnd"/>
      <w:r w:rsidRPr="009D2E1E">
        <w:rPr>
          <w:rFonts w:ascii="Arial" w:eastAsia="Times New Roman" w:hAnsi="Arial" w:cs="Arial"/>
          <w:sz w:val="28"/>
          <w:szCs w:val="28"/>
          <w:lang w:eastAsia="en-GB"/>
        </w:rPr>
        <w:t xml:space="preserve"> procedure, beginning at Stage 1.</w:t>
      </w:r>
    </w:p>
    <w:p w14:paraId="00DC079C" w14:textId="7BE7415E" w:rsidR="0064654A" w:rsidRDefault="009D2E1E" w:rsidP="009D2E1E">
      <w:pPr>
        <w:spacing w:before="100" w:beforeAutospacing="1" w:after="100" w:afterAutospacing="1" w:line="240" w:lineRule="auto"/>
        <w:ind w:left="720"/>
        <w:rPr>
          <w:rFonts w:ascii="Arial" w:eastAsia="Times New Roman" w:hAnsi="Arial" w:cs="Arial"/>
          <w:sz w:val="28"/>
          <w:szCs w:val="28"/>
          <w:lang w:eastAsia="en-GB"/>
        </w:rPr>
      </w:pPr>
      <w:r w:rsidRPr="009D2E1E">
        <w:rPr>
          <w:rFonts w:ascii="Arial" w:eastAsia="Times New Roman" w:hAnsi="Arial" w:cs="Arial"/>
          <w:sz w:val="28"/>
          <w:szCs w:val="28"/>
          <w:lang w:eastAsia="en-GB"/>
        </w:rPr>
        <w:t>Sandwell Council values all feedback. We regularly review complaints and customer satisfaction data to identify service improvements. Where appropriate, we engage with tenants on proposed changes to policies, standards, or processes to ensure they reflect resident needs and expectations.</w:t>
      </w:r>
    </w:p>
    <w:p w14:paraId="4D6B868B" w14:textId="77777777" w:rsidR="0045700D" w:rsidRPr="006879D5" w:rsidRDefault="00E87026" w:rsidP="00AD2945">
      <w:pPr>
        <w:keepNext/>
        <w:keepLines/>
        <w:numPr>
          <w:ilvl w:val="0"/>
          <w:numId w:val="1"/>
        </w:numPr>
        <w:spacing w:after="0"/>
        <w:ind w:left="742"/>
        <w:outlineLvl w:val="0"/>
        <w:rPr>
          <w:rFonts w:ascii="Arial" w:eastAsiaTheme="majorEastAsia" w:hAnsi="Arial" w:cs="Arial"/>
          <w:b/>
          <w:bCs/>
          <w:color w:val="2F5496" w:themeColor="accent1" w:themeShade="BF"/>
          <w:sz w:val="28"/>
          <w:szCs w:val="28"/>
        </w:rPr>
      </w:pPr>
      <w:bookmarkStart w:id="11" w:name="_Toc215055602"/>
      <w:r w:rsidRPr="006879D5">
        <w:rPr>
          <w:rFonts w:ascii="Arial" w:eastAsiaTheme="majorEastAsia" w:hAnsi="Arial" w:cs="Arial"/>
          <w:b/>
          <w:bCs/>
          <w:color w:val="2F5496" w:themeColor="accent1" w:themeShade="BF"/>
          <w:sz w:val="28"/>
          <w:szCs w:val="28"/>
        </w:rPr>
        <w:t>Development of Policy</w:t>
      </w:r>
      <w:bookmarkEnd w:id="11"/>
    </w:p>
    <w:p w14:paraId="311550DF" w14:textId="77777777" w:rsidR="0045700D" w:rsidRPr="006879D5" w:rsidRDefault="0045700D" w:rsidP="00AD2945">
      <w:pPr>
        <w:pStyle w:val="ListParagraph"/>
        <w:ind w:left="1102"/>
        <w:rPr>
          <w:rFonts w:ascii="Arial" w:hAnsi="Arial" w:cs="Arial"/>
          <w:sz w:val="28"/>
          <w:szCs w:val="28"/>
        </w:rPr>
      </w:pPr>
    </w:p>
    <w:p w14:paraId="6B705954" w14:textId="455B6709" w:rsidR="005E114A" w:rsidRDefault="00AD2945" w:rsidP="00AD2945">
      <w:pPr>
        <w:pStyle w:val="ListParagraph"/>
        <w:numPr>
          <w:ilvl w:val="1"/>
          <w:numId w:val="1"/>
        </w:numPr>
        <w:ind w:left="895" w:hanging="644"/>
        <w:rPr>
          <w:rFonts w:ascii="Arial" w:hAnsi="Arial" w:cs="Arial"/>
          <w:sz w:val="28"/>
          <w:szCs w:val="28"/>
        </w:rPr>
      </w:pPr>
      <w:r w:rsidRPr="00AD2945">
        <w:rPr>
          <w:rFonts w:ascii="Arial" w:hAnsi="Arial" w:cs="Arial"/>
          <w:sz w:val="28"/>
          <w:szCs w:val="28"/>
        </w:rPr>
        <w:t xml:space="preserve">Sandwell Council recognises the importance of clear, consistent communication when setting out how succession rights are applied. We are committed to ensuring that our approach is </w:t>
      </w:r>
      <w:r w:rsidRPr="00AD2945">
        <w:rPr>
          <w:rFonts w:ascii="Arial" w:hAnsi="Arial" w:cs="Arial"/>
          <w:sz w:val="28"/>
          <w:szCs w:val="28"/>
        </w:rPr>
        <w:lastRenderedPageBreak/>
        <w:t>transparent, fair, and informed by the experiences of our tenants and residents.</w:t>
      </w:r>
    </w:p>
    <w:p w14:paraId="536C6BE9" w14:textId="77777777" w:rsidR="00AD2945" w:rsidRPr="00AD2945" w:rsidRDefault="00AD2945" w:rsidP="00AD2945">
      <w:pPr>
        <w:pStyle w:val="ListParagraph"/>
        <w:ind w:left="895"/>
        <w:rPr>
          <w:rFonts w:ascii="Arial" w:hAnsi="Arial" w:cs="Arial"/>
          <w:sz w:val="28"/>
          <w:szCs w:val="28"/>
        </w:rPr>
      </w:pPr>
    </w:p>
    <w:p w14:paraId="15649196" w14:textId="06A3D6F3" w:rsidR="005E114A" w:rsidRDefault="00F26F79" w:rsidP="00AD2945">
      <w:pPr>
        <w:pStyle w:val="ListParagraph"/>
        <w:numPr>
          <w:ilvl w:val="1"/>
          <w:numId w:val="1"/>
        </w:numPr>
        <w:ind w:left="895" w:hanging="644"/>
        <w:rPr>
          <w:rFonts w:ascii="Arial" w:hAnsi="Arial" w:cs="Arial"/>
          <w:sz w:val="28"/>
          <w:szCs w:val="28"/>
        </w:rPr>
      </w:pPr>
      <w:r w:rsidRPr="00F26F79">
        <w:rPr>
          <w:rFonts w:ascii="Arial" w:hAnsi="Arial" w:cs="Arial"/>
          <w:sz w:val="28"/>
          <w:szCs w:val="28"/>
        </w:rPr>
        <w:t>As part of this commitment, we will invite tenants and leaseholders to review and comment on this policy before it is finalised. Opportunities for feedback will be offered both online and in person, allowing residents to participate in whichever way suits them best.</w:t>
      </w:r>
    </w:p>
    <w:p w14:paraId="58D33263" w14:textId="77777777" w:rsidR="003D2050" w:rsidRPr="003D2050" w:rsidRDefault="003D2050" w:rsidP="00AD2945">
      <w:pPr>
        <w:pStyle w:val="ListParagraph"/>
        <w:ind w:left="1255"/>
        <w:rPr>
          <w:rFonts w:ascii="Arial" w:hAnsi="Arial" w:cs="Arial"/>
          <w:sz w:val="28"/>
          <w:szCs w:val="28"/>
        </w:rPr>
      </w:pPr>
    </w:p>
    <w:p w14:paraId="09EF8786" w14:textId="413BE821" w:rsidR="00CF5B8C" w:rsidRDefault="002441AA" w:rsidP="00AD2945">
      <w:pPr>
        <w:pStyle w:val="ListParagraph"/>
        <w:numPr>
          <w:ilvl w:val="1"/>
          <w:numId w:val="1"/>
        </w:numPr>
        <w:ind w:left="895" w:hanging="644"/>
        <w:rPr>
          <w:rFonts w:ascii="Arial" w:hAnsi="Arial" w:cs="Arial"/>
          <w:sz w:val="28"/>
          <w:szCs w:val="28"/>
        </w:rPr>
      </w:pPr>
      <w:r w:rsidRPr="002441AA">
        <w:rPr>
          <w:rFonts w:ascii="Arial" w:hAnsi="Arial" w:cs="Arial"/>
          <w:sz w:val="28"/>
          <w:szCs w:val="28"/>
        </w:rPr>
        <w:t>By involving residents in shaping the policy, we aim to ensure that the final version reflects the needs, priorities, and lived experiences of the people and communities it affects.</w:t>
      </w:r>
    </w:p>
    <w:p w14:paraId="79678EB7" w14:textId="77777777" w:rsidR="00CF5B8C" w:rsidRPr="00CF5B8C" w:rsidRDefault="00CF5B8C" w:rsidP="00AD2945">
      <w:pPr>
        <w:pStyle w:val="ListParagraph"/>
        <w:ind w:left="1102"/>
        <w:rPr>
          <w:rFonts w:ascii="Arial" w:hAnsi="Arial" w:cs="Arial"/>
          <w:sz w:val="28"/>
          <w:szCs w:val="28"/>
        </w:rPr>
      </w:pPr>
    </w:p>
    <w:p w14:paraId="51479BF0" w14:textId="77777777" w:rsidR="0045700D" w:rsidRPr="006879D5" w:rsidRDefault="00E87026" w:rsidP="00AD2945">
      <w:pPr>
        <w:keepNext/>
        <w:keepLines/>
        <w:numPr>
          <w:ilvl w:val="0"/>
          <w:numId w:val="1"/>
        </w:numPr>
        <w:spacing w:after="0"/>
        <w:ind w:left="742"/>
        <w:outlineLvl w:val="0"/>
        <w:rPr>
          <w:rFonts w:ascii="Arial" w:eastAsiaTheme="majorEastAsia" w:hAnsi="Arial" w:cs="Arial"/>
          <w:b/>
          <w:bCs/>
          <w:color w:val="2F5496" w:themeColor="accent1" w:themeShade="BF"/>
          <w:sz w:val="28"/>
          <w:szCs w:val="28"/>
        </w:rPr>
      </w:pPr>
      <w:bookmarkStart w:id="12" w:name="_Toc215055603"/>
      <w:r w:rsidRPr="006879D5">
        <w:rPr>
          <w:rFonts w:ascii="Arial" w:eastAsiaTheme="majorEastAsia" w:hAnsi="Arial" w:cs="Arial"/>
          <w:b/>
          <w:bCs/>
          <w:color w:val="2F5496" w:themeColor="accent1" w:themeShade="BF"/>
          <w:sz w:val="28"/>
          <w:szCs w:val="28"/>
        </w:rPr>
        <w:t>Related Documents</w:t>
      </w:r>
      <w:bookmarkEnd w:id="12"/>
      <w:r w:rsidRPr="006879D5">
        <w:rPr>
          <w:rFonts w:ascii="Arial" w:eastAsiaTheme="majorEastAsia" w:hAnsi="Arial" w:cs="Arial"/>
          <w:b/>
          <w:bCs/>
          <w:color w:val="2F5496" w:themeColor="accent1" w:themeShade="BF"/>
          <w:sz w:val="28"/>
          <w:szCs w:val="28"/>
        </w:rPr>
        <w:t xml:space="preserve"> </w:t>
      </w:r>
    </w:p>
    <w:p w14:paraId="43361503" w14:textId="77777777" w:rsidR="0045700D" w:rsidRPr="006879D5" w:rsidRDefault="0045700D" w:rsidP="00AD2945">
      <w:pPr>
        <w:keepNext/>
        <w:keepLines/>
        <w:spacing w:after="0"/>
        <w:ind w:left="382"/>
        <w:outlineLvl w:val="0"/>
        <w:rPr>
          <w:rFonts w:ascii="Arial" w:eastAsiaTheme="majorEastAsia" w:hAnsi="Arial" w:cs="Arial"/>
          <w:b/>
          <w:bCs/>
          <w:color w:val="2F5496" w:themeColor="accent1" w:themeShade="BF"/>
          <w:sz w:val="28"/>
          <w:szCs w:val="28"/>
        </w:rPr>
      </w:pPr>
    </w:p>
    <w:p w14:paraId="227B9B1A" w14:textId="0631B024" w:rsidR="00DD2D3E" w:rsidRPr="00DD2D3E" w:rsidRDefault="00DD2D3E" w:rsidP="00DD2D3E">
      <w:pPr>
        <w:pStyle w:val="ListParagraph"/>
        <w:numPr>
          <w:ilvl w:val="1"/>
          <w:numId w:val="1"/>
        </w:numPr>
        <w:ind w:left="1092" w:hanging="710"/>
        <w:rPr>
          <w:rFonts w:ascii="Arial" w:hAnsi="Arial" w:cs="Arial"/>
          <w:sz w:val="28"/>
          <w:szCs w:val="28"/>
        </w:rPr>
      </w:pPr>
      <w:r w:rsidRPr="00DD2D3E">
        <w:rPr>
          <w:rFonts w:ascii="Arial" w:hAnsi="Arial" w:cs="Arial"/>
          <w:sz w:val="28"/>
          <w:szCs w:val="28"/>
        </w:rPr>
        <w:t>This Succession Policy aligns with Sandwell Council’s wider policies, strategies, and housing management frameworks. It also informs and supports a range of related procedures and guidance documents.</w:t>
      </w:r>
    </w:p>
    <w:p w14:paraId="2AB11782" w14:textId="77777777" w:rsidR="00F84887" w:rsidRPr="00F84887" w:rsidRDefault="00F84887" w:rsidP="00DD2D3E">
      <w:pPr>
        <w:pStyle w:val="ListParagraph"/>
        <w:ind w:left="1092"/>
        <w:rPr>
          <w:rFonts w:ascii="Arial" w:hAnsi="Arial" w:cs="Arial"/>
          <w:color w:val="FF0000"/>
          <w:sz w:val="28"/>
          <w:szCs w:val="28"/>
        </w:rPr>
      </w:pPr>
    </w:p>
    <w:p w14:paraId="3DBAF7F8" w14:textId="08430AB1" w:rsidR="001C71B2" w:rsidRPr="001C71B2" w:rsidRDefault="001C71B2" w:rsidP="001C71B2">
      <w:pPr>
        <w:pStyle w:val="ListParagraph"/>
        <w:numPr>
          <w:ilvl w:val="1"/>
          <w:numId w:val="1"/>
        </w:numPr>
        <w:ind w:left="1092" w:hanging="710"/>
        <w:rPr>
          <w:rFonts w:ascii="Arial" w:hAnsi="Arial" w:cs="Arial"/>
          <w:sz w:val="28"/>
          <w:szCs w:val="28"/>
        </w:rPr>
      </w:pPr>
      <w:r w:rsidRPr="001C71B2">
        <w:rPr>
          <w:rFonts w:ascii="Arial" w:hAnsi="Arial" w:cs="Arial"/>
          <w:sz w:val="28"/>
          <w:szCs w:val="28"/>
        </w:rPr>
        <w:t>This alignment ensures that our approach to managing tenancies is consistent, lawful, and embedded within a broader commitment to delivering high-quality services and well-managed homes. Related documents include:</w:t>
      </w:r>
    </w:p>
    <w:p w14:paraId="7CA3F12E" w14:textId="77777777" w:rsidR="00380B53" w:rsidRPr="006879D5" w:rsidRDefault="00380B53" w:rsidP="00C26539">
      <w:pPr>
        <w:pStyle w:val="ListParagraph"/>
        <w:numPr>
          <w:ilvl w:val="0"/>
          <w:numId w:val="2"/>
        </w:numPr>
        <w:ind w:left="1593"/>
        <w:rPr>
          <w:rFonts w:ascii="Arial" w:hAnsi="Arial" w:cs="Arial"/>
          <w:sz w:val="28"/>
          <w:szCs w:val="28"/>
        </w:rPr>
      </w:pPr>
      <w:hyperlink r:id="rId14" w:history="1">
        <w:r w:rsidRPr="006879D5">
          <w:rPr>
            <w:rStyle w:val="Hyperlink"/>
            <w:rFonts w:ascii="Arial" w:hAnsi="Arial" w:cs="Arial"/>
            <w:sz w:val="28"/>
            <w:szCs w:val="28"/>
          </w:rPr>
          <w:t>Sandwell Council Plan 2024 – 2027</w:t>
        </w:r>
      </w:hyperlink>
    </w:p>
    <w:p w14:paraId="38685C09" w14:textId="77777777" w:rsidR="00380B53" w:rsidRPr="006879D5" w:rsidRDefault="00380B53" w:rsidP="00C26539">
      <w:pPr>
        <w:pStyle w:val="ListParagraph"/>
        <w:numPr>
          <w:ilvl w:val="0"/>
          <w:numId w:val="2"/>
        </w:numPr>
        <w:ind w:left="1593"/>
        <w:rPr>
          <w:rFonts w:ascii="Arial" w:hAnsi="Arial" w:cs="Arial"/>
          <w:sz w:val="28"/>
          <w:szCs w:val="28"/>
        </w:rPr>
      </w:pPr>
      <w:hyperlink r:id="rId15" w:history="1">
        <w:r w:rsidRPr="006879D5">
          <w:rPr>
            <w:rStyle w:val="Hyperlink"/>
            <w:rFonts w:ascii="Arial" w:hAnsi="Arial" w:cs="Arial"/>
            <w:sz w:val="28"/>
            <w:szCs w:val="28"/>
          </w:rPr>
          <w:t>Housing Revenue Account 30 Year Business Plan 2023 - 2053</w:t>
        </w:r>
      </w:hyperlink>
    </w:p>
    <w:p w14:paraId="169F9585" w14:textId="77777777" w:rsidR="00380B53" w:rsidRPr="006879D5" w:rsidRDefault="00380B53" w:rsidP="00C26539">
      <w:pPr>
        <w:pStyle w:val="ListParagraph"/>
        <w:numPr>
          <w:ilvl w:val="0"/>
          <w:numId w:val="2"/>
        </w:numPr>
        <w:ind w:left="1593"/>
        <w:rPr>
          <w:rFonts w:ascii="Arial" w:hAnsi="Arial" w:cs="Arial"/>
          <w:sz w:val="28"/>
          <w:szCs w:val="28"/>
        </w:rPr>
      </w:pPr>
      <w:hyperlink r:id="rId16" w:history="1">
        <w:r w:rsidRPr="006879D5">
          <w:rPr>
            <w:rStyle w:val="Hyperlink"/>
            <w:rFonts w:ascii="Arial" w:hAnsi="Arial" w:cs="Arial"/>
            <w:sz w:val="28"/>
            <w:szCs w:val="28"/>
          </w:rPr>
          <w:t>Housing Asset Management and Compliance Strategy 2025 - 2030</w:t>
        </w:r>
      </w:hyperlink>
    </w:p>
    <w:p w14:paraId="0337D767" w14:textId="77777777" w:rsidR="00380B53" w:rsidRPr="00BC3F6A" w:rsidRDefault="00380B53" w:rsidP="00C26539">
      <w:pPr>
        <w:pStyle w:val="ListParagraph"/>
        <w:numPr>
          <w:ilvl w:val="0"/>
          <w:numId w:val="2"/>
        </w:numPr>
        <w:ind w:left="1593"/>
        <w:rPr>
          <w:rFonts w:ascii="Arial" w:hAnsi="Arial" w:cs="Arial"/>
          <w:sz w:val="28"/>
          <w:szCs w:val="28"/>
        </w:rPr>
      </w:pPr>
      <w:hyperlink r:id="rId17" w:history="1">
        <w:r w:rsidRPr="006879D5">
          <w:rPr>
            <w:rStyle w:val="Hyperlink"/>
            <w:rFonts w:ascii="Arial" w:hAnsi="Arial" w:cs="Arial"/>
            <w:sz w:val="28"/>
            <w:szCs w:val="28"/>
          </w:rPr>
          <w:t>Sandwell Housing Strategy 2023 – 2028</w:t>
        </w:r>
      </w:hyperlink>
    </w:p>
    <w:p w14:paraId="1C85DEA9" w14:textId="2621C06E" w:rsidR="00BC3F6A" w:rsidRPr="006879D5" w:rsidRDefault="00BC3F6A" w:rsidP="00C26539">
      <w:pPr>
        <w:pStyle w:val="ListParagraph"/>
        <w:numPr>
          <w:ilvl w:val="0"/>
          <w:numId w:val="2"/>
        </w:numPr>
        <w:ind w:left="1593"/>
        <w:rPr>
          <w:rFonts w:ascii="Arial" w:hAnsi="Arial" w:cs="Arial"/>
          <w:sz w:val="28"/>
          <w:szCs w:val="28"/>
        </w:rPr>
      </w:pPr>
      <w:hyperlink r:id="rId18" w:history="1">
        <w:r w:rsidRPr="00C61079">
          <w:rPr>
            <w:rStyle w:val="Hyperlink"/>
            <w:rFonts w:ascii="Arial" w:hAnsi="Arial" w:cs="Arial"/>
            <w:sz w:val="28"/>
            <w:szCs w:val="28"/>
          </w:rPr>
          <w:t>Housing Allocations Policy</w:t>
        </w:r>
      </w:hyperlink>
    </w:p>
    <w:p w14:paraId="49851D32" w14:textId="77777777" w:rsidR="00380B53" w:rsidRPr="006879D5" w:rsidRDefault="00380B53" w:rsidP="00C26539">
      <w:pPr>
        <w:pStyle w:val="ListParagraph"/>
        <w:numPr>
          <w:ilvl w:val="0"/>
          <w:numId w:val="2"/>
        </w:numPr>
        <w:ind w:left="1593"/>
        <w:rPr>
          <w:rFonts w:ascii="Arial" w:hAnsi="Arial" w:cs="Arial"/>
          <w:sz w:val="28"/>
          <w:szCs w:val="28"/>
          <w:u w:val="single"/>
        </w:rPr>
      </w:pPr>
      <w:hyperlink r:id="rId19" w:history="1">
        <w:r w:rsidRPr="006879D5">
          <w:rPr>
            <w:rStyle w:val="Hyperlink"/>
            <w:rFonts w:ascii="Arial" w:hAnsi="Arial" w:cs="Arial"/>
            <w:sz w:val="28"/>
            <w:szCs w:val="28"/>
          </w:rPr>
          <w:t>Tenant Handbook</w:t>
        </w:r>
      </w:hyperlink>
    </w:p>
    <w:p w14:paraId="12BDE055" w14:textId="77777777" w:rsidR="00380B53" w:rsidRPr="006879D5" w:rsidRDefault="00380B53" w:rsidP="00C26539">
      <w:pPr>
        <w:pStyle w:val="ListParagraph"/>
        <w:numPr>
          <w:ilvl w:val="0"/>
          <w:numId w:val="2"/>
        </w:numPr>
        <w:ind w:left="1593"/>
        <w:rPr>
          <w:rFonts w:ascii="Arial" w:hAnsi="Arial" w:cs="Arial"/>
          <w:sz w:val="28"/>
          <w:szCs w:val="28"/>
          <w:u w:val="single"/>
        </w:rPr>
      </w:pPr>
      <w:hyperlink r:id="rId20" w:history="1">
        <w:r w:rsidRPr="006879D5">
          <w:rPr>
            <w:rStyle w:val="Hyperlink"/>
            <w:rFonts w:ascii="Arial" w:hAnsi="Arial" w:cs="Arial"/>
            <w:sz w:val="28"/>
            <w:szCs w:val="28"/>
          </w:rPr>
          <w:t>SMBC Tenancy Conditions</w:t>
        </w:r>
      </w:hyperlink>
      <w:r w:rsidR="00E87026" w:rsidRPr="006879D5">
        <w:rPr>
          <w:rFonts w:ascii="Arial" w:hAnsi="Arial" w:cs="Arial"/>
          <w:sz w:val="28"/>
          <w:szCs w:val="28"/>
        </w:rPr>
        <w:t xml:space="preserve"> </w:t>
      </w:r>
    </w:p>
    <w:p w14:paraId="40DA8239" w14:textId="3745C4D1" w:rsidR="0045700D" w:rsidRPr="00A97155" w:rsidRDefault="00380B53" w:rsidP="00A97155">
      <w:pPr>
        <w:pStyle w:val="ListParagraph"/>
        <w:numPr>
          <w:ilvl w:val="0"/>
          <w:numId w:val="2"/>
        </w:numPr>
        <w:ind w:left="1593"/>
        <w:rPr>
          <w:rFonts w:ascii="Arial" w:hAnsi="Arial" w:cs="Arial"/>
          <w:sz w:val="28"/>
          <w:szCs w:val="28"/>
          <w:u w:val="single"/>
        </w:rPr>
      </w:pPr>
      <w:hyperlink r:id="rId21" w:history="1">
        <w:r w:rsidRPr="006879D5">
          <w:rPr>
            <w:rStyle w:val="Hyperlink"/>
            <w:rFonts w:ascii="Arial" w:hAnsi="Arial" w:cs="Arial"/>
            <w:sz w:val="28"/>
            <w:szCs w:val="28"/>
          </w:rPr>
          <w:t>Reasonable Adjustments Policy</w:t>
        </w:r>
      </w:hyperlink>
      <w:r w:rsidR="00E87026" w:rsidRPr="006879D5">
        <w:rPr>
          <w:rFonts w:ascii="Arial" w:hAnsi="Arial" w:cs="Arial"/>
          <w:sz w:val="28"/>
          <w:szCs w:val="28"/>
        </w:rPr>
        <w:t xml:space="preserve"> </w:t>
      </w:r>
    </w:p>
    <w:p w14:paraId="2ABCA344" w14:textId="77777777" w:rsidR="00A97155" w:rsidRPr="00A97155" w:rsidRDefault="00A97155" w:rsidP="00A97155">
      <w:pPr>
        <w:pStyle w:val="ListParagraph"/>
        <w:ind w:left="1593"/>
        <w:rPr>
          <w:rFonts w:ascii="Arial" w:hAnsi="Arial" w:cs="Arial"/>
          <w:sz w:val="28"/>
          <w:szCs w:val="28"/>
          <w:u w:val="single"/>
        </w:rPr>
      </w:pPr>
    </w:p>
    <w:p w14:paraId="19C2AB49" w14:textId="77777777" w:rsidR="0045700D" w:rsidRPr="006879D5" w:rsidRDefault="00E87026" w:rsidP="00AD2945">
      <w:pPr>
        <w:keepNext/>
        <w:keepLines/>
        <w:numPr>
          <w:ilvl w:val="0"/>
          <w:numId w:val="1"/>
        </w:numPr>
        <w:spacing w:after="0"/>
        <w:ind w:left="742"/>
        <w:outlineLvl w:val="0"/>
        <w:rPr>
          <w:rFonts w:ascii="Arial" w:eastAsiaTheme="majorEastAsia" w:hAnsi="Arial" w:cs="Arial"/>
          <w:b/>
          <w:bCs/>
          <w:color w:val="2F5496" w:themeColor="accent1" w:themeShade="BF"/>
          <w:sz w:val="28"/>
          <w:szCs w:val="28"/>
        </w:rPr>
      </w:pPr>
      <w:bookmarkStart w:id="13" w:name="_Toc215055604"/>
      <w:bookmarkStart w:id="14" w:name="_Hlk164765064"/>
      <w:r w:rsidRPr="006879D5">
        <w:rPr>
          <w:rFonts w:ascii="Arial" w:eastAsiaTheme="majorEastAsia" w:hAnsi="Arial" w:cs="Arial"/>
          <w:b/>
          <w:bCs/>
          <w:color w:val="2F5496" w:themeColor="accent1" w:themeShade="BF"/>
          <w:sz w:val="28"/>
          <w:szCs w:val="28"/>
        </w:rPr>
        <w:lastRenderedPageBreak/>
        <w:t>Legal Framework</w:t>
      </w:r>
      <w:bookmarkEnd w:id="13"/>
      <w:r w:rsidRPr="006879D5">
        <w:rPr>
          <w:rFonts w:ascii="Arial" w:eastAsiaTheme="majorEastAsia" w:hAnsi="Arial" w:cs="Arial"/>
          <w:b/>
          <w:bCs/>
          <w:color w:val="2F5496" w:themeColor="accent1" w:themeShade="BF"/>
          <w:sz w:val="28"/>
          <w:szCs w:val="28"/>
        </w:rPr>
        <w:t xml:space="preserve"> </w:t>
      </w:r>
    </w:p>
    <w:bookmarkEnd w:id="14"/>
    <w:p w14:paraId="466A1439" w14:textId="77777777" w:rsidR="00F84887" w:rsidRPr="006879D5" w:rsidRDefault="00F84887" w:rsidP="00AD2945">
      <w:pPr>
        <w:keepNext/>
        <w:keepLines/>
        <w:spacing w:after="0"/>
        <w:ind w:left="382"/>
        <w:outlineLvl w:val="0"/>
        <w:rPr>
          <w:rFonts w:ascii="Arial" w:eastAsiaTheme="majorEastAsia" w:hAnsi="Arial" w:cs="Arial"/>
          <w:b/>
          <w:bCs/>
          <w:color w:val="2F5496" w:themeColor="accent1" w:themeShade="BF"/>
          <w:sz w:val="28"/>
          <w:szCs w:val="28"/>
        </w:rPr>
      </w:pPr>
    </w:p>
    <w:p w14:paraId="7FB62F3E" w14:textId="22F3DB79" w:rsidR="00F84887" w:rsidRDefault="00E87026" w:rsidP="006E12AB">
      <w:pPr>
        <w:pStyle w:val="ListParagraph"/>
        <w:numPr>
          <w:ilvl w:val="1"/>
          <w:numId w:val="1"/>
        </w:numPr>
        <w:ind w:left="1092" w:hanging="710"/>
        <w:rPr>
          <w:rFonts w:ascii="Arial" w:hAnsi="Arial" w:cs="Arial"/>
          <w:sz w:val="28"/>
          <w:szCs w:val="28"/>
        </w:rPr>
      </w:pPr>
      <w:r w:rsidRPr="00CF3C52">
        <w:rPr>
          <w:rFonts w:ascii="Arial" w:hAnsi="Arial" w:cs="Arial"/>
          <w:sz w:val="28"/>
          <w:szCs w:val="28"/>
        </w:rPr>
        <w:t>Sandwell</w:t>
      </w:r>
      <w:r w:rsidR="00CF3C52" w:rsidRPr="00CF3C52">
        <w:rPr>
          <w:rFonts w:ascii="Arial" w:hAnsi="Arial" w:cs="Arial"/>
          <w:sz w:val="28"/>
          <w:szCs w:val="28"/>
        </w:rPr>
        <w:t xml:space="preserve"> Council is committed to meeting all relevant legislation, regulations, and national standards relating to tenancy management, including the legal rights that govern succession to secure tenancies.</w:t>
      </w:r>
    </w:p>
    <w:p w14:paraId="37F56205" w14:textId="77777777" w:rsidR="00CF3C52" w:rsidRPr="00CF3C52" w:rsidRDefault="00CF3C52" w:rsidP="00CF3C52">
      <w:pPr>
        <w:pStyle w:val="ListParagraph"/>
        <w:ind w:left="1092"/>
        <w:rPr>
          <w:rFonts w:ascii="Arial" w:hAnsi="Arial" w:cs="Arial"/>
          <w:sz w:val="28"/>
          <w:szCs w:val="28"/>
        </w:rPr>
      </w:pPr>
    </w:p>
    <w:p w14:paraId="774BF7B6" w14:textId="3A59958C" w:rsidR="00F84887" w:rsidRPr="00A97155" w:rsidRDefault="00CF3C52" w:rsidP="006E12AB">
      <w:pPr>
        <w:pStyle w:val="ListParagraph"/>
        <w:numPr>
          <w:ilvl w:val="1"/>
          <w:numId w:val="1"/>
        </w:numPr>
        <w:ind w:left="1092" w:hanging="710"/>
        <w:rPr>
          <w:rFonts w:ascii="Arial" w:hAnsi="Arial" w:cs="Arial"/>
          <w:sz w:val="28"/>
          <w:szCs w:val="28"/>
        </w:rPr>
      </w:pPr>
      <w:r w:rsidRPr="00CF3C52">
        <w:rPr>
          <w:rFonts w:ascii="Arial" w:hAnsi="Arial" w:cs="Arial"/>
          <w:sz w:val="28"/>
          <w:szCs w:val="28"/>
        </w:rPr>
        <w:t>This Succession Policy reflects statutory requirements under the Housing Act 1985, Localism Act 2011, and other legislation that defines how and when a tenancy may pass to another person following a tenant’s death.</w:t>
      </w:r>
    </w:p>
    <w:p w14:paraId="386B097D" w14:textId="77777777" w:rsidR="00F84887" w:rsidRPr="00A97155" w:rsidRDefault="00F84887" w:rsidP="006E12AB">
      <w:pPr>
        <w:pStyle w:val="ListParagraph"/>
        <w:ind w:left="1386"/>
        <w:rPr>
          <w:rFonts w:ascii="Arial" w:hAnsi="Arial" w:cs="Arial"/>
          <w:sz w:val="28"/>
          <w:szCs w:val="28"/>
        </w:rPr>
      </w:pPr>
    </w:p>
    <w:p w14:paraId="2B999C57" w14:textId="08612339" w:rsidR="00C71113" w:rsidRPr="00A97155" w:rsidRDefault="00F17BAA" w:rsidP="006E12AB">
      <w:pPr>
        <w:pStyle w:val="ListParagraph"/>
        <w:numPr>
          <w:ilvl w:val="1"/>
          <w:numId w:val="1"/>
        </w:numPr>
        <w:ind w:left="1092" w:hanging="710"/>
        <w:rPr>
          <w:rFonts w:ascii="Arial" w:hAnsi="Arial" w:cs="Arial"/>
          <w:sz w:val="28"/>
          <w:szCs w:val="28"/>
        </w:rPr>
      </w:pPr>
      <w:r w:rsidRPr="00F17BAA">
        <w:rPr>
          <w:rFonts w:ascii="Arial" w:hAnsi="Arial" w:cs="Arial"/>
          <w:sz w:val="28"/>
          <w:szCs w:val="28"/>
        </w:rPr>
        <w:t>This policy helps ensure compliance with the following legislation and regulatory standards, where relevant:</w:t>
      </w:r>
    </w:p>
    <w:p w14:paraId="3F0F7B70" w14:textId="285110CE" w:rsidR="00C71113" w:rsidRPr="00EC6382" w:rsidRDefault="00C71113" w:rsidP="00C26539">
      <w:pPr>
        <w:pStyle w:val="ListParagraph"/>
        <w:numPr>
          <w:ilvl w:val="0"/>
          <w:numId w:val="4"/>
        </w:numPr>
        <w:ind w:left="1593"/>
        <w:rPr>
          <w:rFonts w:ascii="Arial" w:hAnsi="Arial" w:cs="Arial"/>
          <w:color w:val="FF0000"/>
          <w:sz w:val="28"/>
          <w:szCs w:val="28"/>
        </w:rPr>
      </w:pPr>
      <w:hyperlink r:id="rId22" w:history="1">
        <w:r w:rsidRPr="006879D5">
          <w:rPr>
            <w:rStyle w:val="Hyperlink"/>
            <w:rFonts w:ascii="Arial" w:hAnsi="Arial" w:cs="Arial"/>
            <w:sz w:val="28"/>
            <w:szCs w:val="28"/>
          </w:rPr>
          <w:t>Landlord and Tenant Act 1985</w:t>
        </w:r>
      </w:hyperlink>
    </w:p>
    <w:p w14:paraId="5C65697C" w14:textId="4AC01231" w:rsidR="00EC6382" w:rsidRPr="00EC6382" w:rsidRDefault="00EC6382" w:rsidP="00C26539">
      <w:pPr>
        <w:pStyle w:val="ListParagraph"/>
        <w:numPr>
          <w:ilvl w:val="0"/>
          <w:numId w:val="4"/>
        </w:numPr>
        <w:ind w:left="1593"/>
        <w:rPr>
          <w:rFonts w:ascii="Arial" w:hAnsi="Arial" w:cs="Arial"/>
          <w:color w:val="FF0000"/>
          <w:sz w:val="28"/>
          <w:szCs w:val="28"/>
        </w:rPr>
      </w:pPr>
      <w:hyperlink r:id="rId23" w:history="1">
        <w:r w:rsidRPr="00B27C60">
          <w:rPr>
            <w:rStyle w:val="Hyperlink"/>
            <w:rFonts w:ascii="Arial" w:hAnsi="Arial" w:cs="Arial"/>
            <w:sz w:val="28"/>
            <w:szCs w:val="28"/>
          </w:rPr>
          <w:t>Localism Act 2011</w:t>
        </w:r>
      </w:hyperlink>
    </w:p>
    <w:p w14:paraId="6620A5A6" w14:textId="1B709092" w:rsidR="00EC6382" w:rsidRPr="00EC6382" w:rsidRDefault="00C4059A" w:rsidP="00C26539">
      <w:pPr>
        <w:pStyle w:val="ListParagraph"/>
        <w:numPr>
          <w:ilvl w:val="0"/>
          <w:numId w:val="4"/>
        </w:numPr>
        <w:ind w:left="1593"/>
        <w:rPr>
          <w:rFonts w:ascii="Arial" w:hAnsi="Arial" w:cs="Arial"/>
          <w:color w:val="FF0000"/>
          <w:sz w:val="28"/>
          <w:szCs w:val="28"/>
        </w:rPr>
      </w:pPr>
      <w:hyperlink r:id="rId24" w:history="1">
        <w:r w:rsidRPr="00893670">
          <w:rPr>
            <w:rStyle w:val="Hyperlink"/>
            <w:rFonts w:ascii="Arial" w:hAnsi="Arial" w:cs="Arial"/>
            <w:sz w:val="28"/>
            <w:szCs w:val="28"/>
          </w:rPr>
          <w:t>Data Protection Act 2018 / UK GDPR</w:t>
        </w:r>
      </w:hyperlink>
    </w:p>
    <w:p w14:paraId="787A4123" w14:textId="294DABC0" w:rsidR="00C71113" w:rsidRPr="006879D5" w:rsidRDefault="00C71113" w:rsidP="00C26539">
      <w:pPr>
        <w:pStyle w:val="ListParagraph"/>
        <w:numPr>
          <w:ilvl w:val="0"/>
          <w:numId w:val="4"/>
        </w:numPr>
        <w:ind w:left="1593"/>
        <w:rPr>
          <w:rFonts w:ascii="Arial" w:hAnsi="Arial" w:cs="Arial"/>
          <w:color w:val="FF0000"/>
          <w:sz w:val="28"/>
          <w:szCs w:val="28"/>
        </w:rPr>
      </w:pPr>
      <w:hyperlink r:id="rId25" w:history="1">
        <w:r w:rsidRPr="006879D5">
          <w:rPr>
            <w:rStyle w:val="Hyperlink"/>
            <w:rFonts w:ascii="Arial" w:hAnsi="Arial" w:cs="Arial"/>
            <w:sz w:val="28"/>
            <w:szCs w:val="28"/>
          </w:rPr>
          <w:t>Equality Act 2010</w:t>
        </w:r>
      </w:hyperlink>
    </w:p>
    <w:p w14:paraId="1CE2A566" w14:textId="39BBC7BC" w:rsidR="00C71113" w:rsidRPr="006879D5" w:rsidRDefault="00C71113" w:rsidP="00C26539">
      <w:pPr>
        <w:pStyle w:val="ListParagraph"/>
        <w:numPr>
          <w:ilvl w:val="0"/>
          <w:numId w:val="4"/>
        </w:numPr>
        <w:ind w:left="1593"/>
        <w:rPr>
          <w:rFonts w:ascii="Arial" w:hAnsi="Arial" w:cs="Arial"/>
          <w:color w:val="FF0000"/>
          <w:sz w:val="28"/>
          <w:szCs w:val="28"/>
        </w:rPr>
      </w:pPr>
      <w:hyperlink r:id="rId26" w:history="1">
        <w:r w:rsidRPr="006879D5">
          <w:rPr>
            <w:rStyle w:val="Hyperlink"/>
            <w:rFonts w:ascii="Arial" w:hAnsi="Arial" w:cs="Arial"/>
            <w:sz w:val="28"/>
            <w:szCs w:val="28"/>
          </w:rPr>
          <w:t>Regulator of Social Housing Consumer Standards:</w:t>
        </w:r>
      </w:hyperlink>
    </w:p>
    <w:p w14:paraId="3DEFEB0F" w14:textId="5320B6E6" w:rsidR="00C71113" w:rsidRPr="006879D5" w:rsidRDefault="00C71113" w:rsidP="00C26539">
      <w:pPr>
        <w:pStyle w:val="ListParagraph"/>
        <w:numPr>
          <w:ilvl w:val="0"/>
          <w:numId w:val="5"/>
        </w:numPr>
        <w:ind w:left="1953"/>
        <w:rPr>
          <w:rFonts w:ascii="Arial" w:hAnsi="Arial" w:cs="Arial"/>
          <w:color w:val="FF0000"/>
          <w:sz w:val="28"/>
          <w:szCs w:val="28"/>
        </w:rPr>
      </w:pPr>
      <w:hyperlink r:id="rId27" w:history="1">
        <w:r w:rsidRPr="00D31DF2">
          <w:rPr>
            <w:rStyle w:val="Hyperlink"/>
            <w:rFonts w:ascii="Arial" w:hAnsi="Arial" w:cs="Arial"/>
            <w:sz w:val="28"/>
            <w:szCs w:val="28"/>
          </w:rPr>
          <w:t>Safety and Quality Standard</w:t>
        </w:r>
      </w:hyperlink>
    </w:p>
    <w:p w14:paraId="46B1201B" w14:textId="5308A0AB" w:rsidR="00C71113" w:rsidRPr="00B27C60" w:rsidRDefault="00C71113" w:rsidP="00B27C60">
      <w:pPr>
        <w:pStyle w:val="ListParagraph"/>
        <w:numPr>
          <w:ilvl w:val="0"/>
          <w:numId w:val="5"/>
        </w:numPr>
        <w:ind w:left="1953"/>
        <w:rPr>
          <w:rFonts w:ascii="Arial" w:hAnsi="Arial" w:cs="Arial"/>
          <w:color w:val="FF0000"/>
          <w:sz w:val="28"/>
          <w:szCs w:val="28"/>
        </w:rPr>
      </w:pPr>
      <w:hyperlink r:id="rId28" w:history="1">
        <w:r w:rsidRPr="00D31DF2">
          <w:rPr>
            <w:rStyle w:val="Hyperlink"/>
            <w:rFonts w:ascii="Arial" w:hAnsi="Arial" w:cs="Arial"/>
            <w:sz w:val="28"/>
            <w:szCs w:val="28"/>
          </w:rPr>
          <w:t>Transparency, Influence and Accountability Standard</w:t>
        </w:r>
      </w:hyperlink>
    </w:p>
    <w:p w14:paraId="7D383E6C" w14:textId="77777777" w:rsidR="008C780E" w:rsidRDefault="008C780E" w:rsidP="008C780E">
      <w:pPr>
        <w:pStyle w:val="ListParagraph"/>
        <w:ind w:left="1092"/>
        <w:rPr>
          <w:rFonts w:ascii="Arial" w:hAnsi="Arial" w:cs="Arial"/>
          <w:sz w:val="28"/>
          <w:szCs w:val="28"/>
        </w:rPr>
      </w:pPr>
    </w:p>
    <w:p w14:paraId="318CABDE" w14:textId="5E3A4A10" w:rsidR="00C71113" w:rsidRPr="00A97155" w:rsidRDefault="00C6543A" w:rsidP="006E12AB">
      <w:pPr>
        <w:pStyle w:val="ListParagraph"/>
        <w:numPr>
          <w:ilvl w:val="1"/>
          <w:numId w:val="1"/>
        </w:numPr>
        <w:ind w:left="1092" w:hanging="710"/>
        <w:rPr>
          <w:rFonts w:ascii="Arial" w:hAnsi="Arial" w:cs="Arial"/>
          <w:sz w:val="28"/>
          <w:szCs w:val="28"/>
        </w:rPr>
      </w:pPr>
      <w:r w:rsidRPr="00C6543A">
        <w:rPr>
          <w:rFonts w:ascii="Arial" w:hAnsi="Arial" w:cs="Arial"/>
          <w:sz w:val="28"/>
          <w:szCs w:val="28"/>
        </w:rPr>
        <w:t>This policy will be reviewed regularly to ensure it reflects current law, case law, and best practice.</w:t>
      </w:r>
    </w:p>
    <w:p w14:paraId="4EE3BBDD" w14:textId="77777777" w:rsidR="00F84887" w:rsidRPr="00A33152" w:rsidRDefault="00F84887" w:rsidP="006E12AB">
      <w:pPr>
        <w:pStyle w:val="ListParagraph"/>
        <w:ind w:left="1092"/>
        <w:rPr>
          <w:rFonts w:ascii="Arial" w:hAnsi="Arial" w:cs="Arial"/>
          <w:color w:val="FF0000"/>
          <w:sz w:val="28"/>
          <w:szCs w:val="28"/>
        </w:rPr>
      </w:pPr>
    </w:p>
    <w:p w14:paraId="37B0C891" w14:textId="17A491AC" w:rsidR="00C71113" w:rsidRPr="006E2919" w:rsidRDefault="00C5591F" w:rsidP="006E2919">
      <w:pPr>
        <w:pStyle w:val="ListParagraph"/>
        <w:numPr>
          <w:ilvl w:val="1"/>
          <w:numId w:val="1"/>
        </w:numPr>
        <w:ind w:left="1092" w:hanging="710"/>
        <w:rPr>
          <w:rFonts w:ascii="Arial" w:hAnsi="Arial" w:cs="Arial"/>
          <w:color w:val="FF0000"/>
          <w:sz w:val="28"/>
          <w:szCs w:val="28"/>
        </w:rPr>
      </w:pPr>
      <w:r w:rsidRPr="00C5591F">
        <w:rPr>
          <w:rFonts w:ascii="Arial" w:hAnsi="Arial" w:cs="Arial"/>
          <w:sz w:val="28"/>
          <w:szCs w:val="28"/>
        </w:rPr>
        <w:t xml:space="preserve">Further detailed information about legal duties relating to tenancy management is available in Sandwell Council’s Tenancy Conditions, Allocations Policy, and </w:t>
      </w:r>
      <w:r>
        <w:rPr>
          <w:rFonts w:ascii="Arial" w:hAnsi="Arial" w:cs="Arial"/>
          <w:sz w:val="28"/>
          <w:szCs w:val="28"/>
        </w:rPr>
        <w:t>Tenant Handbook.</w:t>
      </w:r>
    </w:p>
    <w:p w14:paraId="1D3BC9A0" w14:textId="77777777" w:rsidR="006E2919" w:rsidRPr="006E2919" w:rsidRDefault="006E2919" w:rsidP="006E2919">
      <w:pPr>
        <w:pStyle w:val="ListParagraph"/>
        <w:rPr>
          <w:rFonts w:ascii="Arial" w:hAnsi="Arial" w:cs="Arial"/>
          <w:sz w:val="28"/>
          <w:szCs w:val="28"/>
        </w:rPr>
      </w:pPr>
    </w:p>
    <w:p w14:paraId="474E2DB1" w14:textId="609382BA" w:rsidR="006E2919" w:rsidRPr="00694113" w:rsidRDefault="006E2919" w:rsidP="006E2919">
      <w:pPr>
        <w:pStyle w:val="ListParagraph"/>
        <w:numPr>
          <w:ilvl w:val="1"/>
          <w:numId w:val="1"/>
        </w:numPr>
        <w:ind w:left="1134" w:hanging="752"/>
        <w:rPr>
          <w:rFonts w:ascii="Arial" w:hAnsi="Arial" w:cs="Arial"/>
          <w:sz w:val="28"/>
          <w:szCs w:val="28"/>
        </w:rPr>
      </w:pPr>
      <w:r w:rsidRPr="00694113">
        <w:rPr>
          <w:rFonts w:ascii="Arial" w:hAnsi="Arial" w:cs="Arial"/>
          <w:sz w:val="28"/>
          <w:szCs w:val="28"/>
        </w:rPr>
        <w:t>As part of ongoing regulatory compliance, Sandwell Council will continue to meet the expectations of the Regulator of Social Housing by:</w:t>
      </w:r>
    </w:p>
    <w:p w14:paraId="5EA39B92" w14:textId="77777777" w:rsidR="00694113" w:rsidRPr="00694113" w:rsidRDefault="00694113" w:rsidP="00694113">
      <w:pPr>
        <w:pStyle w:val="ListParagraph"/>
        <w:numPr>
          <w:ilvl w:val="2"/>
          <w:numId w:val="20"/>
        </w:numPr>
        <w:spacing w:before="100" w:beforeAutospacing="1" w:after="100" w:afterAutospacing="1" w:line="240" w:lineRule="auto"/>
        <w:ind w:left="1276" w:hanging="218"/>
        <w:rPr>
          <w:rFonts w:ascii="Arial" w:eastAsia="Times New Roman" w:hAnsi="Arial" w:cs="Arial"/>
          <w:sz w:val="28"/>
          <w:szCs w:val="28"/>
          <w:lang w:eastAsia="en-GB"/>
        </w:rPr>
      </w:pPr>
      <w:r w:rsidRPr="00694113">
        <w:rPr>
          <w:rFonts w:ascii="Arial" w:eastAsia="Times New Roman" w:hAnsi="Arial" w:cs="Arial"/>
          <w:sz w:val="28"/>
          <w:szCs w:val="28"/>
          <w:lang w:eastAsia="en-GB"/>
        </w:rPr>
        <w:t>Providing a fair, accessible, and timely service</w:t>
      </w:r>
    </w:p>
    <w:p w14:paraId="4594065B" w14:textId="77777777" w:rsidR="00694113" w:rsidRPr="00694113" w:rsidRDefault="00694113" w:rsidP="00694113">
      <w:pPr>
        <w:pStyle w:val="ListParagraph"/>
        <w:numPr>
          <w:ilvl w:val="2"/>
          <w:numId w:val="20"/>
        </w:numPr>
        <w:spacing w:before="100" w:beforeAutospacing="1" w:after="100" w:afterAutospacing="1" w:line="240" w:lineRule="auto"/>
        <w:ind w:left="1276" w:hanging="218"/>
        <w:rPr>
          <w:rFonts w:ascii="Arial" w:eastAsia="Times New Roman" w:hAnsi="Arial" w:cs="Arial"/>
          <w:sz w:val="28"/>
          <w:szCs w:val="28"/>
          <w:lang w:eastAsia="en-GB"/>
        </w:rPr>
      </w:pPr>
      <w:r w:rsidRPr="00694113">
        <w:rPr>
          <w:rFonts w:ascii="Arial" w:eastAsia="Times New Roman" w:hAnsi="Arial" w:cs="Arial"/>
          <w:sz w:val="28"/>
          <w:szCs w:val="28"/>
          <w:lang w:eastAsia="en-GB"/>
        </w:rPr>
        <w:t>Ensuring tenancy decisions are accountable, transparent, and well-evidenced</w:t>
      </w:r>
    </w:p>
    <w:p w14:paraId="5AC4B47D" w14:textId="77777777" w:rsidR="00694113" w:rsidRPr="00694113" w:rsidRDefault="00694113" w:rsidP="00694113">
      <w:pPr>
        <w:pStyle w:val="ListParagraph"/>
        <w:numPr>
          <w:ilvl w:val="2"/>
          <w:numId w:val="20"/>
        </w:numPr>
        <w:spacing w:before="100" w:beforeAutospacing="1" w:after="100" w:afterAutospacing="1" w:line="240" w:lineRule="auto"/>
        <w:ind w:left="1276" w:hanging="218"/>
        <w:rPr>
          <w:rFonts w:ascii="Arial" w:eastAsia="Times New Roman" w:hAnsi="Arial" w:cs="Arial"/>
          <w:sz w:val="28"/>
          <w:szCs w:val="28"/>
          <w:lang w:eastAsia="en-GB"/>
        </w:rPr>
      </w:pPr>
      <w:r w:rsidRPr="00694113">
        <w:rPr>
          <w:rFonts w:ascii="Arial" w:eastAsia="Times New Roman" w:hAnsi="Arial" w:cs="Arial"/>
          <w:sz w:val="28"/>
          <w:szCs w:val="28"/>
          <w:lang w:eastAsia="en-GB"/>
        </w:rPr>
        <w:t>Supporting residents to maintain their tenancies wherever possible</w:t>
      </w:r>
    </w:p>
    <w:p w14:paraId="53F95264" w14:textId="5A4B6C1A" w:rsidR="00735D08" w:rsidRPr="00694113" w:rsidRDefault="00694113" w:rsidP="00694113">
      <w:pPr>
        <w:pStyle w:val="ListParagraph"/>
        <w:numPr>
          <w:ilvl w:val="2"/>
          <w:numId w:val="20"/>
        </w:numPr>
        <w:spacing w:before="100" w:beforeAutospacing="1" w:after="100" w:afterAutospacing="1" w:line="240" w:lineRule="auto"/>
        <w:ind w:left="1276" w:hanging="218"/>
        <w:rPr>
          <w:rFonts w:ascii="Arial" w:eastAsia="Times New Roman" w:hAnsi="Arial" w:cs="Arial"/>
          <w:sz w:val="28"/>
          <w:szCs w:val="28"/>
          <w:lang w:eastAsia="en-GB"/>
        </w:rPr>
      </w:pPr>
      <w:r w:rsidRPr="00694113">
        <w:rPr>
          <w:rFonts w:ascii="Arial" w:eastAsia="Times New Roman" w:hAnsi="Arial" w:cs="Arial"/>
          <w:sz w:val="28"/>
          <w:szCs w:val="28"/>
          <w:lang w:eastAsia="en-GB"/>
        </w:rPr>
        <w:t>Ensuring decisions are made correctly the first time, whenever practicable</w:t>
      </w:r>
    </w:p>
    <w:p w14:paraId="25CDD52E" w14:textId="77777777" w:rsidR="00FC6F36" w:rsidRPr="00FC6F36" w:rsidRDefault="00E87026" w:rsidP="00AD2945">
      <w:pPr>
        <w:keepNext/>
        <w:keepLines/>
        <w:numPr>
          <w:ilvl w:val="0"/>
          <w:numId w:val="1"/>
        </w:numPr>
        <w:spacing w:after="0"/>
        <w:ind w:left="742"/>
        <w:outlineLvl w:val="0"/>
        <w:rPr>
          <w:rFonts w:ascii="Arial" w:eastAsiaTheme="majorEastAsia" w:hAnsi="Arial" w:cs="Arial"/>
          <w:b/>
          <w:bCs/>
          <w:color w:val="2F5496" w:themeColor="accent1" w:themeShade="BF"/>
          <w:sz w:val="28"/>
          <w:szCs w:val="28"/>
        </w:rPr>
      </w:pPr>
      <w:bookmarkStart w:id="15" w:name="_Toc193356553"/>
      <w:bookmarkStart w:id="16" w:name="_Toc215055605"/>
      <w:r w:rsidRPr="00FC6F36">
        <w:rPr>
          <w:rFonts w:ascii="Arial" w:eastAsiaTheme="majorEastAsia" w:hAnsi="Arial" w:cs="Arial"/>
          <w:b/>
          <w:bCs/>
          <w:color w:val="2F5496" w:themeColor="accent1" w:themeShade="BF"/>
          <w:sz w:val="28"/>
          <w:szCs w:val="28"/>
        </w:rPr>
        <w:lastRenderedPageBreak/>
        <w:t>Equality and Diversity</w:t>
      </w:r>
      <w:bookmarkEnd w:id="15"/>
      <w:bookmarkEnd w:id="16"/>
      <w:r w:rsidRPr="00FC6F36">
        <w:rPr>
          <w:rFonts w:ascii="Arial" w:eastAsiaTheme="majorEastAsia" w:hAnsi="Arial" w:cs="Arial"/>
          <w:b/>
          <w:bCs/>
          <w:color w:val="2F5496" w:themeColor="accent1" w:themeShade="BF"/>
          <w:sz w:val="28"/>
          <w:szCs w:val="28"/>
        </w:rPr>
        <w:t xml:space="preserve"> </w:t>
      </w:r>
    </w:p>
    <w:p w14:paraId="6478040D" w14:textId="77777777" w:rsidR="00FC6F36" w:rsidRPr="00FC6F36" w:rsidRDefault="00FC6F36" w:rsidP="00AD2945">
      <w:pPr>
        <w:ind w:left="382"/>
        <w:rPr>
          <w:rFonts w:ascii="Arial" w:hAnsi="Arial" w:cs="Arial"/>
          <w:sz w:val="28"/>
          <w:szCs w:val="28"/>
        </w:rPr>
      </w:pPr>
    </w:p>
    <w:p w14:paraId="02ACE0AD" w14:textId="77777777" w:rsidR="007857A8" w:rsidRDefault="00E87026" w:rsidP="007857A8">
      <w:pPr>
        <w:numPr>
          <w:ilvl w:val="1"/>
          <w:numId w:val="1"/>
        </w:numPr>
        <w:ind w:left="1134" w:hanging="708"/>
        <w:contextualSpacing/>
        <w:rPr>
          <w:rFonts w:ascii="Arial" w:hAnsi="Arial" w:cs="Arial"/>
          <w:sz w:val="28"/>
          <w:szCs w:val="28"/>
        </w:rPr>
      </w:pPr>
      <w:r w:rsidRPr="00303EA2">
        <w:rPr>
          <w:rFonts w:ascii="Arial" w:hAnsi="Arial" w:cs="Arial"/>
          <w:sz w:val="28"/>
          <w:szCs w:val="28"/>
        </w:rPr>
        <w:t>Sandwell</w:t>
      </w:r>
      <w:r w:rsidR="00FF76F6" w:rsidRPr="00303EA2">
        <w:rPr>
          <w:rFonts w:ascii="Arial" w:hAnsi="Arial" w:cs="Arial"/>
          <w:sz w:val="28"/>
          <w:szCs w:val="28"/>
        </w:rPr>
        <w:t xml:space="preserve"> Council is committed to ensuring that all residents have fair and equal access to succession processes and related services.</w:t>
      </w:r>
    </w:p>
    <w:p w14:paraId="0E5F28F1" w14:textId="77777777" w:rsidR="007857A8" w:rsidRDefault="007857A8" w:rsidP="007857A8">
      <w:pPr>
        <w:ind w:left="1134"/>
        <w:contextualSpacing/>
        <w:rPr>
          <w:rFonts w:ascii="Arial" w:hAnsi="Arial" w:cs="Arial"/>
          <w:sz w:val="28"/>
          <w:szCs w:val="28"/>
        </w:rPr>
      </w:pPr>
    </w:p>
    <w:p w14:paraId="00EF6BFB" w14:textId="77777777" w:rsidR="007857A8" w:rsidRDefault="007857A8" w:rsidP="007857A8">
      <w:pPr>
        <w:numPr>
          <w:ilvl w:val="1"/>
          <w:numId w:val="1"/>
        </w:numPr>
        <w:ind w:left="1134" w:hanging="708"/>
        <w:contextualSpacing/>
        <w:rPr>
          <w:rFonts w:ascii="Arial" w:hAnsi="Arial" w:cs="Arial"/>
          <w:sz w:val="28"/>
          <w:szCs w:val="28"/>
        </w:rPr>
      </w:pPr>
      <w:r w:rsidRPr="007857A8">
        <w:rPr>
          <w:rFonts w:ascii="Arial" w:eastAsia="Times New Roman" w:hAnsi="Arial" w:cs="Arial"/>
          <w:b/>
          <w:bCs/>
          <w:sz w:val="28"/>
          <w:szCs w:val="28"/>
          <w:lang w:eastAsia="en-GB"/>
        </w:rPr>
        <w:t>Supporting Applicants and Household Members with Additional Needs</w:t>
      </w:r>
    </w:p>
    <w:p w14:paraId="20C5E969" w14:textId="77777777" w:rsidR="007857A8" w:rsidRDefault="007857A8" w:rsidP="007857A8">
      <w:pPr>
        <w:ind w:left="1134"/>
        <w:contextualSpacing/>
        <w:rPr>
          <w:rFonts w:ascii="Arial" w:hAnsi="Arial" w:cs="Arial"/>
          <w:sz w:val="28"/>
          <w:szCs w:val="28"/>
        </w:rPr>
      </w:pPr>
      <w:r>
        <w:rPr>
          <w:rFonts w:ascii="Arial" w:eastAsia="Times New Roman" w:hAnsi="Arial" w:cs="Arial"/>
          <w:sz w:val="28"/>
          <w:szCs w:val="28"/>
          <w:lang w:eastAsia="en-GB"/>
        </w:rPr>
        <w:t>S</w:t>
      </w:r>
      <w:r w:rsidRPr="007857A8">
        <w:rPr>
          <w:rFonts w:ascii="Arial" w:eastAsia="Times New Roman" w:hAnsi="Arial" w:cs="Arial"/>
          <w:sz w:val="28"/>
          <w:szCs w:val="28"/>
          <w:lang w:eastAsia="en-GB"/>
        </w:rPr>
        <w:t>andwell Council is committed to ensuring that no applicant or household member is disadvantaged when accessing information, submitting a succession request, or communicating with us during the succession process. We will make reasonable adjustments where needed to ensure the process is fair, accessible, and responsive to individual needs.</w:t>
      </w:r>
    </w:p>
    <w:p w14:paraId="5F7B057B" w14:textId="77777777" w:rsidR="007857A8" w:rsidRDefault="007857A8" w:rsidP="007857A8">
      <w:pPr>
        <w:ind w:left="1134"/>
        <w:contextualSpacing/>
        <w:rPr>
          <w:rFonts w:ascii="Arial" w:hAnsi="Arial" w:cs="Arial"/>
          <w:sz w:val="28"/>
          <w:szCs w:val="28"/>
        </w:rPr>
      </w:pPr>
    </w:p>
    <w:p w14:paraId="7EA329E5" w14:textId="63982973" w:rsidR="007857A8" w:rsidRPr="007857A8" w:rsidRDefault="007857A8" w:rsidP="007857A8">
      <w:pPr>
        <w:ind w:left="1134"/>
        <w:contextualSpacing/>
        <w:rPr>
          <w:rFonts w:ascii="Arial" w:hAnsi="Arial" w:cs="Arial"/>
          <w:sz w:val="28"/>
          <w:szCs w:val="28"/>
        </w:rPr>
      </w:pPr>
      <w:r w:rsidRPr="00A13035">
        <w:rPr>
          <w:rFonts w:ascii="Arial" w:eastAsia="Times New Roman" w:hAnsi="Arial" w:cs="Arial"/>
          <w:sz w:val="28"/>
          <w:szCs w:val="28"/>
          <w:lang w:eastAsia="en-GB"/>
        </w:rPr>
        <w:t>Reasonable adjustments may include:</w:t>
      </w:r>
    </w:p>
    <w:p w14:paraId="548B2B27" w14:textId="77777777" w:rsidR="007857A8" w:rsidRPr="00C26539" w:rsidRDefault="007857A8" w:rsidP="007857A8">
      <w:pPr>
        <w:pStyle w:val="ListParagraph"/>
        <w:numPr>
          <w:ilvl w:val="1"/>
          <w:numId w:val="17"/>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Providing information in alternative formats (e.g., large print or easy-read)</w:t>
      </w:r>
    </w:p>
    <w:p w14:paraId="7A0365D5" w14:textId="77777777" w:rsidR="007857A8" w:rsidRPr="00C26539" w:rsidRDefault="007857A8" w:rsidP="007857A8">
      <w:pPr>
        <w:pStyle w:val="ListParagraph"/>
        <w:numPr>
          <w:ilvl w:val="1"/>
          <w:numId w:val="17"/>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Adapting communication methods to meet individual needs</w:t>
      </w:r>
    </w:p>
    <w:p w14:paraId="6F66A771" w14:textId="77777777" w:rsidR="007857A8" w:rsidRPr="00C26539" w:rsidRDefault="007857A8" w:rsidP="007857A8">
      <w:pPr>
        <w:pStyle w:val="ListParagraph"/>
        <w:numPr>
          <w:ilvl w:val="1"/>
          <w:numId w:val="17"/>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Using plain, clear language when explaining the process or decisions</w:t>
      </w:r>
    </w:p>
    <w:p w14:paraId="50329F0C" w14:textId="77777777" w:rsidR="007857A8" w:rsidRPr="00C26539" w:rsidRDefault="007857A8" w:rsidP="007857A8">
      <w:pPr>
        <w:pStyle w:val="ListParagraph"/>
        <w:numPr>
          <w:ilvl w:val="1"/>
          <w:numId w:val="17"/>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Ensuring that online policy documents can be accessed in various ways, including:</w:t>
      </w:r>
    </w:p>
    <w:p w14:paraId="410C7915" w14:textId="77777777" w:rsidR="007857A8" w:rsidRPr="00A13035" w:rsidRDefault="007857A8" w:rsidP="007857A8">
      <w:pPr>
        <w:numPr>
          <w:ilvl w:val="1"/>
          <w:numId w:val="14"/>
        </w:numPr>
        <w:tabs>
          <w:tab w:val="clear" w:pos="1440"/>
          <w:tab w:val="num" w:pos="1800"/>
        </w:tabs>
        <w:spacing w:after="100" w:afterAutospacing="1" w:line="240" w:lineRule="auto"/>
        <w:ind w:left="1800"/>
        <w:rPr>
          <w:rFonts w:ascii="Arial" w:eastAsia="Times New Roman" w:hAnsi="Arial" w:cs="Arial"/>
          <w:sz w:val="28"/>
          <w:szCs w:val="28"/>
          <w:lang w:eastAsia="en-GB"/>
        </w:rPr>
      </w:pPr>
      <w:r w:rsidRPr="00A13035">
        <w:rPr>
          <w:rFonts w:ascii="Arial" w:eastAsia="Times New Roman" w:hAnsi="Arial" w:cs="Arial"/>
          <w:sz w:val="28"/>
          <w:szCs w:val="28"/>
          <w:lang w:eastAsia="en-GB"/>
        </w:rPr>
        <w:t>Adjusting colours, contrast levels, and font sizes</w:t>
      </w:r>
    </w:p>
    <w:p w14:paraId="168DFFC9" w14:textId="77777777" w:rsidR="007857A8" w:rsidRPr="00A13035" w:rsidRDefault="007857A8" w:rsidP="007857A8">
      <w:pPr>
        <w:numPr>
          <w:ilvl w:val="1"/>
          <w:numId w:val="14"/>
        </w:numPr>
        <w:tabs>
          <w:tab w:val="clear" w:pos="1440"/>
          <w:tab w:val="num" w:pos="1800"/>
        </w:tabs>
        <w:spacing w:after="100" w:afterAutospacing="1" w:line="240" w:lineRule="auto"/>
        <w:ind w:left="1800"/>
        <w:rPr>
          <w:rFonts w:ascii="Arial" w:eastAsia="Times New Roman" w:hAnsi="Arial" w:cs="Arial"/>
          <w:sz w:val="28"/>
          <w:szCs w:val="28"/>
          <w:lang w:eastAsia="en-GB"/>
        </w:rPr>
      </w:pPr>
      <w:r w:rsidRPr="00A13035">
        <w:rPr>
          <w:rFonts w:ascii="Arial" w:eastAsia="Times New Roman" w:hAnsi="Arial" w:cs="Arial"/>
          <w:sz w:val="28"/>
          <w:szCs w:val="28"/>
          <w:lang w:eastAsia="en-GB"/>
        </w:rPr>
        <w:t>Using zoom functions up to 300% without loss of content</w:t>
      </w:r>
    </w:p>
    <w:p w14:paraId="609A7DBC" w14:textId="77777777" w:rsidR="007857A8" w:rsidRPr="00A13035" w:rsidRDefault="007857A8" w:rsidP="007857A8">
      <w:pPr>
        <w:numPr>
          <w:ilvl w:val="1"/>
          <w:numId w:val="14"/>
        </w:numPr>
        <w:tabs>
          <w:tab w:val="clear" w:pos="1440"/>
          <w:tab w:val="num" w:pos="1800"/>
        </w:tabs>
        <w:spacing w:after="100" w:afterAutospacing="1" w:line="240" w:lineRule="auto"/>
        <w:ind w:left="1800"/>
        <w:rPr>
          <w:rFonts w:ascii="Arial" w:eastAsia="Times New Roman" w:hAnsi="Arial" w:cs="Arial"/>
          <w:sz w:val="28"/>
          <w:szCs w:val="28"/>
          <w:lang w:eastAsia="en-GB"/>
        </w:rPr>
      </w:pPr>
      <w:r w:rsidRPr="00A13035">
        <w:rPr>
          <w:rFonts w:ascii="Arial" w:eastAsia="Times New Roman" w:hAnsi="Arial" w:cs="Arial"/>
          <w:sz w:val="28"/>
          <w:szCs w:val="28"/>
          <w:lang w:eastAsia="en-GB"/>
        </w:rPr>
        <w:t>Viewing documents from a smartphone, tablet, laptop, or PC</w:t>
      </w:r>
    </w:p>
    <w:p w14:paraId="21D68C96" w14:textId="77777777" w:rsidR="007857A8" w:rsidRPr="00A13035" w:rsidRDefault="007857A8" w:rsidP="007857A8">
      <w:pPr>
        <w:spacing w:after="0" w:line="240" w:lineRule="auto"/>
        <w:ind w:left="1080"/>
        <w:rPr>
          <w:rFonts w:ascii="Arial" w:eastAsia="Times New Roman" w:hAnsi="Arial" w:cs="Arial"/>
          <w:sz w:val="28"/>
          <w:szCs w:val="28"/>
          <w:lang w:eastAsia="en-GB"/>
        </w:rPr>
      </w:pPr>
      <w:r w:rsidRPr="00A13035">
        <w:rPr>
          <w:rFonts w:ascii="Arial" w:eastAsia="Times New Roman" w:hAnsi="Arial" w:cs="Arial"/>
          <w:sz w:val="28"/>
          <w:szCs w:val="28"/>
          <w:lang w:eastAsia="en-GB"/>
        </w:rPr>
        <w:t>Residents can request reasonable adjustments in any of the following ways:</w:t>
      </w:r>
    </w:p>
    <w:p w14:paraId="3EDC1090" w14:textId="77777777" w:rsidR="007857A8" w:rsidRPr="00C26539" w:rsidRDefault="007857A8" w:rsidP="007857A8">
      <w:pPr>
        <w:pStyle w:val="ListParagraph"/>
        <w:numPr>
          <w:ilvl w:val="0"/>
          <w:numId w:val="16"/>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In person</w:t>
      </w:r>
    </w:p>
    <w:p w14:paraId="1B743563" w14:textId="77777777" w:rsidR="007857A8" w:rsidRPr="00C26539" w:rsidRDefault="007857A8" w:rsidP="007857A8">
      <w:pPr>
        <w:pStyle w:val="ListParagraph"/>
        <w:numPr>
          <w:ilvl w:val="0"/>
          <w:numId w:val="16"/>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In writing (email, post, or text message)</w:t>
      </w:r>
    </w:p>
    <w:p w14:paraId="5430DEF8" w14:textId="77777777" w:rsidR="007857A8" w:rsidRPr="00C26539" w:rsidRDefault="007857A8" w:rsidP="007857A8">
      <w:pPr>
        <w:pStyle w:val="ListParagraph"/>
        <w:numPr>
          <w:ilvl w:val="0"/>
          <w:numId w:val="16"/>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By telephone</w:t>
      </w:r>
    </w:p>
    <w:p w14:paraId="71E6BF49" w14:textId="77777777" w:rsidR="007857A8" w:rsidRPr="00C26539" w:rsidRDefault="007857A8" w:rsidP="007857A8">
      <w:pPr>
        <w:pStyle w:val="ListParagraph"/>
        <w:numPr>
          <w:ilvl w:val="0"/>
          <w:numId w:val="16"/>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Through a family member or representative, where permission has been provided</w:t>
      </w:r>
    </w:p>
    <w:p w14:paraId="3C4542A4" w14:textId="77777777" w:rsidR="007857A8" w:rsidRPr="00C26539" w:rsidRDefault="007857A8" w:rsidP="007857A8">
      <w:pPr>
        <w:pStyle w:val="ListParagraph"/>
        <w:numPr>
          <w:ilvl w:val="0"/>
          <w:numId w:val="16"/>
        </w:numPr>
        <w:spacing w:after="0" w:line="240" w:lineRule="auto"/>
        <w:ind w:left="1440"/>
        <w:rPr>
          <w:rFonts w:ascii="Arial" w:eastAsia="Times New Roman" w:hAnsi="Arial" w:cs="Arial"/>
          <w:sz w:val="28"/>
          <w:szCs w:val="28"/>
          <w:lang w:eastAsia="en-GB"/>
        </w:rPr>
      </w:pPr>
      <w:r w:rsidRPr="00C26539">
        <w:rPr>
          <w:rFonts w:ascii="Arial" w:eastAsia="Times New Roman" w:hAnsi="Arial" w:cs="Arial"/>
          <w:sz w:val="28"/>
          <w:szCs w:val="28"/>
          <w:lang w:eastAsia="en-GB"/>
        </w:rPr>
        <w:t>On the suggestion of a staff member, where doing so would support the customer’s needs</w:t>
      </w:r>
    </w:p>
    <w:p w14:paraId="481A4F71" w14:textId="77777777" w:rsidR="007857A8" w:rsidRPr="00A13035" w:rsidRDefault="007857A8" w:rsidP="007857A8">
      <w:pPr>
        <w:spacing w:before="100" w:beforeAutospacing="1" w:after="100" w:afterAutospacing="1" w:line="240" w:lineRule="auto"/>
        <w:ind w:left="1080"/>
        <w:rPr>
          <w:rFonts w:ascii="Arial" w:eastAsia="Times New Roman" w:hAnsi="Arial" w:cs="Arial"/>
          <w:sz w:val="28"/>
          <w:szCs w:val="28"/>
          <w:lang w:eastAsia="en-GB"/>
        </w:rPr>
      </w:pPr>
      <w:r w:rsidRPr="00A13035">
        <w:rPr>
          <w:rFonts w:ascii="Arial" w:eastAsia="Times New Roman" w:hAnsi="Arial" w:cs="Arial"/>
          <w:sz w:val="28"/>
          <w:szCs w:val="28"/>
          <w:lang w:eastAsia="en-GB"/>
        </w:rPr>
        <w:t xml:space="preserve">Further information is available </w:t>
      </w:r>
      <w:r w:rsidRPr="0046284B">
        <w:rPr>
          <w:rFonts w:ascii="Arial" w:eastAsia="Times New Roman" w:hAnsi="Arial" w:cs="Arial"/>
          <w:sz w:val="28"/>
          <w:szCs w:val="28"/>
          <w:lang w:eastAsia="en-GB"/>
        </w:rPr>
        <w:t xml:space="preserve">in </w:t>
      </w:r>
      <w:hyperlink r:id="rId29" w:history="1">
        <w:r w:rsidRPr="0073181A">
          <w:rPr>
            <w:rStyle w:val="Hyperlink"/>
            <w:rFonts w:ascii="Arial" w:eastAsia="Times New Roman" w:hAnsi="Arial" w:cs="Arial"/>
            <w:sz w:val="28"/>
            <w:szCs w:val="28"/>
            <w:lang w:eastAsia="en-GB"/>
          </w:rPr>
          <w:t>Sandwell Council’s Reasonable Adjustments Policy.</w:t>
        </w:r>
      </w:hyperlink>
    </w:p>
    <w:p w14:paraId="34666EEE" w14:textId="77777777" w:rsidR="007857A8" w:rsidRPr="00CF0872" w:rsidRDefault="007857A8" w:rsidP="007857A8">
      <w:pPr>
        <w:pStyle w:val="ListParagraph"/>
        <w:numPr>
          <w:ilvl w:val="1"/>
          <w:numId w:val="1"/>
        </w:numPr>
        <w:tabs>
          <w:tab w:val="left" w:pos="709"/>
        </w:tabs>
        <w:ind w:hanging="5322"/>
        <w:rPr>
          <w:rFonts w:ascii="Arial" w:hAnsi="Arial" w:cs="Arial"/>
          <w:b/>
          <w:bCs/>
          <w:sz w:val="28"/>
          <w:szCs w:val="28"/>
        </w:rPr>
      </w:pPr>
      <w:r>
        <w:rPr>
          <w:rFonts w:ascii="Arial" w:eastAsia="Times New Roman" w:hAnsi="Arial" w:cs="Arial"/>
          <w:b/>
          <w:bCs/>
          <w:sz w:val="28"/>
          <w:szCs w:val="28"/>
          <w:lang w:eastAsia="en-GB"/>
        </w:rPr>
        <w:lastRenderedPageBreak/>
        <w:t>ST*R Model</w:t>
      </w:r>
    </w:p>
    <w:p w14:paraId="58BA61DF" w14:textId="77777777" w:rsidR="007857A8" w:rsidRPr="00495363" w:rsidRDefault="007857A8" w:rsidP="007857A8">
      <w:pPr>
        <w:spacing w:after="0" w:line="240" w:lineRule="auto"/>
        <w:ind w:left="1134"/>
        <w:rPr>
          <w:rFonts w:ascii="Arial" w:eastAsia="Times New Roman" w:hAnsi="Arial" w:cs="Arial"/>
          <w:sz w:val="28"/>
          <w:szCs w:val="28"/>
          <w:lang w:eastAsia="en-GB"/>
        </w:rPr>
      </w:pPr>
      <w:r w:rsidRPr="00495363">
        <w:rPr>
          <w:rFonts w:ascii="Arial" w:eastAsia="Times New Roman" w:hAnsi="Arial" w:cs="Arial"/>
          <w:sz w:val="28"/>
          <w:szCs w:val="28"/>
          <w:lang w:eastAsia="en-GB"/>
        </w:rPr>
        <w:t>Sandwell Council applies the ST*R practice model to its Succession Policy to ensure our approach is fair, inclusive, and centred on the needs of applicants and households:</w:t>
      </w:r>
    </w:p>
    <w:p w14:paraId="014997CF" w14:textId="77777777" w:rsidR="007857A8" w:rsidRPr="00495363" w:rsidRDefault="007857A8" w:rsidP="007857A8">
      <w:pPr>
        <w:pStyle w:val="ListParagraph"/>
        <w:numPr>
          <w:ilvl w:val="1"/>
          <w:numId w:val="15"/>
        </w:numPr>
        <w:spacing w:after="0" w:line="240" w:lineRule="auto"/>
        <w:ind w:left="1418" w:hanging="284"/>
        <w:rPr>
          <w:rFonts w:ascii="Arial" w:eastAsia="Times New Roman" w:hAnsi="Arial" w:cs="Arial"/>
          <w:sz w:val="28"/>
          <w:szCs w:val="28"/>
          <w:lang w:eastAsia="en-GB"/>
        </w:rPr>
      </w:pPr>
      <w:r w:rsidRPr="00495363">
        <w:rPr>
          <w:rFonts w:ascii="Arial" w:eastAsia="Times New Roman" w:hAnsi="Arial" w:cs="Arial"/>
          <w:b/>
          <w:bCs/>
          <w:sz w:val="28"/>
          <w:szCs w:val="28"/>
          <w:lang w:eastAsia="en-GB"/>
        </w:rPr>
        <w:t>Strengths-Based</w:t>
      </w:r>
      <w:r w:rsidRPr="00495363">
        <w:rPr>
          <w:rFonts w:ascii="Arial" w:eastAsia="Times New Roman" w:hAnsi="Arial" w:cs="Arial"/>
          <w:sz w:val="28"/>
          <w:szCs w:val="28"/>
          <w:lang w:eastAsia="en-GB"/>
        </w:rPr>
        <w:t xml:space="preserve"> – We work collaboratively with applicants, recognising the knowledge and experience they bring to their situation.</w:t>
      </w:r>
    </w:p>
    <w:p w14:paraId="7F5193F9" w14:textId="77777777" w:rsidR="007857A8" w:rsidRPr="00495363" w:rsidRDefault="007857A8" w:rsidP="007857A8">
      <w:pPr>
        <w:pStyle w:val="ListParagraph"/>
        <w:numPr>
          <w:ilvl w:val="1"/>
          <w:numId w:val="15"/>
        </w:numPr>
        <w:spacing w:after="0" w:line="240" w:lineRule="auto"/>
        <w:ind w:left="1418" w:hanging="284"/>
        <w:rPr>
          <w:rFonts w:ascii="Arial" w:eastAsia="Times New Roman" w:hAnsi="Arial" w:cs="Arial"/>
          <w:sz w:val="28"/>
          <w:szCs w:val="28"/>
          <w:lang w:eastAsia="en-GB"/>
        </w:rPr>
      </w:pPr>
      <w:r w:rsidRPr="00495363">
        <w:rPr>
          <w:rFonts w:ascii="Arial" w:eastAsia="Times New Roman" w:hAnsi="Arial" w:cs="Arial"/>
          <w:b/>
          <w:bCs/>
          <w:sz w:val="28"/>
          <w:szCs w:val="28"/>
          <w:lang w:eastAsia="en-GB"/>
        </w:rPr>
        <w:t>Trauma-Informed</w:t>
      </w:r>
      <w:r w:rsidRPr="00495363">
        <w:rPr>
          <w:rFonts w:ascii="Arial" w:eastAsia="Times New Roman" w:hAnsi="Arial" w:cs="Arial"/>
          <w:sz w:val="28"/>
          <w:szCs w:val="28"/>
          <w:lang w:eastAsia="en-GB"/>
        </w:rPr>
        <w:t xml:space="preserve"> – We understand that bereavement and housing uncertainty can cause distress, and we respond with sensitivity and care.</w:t>
      </w:r>
    </w:p>
    <w:p w14:paraId="77A6A500" w14:textId="77777777" w:rsidR="007857A8" w:rsidRPr="00495363" w:rsidRDefault="007857A8" w:rsidP="007857A8">
      <w:pPr>
        <w:pStyle w:val="ListParagraph"/>
        <w:numPr>
          <w:ilvl w:val="1"/>
          <w:numId w:val="15"/>
        </w:numPr>
        <w:spacing w:after="0" w:line="240" w:lineRule="auto"/>
        <w:ind w:left="1418" w:hanging="284"/>
        <w:rPr>
          <w:rFonts w:ascii="Arial" w:eastAsia="Times New Roman" w:hAnsi="Arial" w:cs="Arial"/>
          <w:sz w:val="28"/>
          <w:szCs w:val="28"/>
          <w:lang w:eastAsia="en-GB"/>
        </w:rPr>
      </w:pPr>
      <w:r w:rsidRPr="00495363">
        <w:rPr>
          <w:rFonts w:ascii="Arial" w:eastAsia="Times New Roman" w:hAnsi="Arial" w:cs="Arial"/>
          <w:b/>
          <w:bCs/>
          <w:sz w:val="28"/>
          <w:szCs w:val="28"/>
          <w:lang w:eastAsia="en-GB"/>
        </w:rPr>
        <w:t>Relationship-Based</w:t>
      </w:r>
      <w:r w:rsidRPr="00495363">
        <w:rPr>
          <w:rFonts w:ascii="Arial" w:eastAsia="Times New Roman" w:hAnsi="Arial" w:cs="Arial"/>
          <w:sz w:val="28"/>
          <w:szCs w:val="28"/>
          <w:lang w:eastAsia="en-GB"/>
        </w:rPr>
        <w:t xml:space="preserve"> – We build trust through clear communication, respectful engagement, and guidance throughout the succession process.</w:t>
      </w:r>
    </w:p>
    <w:p w14:paraId="4B79B815" w14:textId="0D8E1E52" w:rsidR="00366754" w:rsidRPr="007857A8" w:rsidRDefault="007857A8" w:rsidP="007857A8">
      <w:pPr>
        <w:spacing w:before="100" w:beforeAutospacing="1" w:after="100" w:afterAutospacing="1" w:line="240" w:lineRule="auto"/>
        <w:ind w:left="1134"/>
        <w:rPr>
          <w:rFonts w:ascii="Arial" w:eastAsia="Times New Roman" w:hAnsi="Arial" w:cs="Arial"/>
          <w:sz w:val="28"/>
          <w:szCs w:val="28"/>
          <w:lang w:eastAsia="en-GB"/>
        </w:rPr>
      </w:pPr>
      <w:r w:rsidRPr="00495363">
        <w:rPr>
          <w:rFonts w:ascii="Arial" w:eastAsia="Times New Roman" w:hAnsi="Arial" w:cs="Arial"/>
          <w:sz w:val="28"/>
          <w:szCs w:val="28"/>
          <w:lang w:eastAsia="en-GB"/>
        </w:rPr>
        <w:t>This model helps ensure that our service is supportive, empathetic, and respectful of individual circumstances.</w:t>
      </w:r>
    </w:p>
    <w:p w14:paraId="19576790" w14:textId="55D8770C" w:rsidR="00574EA2" w:rsidRPr="006879D5" w:rsidRDefault="00E87026" w:rsidP="00AD2945">
      <w:pPr>
        <w:keepNext/>
        <w:keepLines/>
        <w:numPr>
          <w:ilvl w:val="0"/>
          <w:numId w:val="1"/>
        </w:numPr>
        <w:spacing w:after="0"/>
        <w:ind w:left="742"/>
        <w:outlineLvl w:val="0"/>
        <w:rPr>
          <w:rFonts w:ascii="Arial" w:eastAsiaTheme="majorEastAsia" w:hAnsi="Arial" w:cs="Arial"/>
          <w:b/>
          <w:bCs/>
          <w:color w:val="2F5496" w:themeColor="accent1" w:themeShade="BF"/>
          <w:sz w:val="28"/>
          <w:szCs w:val="28"/>
        </w:rPr>
      </w:pPr>
      <w:bookmarkStart w:id="17" w:name="_Toc215055606"/>
      <w:r w:rsidRPr="006879D5">
        <w:rPr>
          <w:rFonts w:ascii="Arial" w:eastAsiaTheme="majorEastAsia" w:hAnsi="Arial" w:cs="Arial"/>
          <w:b/>
          <w:bCs/>
          <w:color w:val="2F5496" w:themeColor="accent1" w:themeShade="BF"/>
          <w:sz w:val="28"/>
          <w:szCs w:val="28"/>
        </w:rPr>
        <w:t>Monitoring and Review</w:t>
      </w:r>
      <w:bookmarkEnd w:id="17"/>
      <w:r w:rsidRPr="006879D5">
        <w:rPr>
          <w:rFonts w:ascii="Arial" w:eastAsiaTheme="majorEastAsia" w:hAnsi="Arial" w:cs="Arial"/>
          <w:b/>
          <w:bCs/>
          <w:color w:val="2F5496" w:themeColor="accent1" w:themeShade="BF"/>
          <w:sz w:val="28"/>
          <w:szCs w:val="28"/>
        </w:rPr>
        <w:t xml:space="preserve"> </w:t>
      </w:r>
    </w:p>
    <w:p w14:paraId="2C4E3E81" w14:textId="77777777" w:rsidR="00366754" w:rsidRDefault="00366754" w:rsidP="00A7782E">
      <w:pPr>
        <w:pStyle w:val="ListParagraph"/>
        <w:ind w:left="1134" w:hanging="708"/>
        <w:rPr>
          <w:rFonts w:ascii="Arial" w:hAnsi="Arial" w:cs="Arial"/>
          <w:sz w:val="28"/>
          <w:szCs w:val="28"/>
        </w:rPr>
      </w:pPr>
    </w:p>
    <w:p w14:paraId="0C6FA99A" w14:textId="126FBAC8" w:rsidR="005635A0" w:rsidRPr="00FD561E" w:rsidRDefault="00FD561E" w:rsidP="00A7782E">
      <w:pPr>
        <w:pStyle w:val="ListParagraph"/>
        <w:numPr>
          <w:ilvl w:val="1"/>
          <w:numId w:val="1"/>
        </w:numPr>
        <w:ind w:left="1134" w:hanging="708"/>
        <w:rPr>
          <w:rFonts w:ascii="Arial" w:hAnsi="Arial" w:cs="Arial"/>
          <w:sz w:val="28"/>
          <w:szCs w:val="28"/>
        </w:rPr>
      </w:pPr>
      <w:r w:rsidRPr="00FD561E">
        <w:rPr>
          <w:rFonts w:ascii="Arial" w:hAnsi="Arial" w:cs="Arial"/>
          <w:sz w:val="28"/>
          <w:szCs w:val="28"/>
        </w:rPr>
        <w:t>This policy will be reviewed every three years, or sooner if required due to changes in legislation, regulatory guidance, or recommendations from the Regulator of Social Housing or Housing Ombudsman.</w:t>
      </w:r>
    </w:p>
    <w:p w14:paraId="7C662FDA" w14:textId="77777777" w:rsidR="005635A0" w:rsidRPr="006879D5" w:rsidRDefault="005635A0" w:rsidP="00AD2945">
      <w:pPr>
        <w:pStyle w:val="ListParagraph"/>
        <w:ind w:left="1462"/>
        <w:rPr>
          <w:rFonts w:ascii="Arial" w:hAnsi="Arial" w:cs="Arial"/>
          <w:sz w:val="28"/>
          <w:szCs w:val="28"/>
        </w:rPr>
      </w:pPr>
    </w:p>
    <w:p w14:paraId="6FD3179A" w14:textId="2A994195" w:rsidR="00574EA2" w:rsidRPr="006879D5" w:rsidRDefault="00FD561E" w:rsidP="00FD561E">
      <w:pPr>
        <w:keepNext/>
        <w:keepLines/>
        <w:numPr>
          <w:ilvl w:val="0"/>
          <w:numId w:val="1"/>
        </w:numPr>
        <w:spacing w:after="0"/>
        <w:ind w:left="709" w:hanging="425"/>
        <w:outlineLvl w:val="0"/>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t xml:space="preserve"> </w:t>
      </w:r>
      <w:bookmarkStart w:id="18" w:name="_Toc215055607"/>
      <w:r w:rsidR="00E87026" w:rsidRPr="006879D5">
        <w:rPr>
          <w:rFonts w:ascii="Arial" w:eastAsiaTheme="majorEastAsia" w:hAnsi="Arial" w:cs="Arial"/>
          <w:b/>
          <w:bCs/>
          <w:color w:val="2F5496" w:themeColor="accent1" w:themeShade="BF"/>
          <w:sz w:val="28"/>
          <w:szCs w:val="28"/>
        </w:rPr>
        <w:t xml:space="preserve">Policy </w:t>
      </w:r>
      <w:r w:rsidR="00FD71FB" w:rsidRPr="006879D5">
        <w:rPr>
          <w:rFonts w:ascii="Arial" w:eastAsiaTheme="majorEastAsia" w:hAnsi="Arial" w:cs="Arial"/>
          <w:b/>
          <w:bCs/>
          <w:color w:val="2F5496" w:themeColor="accent1" w:themeShade="BF"/>
          <w:sz w:val="28"/>
          <w:szCs w:val="28"/>
        </w:rPr>
        <w:t>Document Version Control</w:t>
      </w:r>
      <w:bookmarkEnd w:id="18"/>
      <w:r w:rsidR="00E87026" w:rsidRPr="006879D5">
        <w:rPr>
          <w:rFonts w:ascii="Arial" w:eastAsiaTheme="majorEastAsia" w:hAnsi="Arial" w:cs="Arial"/>
          <w:b/>
          <w:bCs/>
          <w:color w:val="2F5496" w:themeColor="accent1" w:themeShade="BF"/>
          <w:sz w:val="28"/>
          <w:szCs w:val="28"/>
        </w:rPr>
        <w:t xml:space="preserve"> </w:t>
      </w:r>
    </w:p>
    <w:p w14:paraId="518B9276" w14:textId="77777777" w:rsidR="00DF05C6" w:rsidRPr="00366754" w:rsidRDefault="00DF05C6" w:rsidP="00366754">
      <w:pPr>
        <w:rPr>
          <w:rFonts w:ascii="Arial" w:hAnsi="Arial" w:cs="Arial"/>
          <w:color w:val="FF0000"/>
          <w:sz w:val="28"/>
          <w:szCs w:val="28"/>
        </w:rPr>
      </w:pPr>
    </w:p>
    <w:tbl>
      <w:tblPr>
        <w:tblStyle w:val="TableGrid"/>
        <w:tblW w:w="8901" w:type="dxa"/>
        <w:tblLook w:val="04A0" w:firstRow="1" w:lastRow="0" w:firstColumn="1" w:lastColumn="0" w:noHBand="0" w:noVBand="1"/>
      </w:tblPr>
      <w:tblGrid>
        <w:gridCol w:w="1343"/>
        <w:gridCol w:w="1618"/>
        <w:gridCol w:w="2723"/>
        <w:gridCol w:w="1477"/>
        <w:gridCol w:w="1740"/>
      </w:tblGrid>
      <w:tr w:rsidR="00094213" w14:paraId="09D10C8A" w14:textId="77777777" w:rsidTr="008C780E">
        <w:trPr>
          <w:trHeight w:val="911"/>
        </w:trPr>
        <w:tc>
          <w:tcPr>
            <w:tcW w:w="1343" w:type="dxa"/>
          </w:tcPr>
          <w:p w14:paraId="3A83E006" w14:textId="77777777" w:rsidR="00366754" w:rsidRPr="00FD561E" w:rsidRDefault="00E87026" w:rsidP="00553290">
            <w:pPr>
              <w:spacing w:after="160" w:line="259" w:lineRule="auto"/>
              <w:rPr>
                <w:rFonts w:ascii="Arial" w:hAnsi="Arial" w:cs="Arial"/>
                <w:b/>
                <w:bCs/>
                <w:sz w:val="28"/>
                <w:szCs w:val="28"/>
              </w:rPr>
            </w:pPr>
            <w:r w:rsidRPr="00FD561E">
              <w:rPr>
                <w:rFonts w:ascii="Arial" w:hAnsi="Arial" w:cs="Arial"/>
                <w:b/>
                <w:bCs/>
                <w:sz w:val="28"/>
                <w:szCs w:val="28"/>
              </w:rPr>
              <w:t>Version</w:t>
            </w:r>
          </w:p>
        </w:tc>
        <w:tc>
          <w:tcPr>
            <w:tcW w:w="1618" w:type="dxa"/>
          </w:tcPr>
          <w:p w14:paraId="7036233D" w14:textId="77777777" w:rsidR="00366754" w:rsidRPr="00FD561E" w:rsidRDefault="00E87026" w:rsidP="00553290">
            <w:pPr>
              <w:spacing w:after="160" w:line="259" w:lineRule="auto"/>
              <w:rPr>
                <w:rFonts w:ascii="Arial" w:hAnsi="Arial" w:cs="Arial"/>
                <w:b/>
                <w:bCs/>
                <w:sz w:val="28"/>
                <w:szCs w:val="28"/>
              </w:rPr>
            </w:pPr>
            <w:r w:rsidRPr="00FD561E">
              <w:rPr>
                <w:rFonts w:ascii="Arial" w:hAnsi="Arial" w:cs="Arial"/>
                <w:b/>
                <w:bCs/>
                <w:sz w:val="28"/>
                <w:szCs w:val="28"/>
              </w:rPr>
              <w:t>Date</w:t>
            </w:r>
          </w:p>
        </w:tc>
        <w:tc>
          <w:tcPr>
            <w:tcW w:w="2723" w:type="dxa"/>
          </w:tcPr>
          <w:p w14:paraId="67F2CBED" w14:textId="77777777" w:rsidR="00366754" w:rsidRPr="00FD561E" w:rsidRDefault="00E87026" w:rsidP="00553290">
            <w:pPr>
              <w:spacing w:after="160" w:line="259" w:lineRule="auto"/>
              <w:rPr>
                <w:rFonts w:ascii="Arial" w:hAnsi="Arial" w:cs="Arial"/>
                <w:b/>
                <w:bCs/>
                <w:sz w:val="28"/>
                <w:szCs w:val="28"/>
              </w:rPr>
            </w:pPr>
            <w:r w:rsidRPr="00FD561E">
              <w:rPr>
                <w:rFonts w:ascii="Arial" w:hAnsi="Arial" w:cs="Arial"/>
                <w:b/>
                <w:bCs/>
                <w:sz w:val="28"/>
                <w:szCs w:val="28"/>
              </w:rPr>
              <w:t>Description</w:t>
            </w:r>
          </w:p>
        </w:tc>
        <w:tc>
          <w:tcPr>
            <w:tcW w:w="1477" w:type="dxa"/>
          </w:tcPr>
          <w:p w14:paraId="68862B2C" w14:textId="77777777" w:rsidR="00366754" w:rsidRPr="00FD561E" w:rsidRDefault="00E87026" w:rsidP="00553290">
            <w:pPr>
              <w:spacing w:after="160" w:line="259" w:lineRule="auto"/>
              <w:rPr>
                <w:rFonts w:ascii="Arial" w:hAnsi="Arial" w:cs="Arial"/>
                <w:b/>
                <w:bCs/>
                <w:sz w:val="28"/>
                <w:szCs w:val="28"/>
              </w:rPr>
            </w:pPr>
            <w:r w:rsidRPr="00FD561E">
              <w:rPr>
                <w:rFonts w:ascii="Arial" w:hAnsi="Arial" w:cs="Arial"/>
                <w:b/>
                <w:bCs/>
                <w:sz w:val="28"/>
                <w:szCs w:val="28"/>
              </w:rPr>
              <w:t>Updated By</w:t>
            </w:r>
          </w:p>
        </w:tc>
        <w:tc>
          <w:tcPr>
            <w:tcW w:w="1740" w:type="dxa"/>
          </w:tcPr>
          <w:p w14:paraId="7E331C49" w14:textId="77777777" w:rsidR="00366754" w:rsidRPr="00FD561E" w:rsidRDefault="00E87026" w:rsidP="00553290">
            <w:pPr>
              <w:spacing w:after="160" w:line="259" w:lineRule="auto"/>
              <w:rPr>
                <w:rFonts w:ascii="Arial" w:hAnsi="Arial" w:cs="Arial"/>
                <w:b/>
                <w:bCs/>
                <w:sz w:val="28"/>
                <w:szCs w:val="28"/>
              </w:rPr>
            </w:pPr>
            <w:r w:rsidRPr="00FD561E">
              <w:rPr>
                <w:rFonts w:ascii="Arial" w:hAnsi="Arial" w:cs="Arial"/>
                <w:b/>
                <w:bCs/>
                <w:sz w:val="28"/>
                <w:szCs w:val="28"/>
              </w:rPr>
              <w:t>Approved By</w:t>
            </w:r>
          </w:p>
        </w:tc>
      </w:tr>
      <w:tr w:rsidR="00094213" w14:paraId="3DDCB1BF" w14:textId="77777777" w:rsidTr="008C780E">
        <w:trPr>
          <w:trHeight w:val="911"/>
        </w:trPr>
        <w:tc>
          <w:tcPr>
            <w:tcW w:w="1343" w:type="dxa"/>
          </w:tcPr>
          <w:p w14:paraId="33DAD2E4" w14:textId="722F592C" w:rsidR="00366754" w:rsidRPr="00FD561E" w:rsidRDefault="00E87026" w:rsidP="00553290">
            <w:pPr>
              <w:spacing w:after="160" w:line="259" w:lineRule="auto"/>
              <w:rPr>
                <w:rFonts w:ascii="Arial" w:hAnsi="Arial" w:cs="Arial"/>
                <w:sz w:val="28"/>
                <w:szCs w:val="28"/>
              </w:rPr>
            </w:pPr>
            <w:r w:rsidRPr="00FD561E">
              <w:rPr>
                <w:rFonts w:ascii="Arial" w:hAnsi="Arial" w:cs="Arial"/>
                <w:sz w:val="28"/>
                <w:szCs w:val="28"/>
              </w:rPr>
              <w:t>0.1</w:t>
            </w:r>
          </w:p>
        </w:tc>
        <w:tc>
          <w:tcPr>
            <w:tcW w:w="1618" w:type="dxa"/>
          </w:tcPr>
          <w:p w14:paraId="6CD9369D" w14:textId="53D62558" w:rsidR="00366754" w:rsidRPr="00FD561E" w:rsidRDefault="00E87026" w:rsidP="00553290">
            <w:pPr>
              <w:spacing w:after="160" w:line="259" w:lineRule="auto"/>
              <w:rPr>
                <w:rFonts w:ascii="Arial" w:hAnsi="Arial" w:cs="Arial"/>
                <w:sz w:val="28"/>
                <w:szCs w:val="28"/>
              </w:rPr>
            </w:pPr>
            <w:r w:rsidRPr="00FD561E">
              <w:rPr>
                <w:rFonts w:ascii="Arial" w:hAnsi="Arial" w:cs="Arial"/>
                <w:sz w:val="28"/>
                <w:szCs w:val="28"/>
              </w:rPr>
              <w:t>2</w:t>
            </w:r>
            <w:r w:rsidR="00FD561E" w:rsidRPr="00FD561E">
              <w:rPr>
                <w:rFonts w:ascii="Arial" w:hAnsi="Arial" w:cs="Arial"/>
                <w:sz w:val="28"/>
                <w:szCs w:val="28"/>
              </w:rPr>
              <w:t>6</w:t>
            </w:r>
            <w:r w:rsidRPr="00FD561E">
              <w:rPr>
                <w:rFonts w:ascii="Arial" w:hAnsi="Arial" w:cs="Arial"/>
                <w:sz w:val="28"/>
                <w:szCs w:val="28"/>
              </w:rPr>
              <w:t>/</w:t>
            </w:r>
            <w:r w:rsidR="00FD561E" w:rsidRPr="00FD561E">
              <w:rPr>
                <w:rFonts w:ascii="Arial" w:hAnsi="Arial" w:cs="Arial"/>
                <w:sz w:val="28"/>
                <w:szCs w:val="28"/>
              </w:rPr>
              <w:t>11</w:t>
            </w:r>
            <w:r w:rsidRPr="00FD561E">
              <w:rPr>
                <w:rFonts w:ascii="Arial" w:hAnsi="Arial" w:cs="Arial"/>
                <w:sz w:val="28"/>
                <w:szCs w:val="28"/>
              </w:rPr>
              <w:t>/2025</w:t>
            </w:r>
          </w:p>
        </w:tc>
        <w:tc>
          <w:tcPr>
            <w:tcW w:w="2723" w:type="dxa"/>
          </w:tcPr>
          <w:p w14:paraId="6411114E" w14:textId="6266ECB0" w:rsidR="006F0987" w:rsidRPr="00FD561E" w:rsidRDefault="00E87026" w:rsidP="00553290">
            <w:pPr>
              <w:spacing w:after="160" w:line="259" w:lineRule="auto"/>
              <w:rPr>
                <w:rFonts w:ascii="Arial" w:hAnsi="Arial" w:cs="Arial"/>
                <w:sz w:val="28"/>
                <w:szCs w:val="28"/>
              </w:rPr>
            </w:pPr>
            <w:r w:rsidRPr="00FD561E">
              <w:rPr>
                <w:rFonts w:ascii="Arial" w:hAnsi="Arial" w:cs="Arial"/>
                <w:sz w:val="28"/>
                <w:szCs w:val="28"/>
              </w:rPr>
              <w:t>First draft of policy for review.</w:t>
            </w:r>
          </w:p>
        </w:tc>
        <w:tc>
          <w:tcPr>
            <w:tcW w:w="1477" w:type="dxa"/>
          </w:tcPr>
          <w:p w14:paraId="7DD1C94E" w14:textId="77777777" w:rsidR="00366754" w:rsidRPr="00FD561E" w:rsidRDefault="00E87026" w:rsidP="00553290">
            <w:pPr>
              <w:spacing w:after="160" w:line="259" w:lineRule="auto"/>
              <w:rPr>
                <w:rFonts w:ascii="Arial" w:hAnsi="Arial" w:cs="Arial"/>
                <w:sz w:val="28"/>
                <w:szCs w:val="28"/>
              </w:rPr>
            </w:pPr>
            <w:r w:rsidRPr="00FD561E">
              <w:rPr>
                <w:rFonts w:ascii="Arial" w:hAnsi="Arial" w:cs="Arial"/>
                <w:sz w:val="28"/>
                <w:szCs w:val="28"/>
              </w:rPr>
              <w:t>Louis Bebb</w:t>
            </w:r>
          </w:p>
        </w:tc>
        <w:tc>
          <w:tcPr>
            <w:tcW w:w="1740" w:type="dxa"/>
          </w:tcPr>
          <w:p w14:paraId="7424ABB8" w14:textId="40E2B566" w:rsidR="00366754" w:rsidRPr="00FD561E" w:rsidRDefault="00366754" w:rsidP="00553290">
            <w:pPr>
              <w:spacing w:after="160" w:line="259" w:lineRule="auto"/>
              <w:rPr>
                <w:rFonts w:ascii="Arial" w:hAnsi="Arial" w:cs="Arial"/>
                <w:sz w:val="28"/>
                <w:szCs w:val="28"/>
              </w:rPr>
            </w:pPr>
          </w:p>
        </w:tc>
      </w:tr>
      <w:tr w:rsidR="00094213" w14:paraId="73596DB4" w14:textId="77777777" w:rsidTr="008C780E">
        <w:trPr>
          <w:trHeight w:val="821"/>
        </w:trPr>
        <w:tc>
          <w:tcPr>
            <w:tcW w:w="1343" w:type="dxa"/>
          </w:tcPr>
          <w:p w14:paraId="569BC89F" w14:textId="57B065E8" w:rsidR="00366754" w:rsidRPr="00FD561E" w:rsidRDefault="00E87026" w:rsidP="00553290">
            <w:pPr>
              <w:spacing w:after="160" w:line="259" w:lineRule="auto"/>
              <w:rPr>
                <w:rFonts w:ascii="Arial" w:hAnsi="Arial" w:cs="Arial"/>
                <w:sz w:val="28"/>
                <w:szCs w:val="28"/>
              </w:rPr>
            </w:pPr>
            <w:r w:rsidRPr="00FD561E">
              <w:rPr>
                <w:rFonts w:ascii="Arial" w:hAnsi="Arial" w:cs="Arial"/>
                <w:sz w:val="28"/>
                <w:szCs w:val="28"/>
              </w:rPr>
              <w:t>0.2</w:t>
            </w:r>
          </w:p>
        </w:tc>
        <w:tc>
          <w:tcPr>
            <w:tcW w:w="1618" w:type="dxa"/>
          </w:tcPr>
          <w:p w14:paraId="316C6C9B" w14:textId="2EFAB5ED" w:rsidR="00366754" w:rsidRPr="00FD561E" w:rsidRDefault="008C780E" w:rsidP="00553290">
            <w:pPr>
              <w:spacing w:after="160" w:line="259" w:lineRule="auto"/>
              <w:rPr>
                <w:rFonts w:ascii="Arial" w:hAnsi="Arial" w:cs="Arial"/>
                <w:sz w:val="28"/>
                <w:szCs w:val="28"/>
              </w:rPr>
            </w:pPr>
            <w:r>
              <w:rPr>
                <w:rFonts w:ascii="Arial" w:hAnsi="Arial" w:cs="Arial"/>
                <w:sz w:val="28"/>
                <w:szCs w:val="28"/>
              </w:rPr>
              <w:t>18/12/2025</w:t>
            </w:r>
          </w:p>
        </w:tc>
        <w:tc>
          <w:tcPr>
            <w:tcW w:w="2723" w:type="dxa"/>
          </w:tcPr>
          <w:p w14:paraId="278F3EEA" w14:textId="76F5CDD2" w:rsidR="00366754" w:rsidRPr="00FD561E" w:rsidRDefault="008C780E" w:rsidP="00553290">
            <w:pPr>
              <w:spacing w:after="160" w:line="259" w:lineRule="auto"/>
              <w:rPr>
                <w:rFonts w:ascii="Arial" w:hAnsi="Arial" w:cs="Arial"/>
                <w:sz w:val="28"/>
                <w:szCs w:val="28"/>
              </w:rPr>
            </w:pPr>
            <w:r>
              <w:rPr>
                <w:rFonts w:ascii="Arial" w:hAnsi="Arial" w:cs="Arial"/>
                <w:sz w:val="28"/>
                <w:szCs w:val="28"/>
              </w:rPr>
              <w:t>Second draft of policy for review.</w:t>
            </w:r>
          </w:p>
        </w:tc>
        <w:tc>
          <w:tcPr>
            <w:tcW w:w="1477" w:type="dxa"/>
          </w:tcPr>
          <w:p w14:paraId="3D6D7139" w14:textId="32E65AF7" w:rsidR="00366754" w:rsidRPr="00FD561E" w:rsidRDefault="008C780E" w:rsidP="00553290">
            <w:pPr>
              <w:spacing w:after="160" w:line="259" w:lineRule="auto"/>
              <w:rPr>
                <w:rFonts w:ascii="Arial" w:hAnsi="Arial" w:cs="Arial"/>
                <w:sz w:val="28"/>
                <w:szCs w:val="28"/>
              </w:rPr>
            </w:pPr>
            <w:r>
              <w:rPr>
                <w:rFonts w:ascii="Arial" w:hAnsi="Arial" w:cs="Arial"/>
                <w:sz w:val="28"/>
                <w:szCs w:val="28"/>
              </w:rPr>
              <w:t>Jim Brennan</w:t>
            </w:r>
          </w:p>
        </w:tc>
        <w:tc>
          <w:tcPr>
            <w:tcW w:w="1740" w:type="dxa"/>
          </w:tcPr>
          <w:p w14:paraId="2A9D65DC" w14:textId="77777777" w:rsidR="00366754" w:rsidRPr="00FD561E" w:rsidRDefault="00366754" w:rsidP="00553290">
            <w:pPr>
              <w:spacing w:after="160" w:line="259" w:lineRule="auto"/>
              <w:rPr>
                <w:rFonts w:ascii="Arial" w:hAnsi="Arial" w:cs="Arial"/>
                <w:sz w:val="28"/>
                <w:szCs w:val="28"/>
              </w:rPr>
            </w:pPr>
          </w:p>
        </w:tc>
      </w:tr>
      <w:tr w:rsidR="008C780E" w14:paraId="1328F3D6" w14:textId="77777777" w:rsidTr="008C780E">
        <w:trPr>
          <w:trHeight w:val="821"/>
        </w:trPr>
        <w:tc>
          <w:tcPr>
            <w:tcW w:w="1343" w:type="dxa"/>
          </w:tcPr>
          <w:p w14:paraId="4D1523BA" w14:textId="6251083E" w:rsidR="008C780E" w:rsidRPr="00FD561E" w:rsidRDefault="007857A8" w:rsidP="00553290">
            <w:pPr>
              <w:rPr>
                <w:rFonts w:ascii="Arial" w:hAnsi="Arial" w:cs="Arial"/>
                <w:sz w:val="28"/>
                <w:szCs w:val="28"/>
              </w:rPr>
            </w:pPr>
            <w:r>
              <w:rPr>
                <w:rFonts w:ascii="Arial" w:hAnsi="Arial" w:cs="Arial"/>
                <w:sz w:val="28"/>
                <w:szCs w:val="28"/>
              </w:rPr>
              <w:t>0.3</w:t>
            </w:r>
          </w:p>
        </w:tc>
        <w:tc>
          <w:tcPr>
            <w:tcW w:w="1618" w:type="dxa"/>
          </w:tcPr>
          <w:p w14:paraId="3F0877C1" w14:textId="7525D6FC" w:rsidR="008C780E" w:rsidRDefault="007857A8" w:rsidP="00553290">
            <w:pPr>
              <w:rPr>
                <w:rFonts w:ascii="Arial" w:hAnsi="Arial" w:cs="Arial"/>
                <w:sz w:val="28"/>
                <w:szCs w:val="28"/>
              </w:rPr>
            </w:pPr>
            <w:r>
              <w:rPr>
                <w:rFonts w:ascii="Arial" w:hAnsi="Arial" w:cs="Arial"/>
                <w:sz w:val="28"/>
                <w:szCs w:val="28"/>
              </w:rPr>
              <w:t>26/06/2026</w:t>
            </w:r>
          </w:p>
        </w:tc>
        <w:tc>
          <w:tcPr>
            <w:tcW w:w="2723" w:type="dxa"/>
          </w:tcPr>
          <w:p w14:paraId="42E70825" w14:textId="4DDD92DF" w:rsidR="008C780E" w:rsidRDefault="007857A8" w:rsidP="00553290">
            <w:pPr>
              <w:rPr>
                <w:rFonts w:ascii="Arial" w:hAnsi="Arial" w:cs="Arial"/>
                <w:sz w:val="28"/>
                <w:szCs w:val="28"/>
              </w:rPr>
            </w:pPr>
            <w:r>
              <w:rPr>
                <w:rFonts w:ascii="Arial" w:hAnsi="Arial" w:cs="Arial"/>
                <w:sz w:val="28"/>
                <w:szCs w:val="28"/>
              </w:rPr>
              <w:t>Reasonable Adjustments section moved following tenant feedback.</w:t>
            </w:r>
          </w:p>
        </w:tc>
        <w:tc>
          <w:tcPr>
            <w:tcW w:w="1477" w:type="dxa"/>
          </w:tcPr>
          <w:p w14:paraId="343055E6" w14:textId="5A0CA159" w:rsidR="008C780E" w:rsidRDefault="007857A8" w:rsidP="00553290">
            <w:pPr>
              <w:rPr>
                <w:rFonts w:ascii="Arial" w:hAnsi="Arial" w:cs="Arial"/>
                <w:sz w:val="28"/>
                <w:szCs w:val="28"/>
              </w:rPr>
            </w:pPr>
            <w:r>
              <w:rPr>
                <w:rFonts w:ascii="Arial" w:hAnsi="Arial" w:cs="Arial"/>
                <w:sz w:val="28"/>
                <w:szCs w:val="28"/>
              </w:rPr>
              <w:t>Louis Bebb</w:t>
            </w:r>
          </w:p>
        </w:tc>
        <w:tc>
          <w:tcPr>
            <w:tcW w:w="1740" w:type="dxa"/>
          </w:tcPr>
          <w:p w14:paraId="3D5C25F5" w14:textId="77777777" w:rsidR="008C780E" w:rsidRPr="00FD561E" w:rsidRDefault="008C780E" w:rsidP="00553290">
            <w:pPr>
              <w:rPr>
                <w:rFonts w:ascii="Arial" w:hAnsi="Arial" w:cs="Arial"/>
                <w:sz w:val="28"/>
                <w:szCs w:val="28"/>
              </w:rPr>
            </w:pPr>
          </w:p>
        </w:tc>
      </w:tr>
    </w:tbl>
    <w:p w14:paraId="72FDE1F3" w14:textId="6A758BDF" w:rsidR="00483D6B" w:rsidRDefault="00483D6B" w:rsidP="00366754">
      <w:pPr>
        <w:pStyle w:val="ListParagraph"/>
        <w:ind w:left="567"/>
      </w:pPr>
    </w:p>
    <w:sectPr w:rsidR="00483D6B" w:rsidSect="00BD3B65">
      <w:footerReference w:type="default" r:id="rId3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1AEB4" w14:textId="77777777" w:rsidR="00652EDA" w:rsidRDefault="00652EDA">
      <w:pPr>
        <w:spacing w:after="0" w:line="240" w:lineRule="auto"/>
      </w:pPr>
      <w:r>
        <w:separator/>
      </w:r>
    </w:p>
  </w:endnote>
  <w:endnote w:type="continuationSeparator" w:id="0">
    <w:p w14:paraId="15FD112C" w14:textId="77777777" w:rsidR="00652EDA" w:rsidRDefault="0065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6212268"/>
      <w:docPartObj>
        <w:docPartGallery w:val="Page Numbers (Bottom of Page)"/>
        <w:docPartUnique/>
      </w:docPartObj>
    </w:sdtPr>
    <w:sdtEndPr>
      <w:rPr>
        <w:noProof/>
      </w:rPr>
    </w:sdtEndPr>
    <w:sdtContent>
      <w:p w14:paraId="4A3034A4" w14:textId="678ABB96" w:rsidR="00BD3B65" w:rsidRDefault="00E870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E39740" w14:textId="77777777" w:rsidR="00BD3B65" w:rsidRDefault="00BD3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52A3" w14:textId="77777777" w:rsidR="00652EDA" w:rsidRDefault="00652EDA">
      <w:pPr>
        <w:spacing w:after="0" w:line="240" w:lineRule="auto"/>
      </w:pPr>
      <w:r>
        <w:separator/>
      </w:r>
    </w:p>
  </w:footnote>
  <w:footnote w:type="continuationSeparator" w:id="0">
    <w:p w14:paraId="6961CC01" w14:textId="77777777" w:rsidR="00652EDA" w:rsidRDefault="00652E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7A3"/>
    <w:multiLevelType w:val="multilevel"/>
    <w:tmpl w:val="C55E2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764B4"/>
    <w:multiLevelType w:val="multilevel"/>
    <w:tmpl w:val="1E6C8E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F4F0760"/>
    <w:multiLevelType w:val="hybridMultilevel"/>
    <w:tmpl w:val="18F85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37A534D"/>
    <w:multiLevelType w:val="hybridMultilevel"/>
    <w:tmpl w:val="137E3EFA"/>
    <w:lvl w:ilvl="0" w:tplc="CBC03394">
      <w:start w:val="1"/>
      <w:numFmt w:val="bullet"/>
      <w:lvlText w:val=""/>
      <w:lvlJc w:val="left"/>
      <w:pPr>
        <w:ind w:left="-201" w:hanging="360"/>
      </w:pPr>
      <w:rPr>
        <w:rFonts w:ascii="Symbol" w:hAnsi="Symbol" w:hint="default"/>
      </w:rPr>
    </w:lvl>
    <w:lvl w:ilvl="1" w:tplc="339C646A" w:tentative="1">
      <w:start w:val="1"/>
      <w:numFmt w:val="bullet"/>
      <w:lvlText w:val="o"/>
      <w:lvlJc w:val="left"/>
      <w:pPr>
        <w:ind w:left="519" w:hanging="360"/>
      </w:pPr>
      <w:rPr>
        <w:rFonts w:ascii="Courier New" w:hAnsi="Courier New" w:cs="Courier New" w:hint="default"/>
      </w:rPr>
    </w:lvl>
    <w:lvl w:ilvl="2" w:tplc="9EF4A22A" w:tentative="1">
      <w:start w:val="1"/>
      <w:numFmt w:val="bullet"/>
      <w:lvlText w:val=""/>
      <w:lvlJc w:val="left"/>
      <w:pPr>
        <w:ind w:left="1239" w:hanging="360"/>
      </w:pPr>
      <w:rPr>
        <w:rFonts w:ascii="Wingdings" w:hAnsi="Wingdings" w:hint="default"/>
      </w:rPr>
    </w:lvl>
    <w:lvl w:ilvl="3" w:tplc="97644B04" w:tentative="1">
      <w:start w:val="1"/>
      <w:numFmt w:val="bullet"/>
      <w:lvlText w:val=""/>
      <w:lvlJc w:val="left"/>
      <w:pPr>
        <w:ind w:left="1959" w:hanging="360"/>
      </w:pPr>
      <w:rPr>
        <w:rFonts w:ascii="Symbol" w:hAnsi="Symbol" w:hint="default"/>
      </w:rPr>
    </w:lvl>
    <w:lvl w:ilvl="4" w:tplc="391667CE" w:tentative="1">
      <w:start w:val="1"/>
      <w:numFmt w:val="bullet"/>
      <w:lvlText w:val="o"/>
      <w:lvlJc w:val="left"/>
      <w:pPr>
        <w:ind w:left="2679" w:hanging="360"/>
      </w:pPr>
      <w:rPr>
        <w:rFonts w:ascii="Courier New" w:hAnsi="Courier New" w:cs="Courier New" w:hint="default"/>
      </w:rPr>
    </w:lvl>
    <w:lvl w:ilvl="5" w:tplc="BF1C33AE" w:tentative="1">
      <w:start w:val="1"/>
      <w:numFmt w:val="bullet"/>
      <w:lvlText w:val=""/>
      <w:lvlJc w:val="left"/>
      <w:pPr>
        <w:ind w:left="3399" w:hanging="360"/>
      </w:pPr>
      <w:rPr>
        <w:rFonts w:ascii="Wingdings" w:hAnsi="Wingdings" w:hint="default"/>
      </w:rPr>
    </w:lvl>
    <w:lvl w:ilvl="6" w:tplc="E2CC54F2" w:tentative="1">
      <w:start w:val="1"/>
      <w:numFmt w:val="bullet"/>
      <w:lvlText w:val=""/>
      <w:lvlJc w:val="left"/>
      <w:pPr>
        <w:ind w:left="4119" w:hanging="360"/>
      </w:pPr>
      <w:rPr>
        <w:rFonts w:ascii="Symbol" w:hAnsi="Symbol" w:hint="default"/>
      </w:rPr>
    </w:lvl>
    <w:lvl w:ilvl="7" w:tplc="20AE3EEE" w:tentative="1">
      <w:start w:val="1"/>
      <w:numFmt w:val="bullet"/>
      <w:lvlText w:val="o"/>
      <w:lvlJc w:val="left"/>
      <w:pPr>
        <w:ind w:left="4839" w:hanging="360"/>
      </w:pPr>
      <w:rPr>
        <w:rFonts w:ascii="Courier New" w:hAnsi="Courier New" w:cs="Courier New" w:hint="default"/>
      </w:rPr>
    </w:lvl>
    <w:lvl w:ilvl="8" w:tplc="C246B32A" w:tentative="1">
      <w:start w:val="1"/>
      <w:numFmt w:val="bullet"/>
      <w:lvlText w:val=""/>
      <w:lvlJc w:val="left"/>
      <w:pPr>
        <w:ind w:left="5559" w:hanging="360"/>
      </w:pPr>
      <w:rPr>
        <w:rFonts w:ascii="Wingdings" w:hAnsi="Wingdings" w:hint="default"/>
      </w:rPr>
    </w:lvl>
  </w:abstractNum>
  <w:abstractNum w:abstractNumId="4" w15:restartNumberingAfterBreak="0">
    <w:nsid w:val="19F62206"/>
    <w:multiLevelType w:val="hybridMultilevel"/>
    <w:tmpl w:val="E4B0BC52"/>
    <w:lvl w:ilvl="0" w:tplc="CC429488">
      <w:start w:val="1"/>
      <w:numFmt w:val="bullet"/>
      <w:lvlText w:val=""/>
      <w:lvlJc w:val="left"/>
      <w:pPr>
        <w:ind w:left="927" w:hanging="360"/>
      </w:pPr>
      <w:rPr>
        <w:rFonts w:ascii="Symbol" w:hAnsi="Symbol" w:hint="default"/>
      </w:rPr>
    </w:lvl>
    <w:lvl w:ilvl="1" w:tplc="BAE20A9E" w:tentative="1">
      <w:start w:val="1"/>
      <w:numFmt w:val="bullet"/>
      <w:lvlText w:val="o"/>
      <w:lvlJc w:val="left"/>
      <w:pPr>
        <w:ind w:left="1647" w:hanging="360"/>
      </w:pPr>
      <w:rPr>
        <w:rFonts w:ascii="Courier New" w:hAnsi="Courier New" w:cs="Courier New" w:hint="default"/>
      </w:rPr>
    </w:lvl>
    <w:lvl w:ilvl="2" w:tplc="B79A1CBA" w:tentative="1">
      <w:start w:val="1"/>
      <w:numFmt w:val="bullet"/>
      <w:lvlText w:val=""/>
      <w:lvlJc w:val="left"/>
      <w:pPr>
        <w:ind w:left="2367" w:hanging="360"/>
      </w:pPr>
      <w:rPr>
        <w:rFonts w:ascii="Wingdings" w:hAnsi="Wingdings" w:hint="default"/>
      </w:rPr>
    </w:lvl>
    <w:lvl w:ilvl="3" w:tplc="8188BDD4" w:tentative="1">
      <w:start w:val="1"/>
      <w:numFmt w:val="bullet"/>
      <w:lvlText w:val=""/>
      <w:lvlJc w:val="left"/>
      <w:pPr>
        <w:ind w:left="3087" w:hanging="360"/>
      </w:pPr>
      <w:rPr>
        <w:rFonts w:ascii="Symbol" w:hAnsi="Symbol" w:hint="default"/>
      </w:rPr>
    </w:lvl>
    <w:lvl w:ilvl="4" w:tplc="11A447D8" w:tentative="1">
      <w:start w:val="1"/>
      <w:numFmt w:val="bullet"/>
      <w:lvlText w:val="o"/>
      <w:lvlJc w:val="left"/>
      <w:pPr>
        <w:ind w:left="3807" w:hanging="360"/>
      </w:pPr>
      <w:rPr>
        <w:rFonts w:ascii="Courier New" w:hAnsi="Courier New" w:cs="Courier New" w:hint="default"/>
      </w:rPr>
    </w:lvl>
    <w:lvl w:ilvl="5" w:tplc="8A6CF362" w:tentative="1">
      <w:start w:val="1"/>
      <w:numFmt w:val="bullet"/>
      <w:lvlText w:val=""/>
      <w:lvlJc w:val="left"/>
      <w:pPr>
        <w:ind w:left="4527" w:hanging="360"/>
      </w:pPr>
      <w:rPr>
        <w:rFonts w:ascii="Wingdings" w:hAnsi="Wingdings" w:hint="default"/>
      </w:rPr>
    </w:lvl>
    <w:lvl w:ilvl="6" w:tplc="941C5DDC" w:tentative="1">
      <w:start w:val="1"/>
      <w:numFmt w:val="bullet"/>
      <w:lvlText w:val=""/>
      <w:lvlJc w:val="left"/>
      <w:pPr>
        <w:ind w:left="5247" w:hanging="360"/>
      </w:pPr>
      <w:rPr>
        <w:rFonts w:ascii="Symbol" w:hAnsi="Symbol" w:hint="default"/>
      </w:rPr>
    </w:lvl>
    <w:lvl w:ilvl="7" w:tplc="54E43A00" w:tentative="1">
      <w:start w:val="1"/>
      <w:numFmt w:val="bullet"/>
      <w:lvlText w:val="o"/>
      <w:lvlJc w:val="left"/>
      <w:pPr>
        <w:ind w:left="5967" w:hanging="360"/>
      </w:pPr>
      <w:rPr>
        <w:rFonts w:ascii="Courier New" w:hAnsi="Courier New" w:cs="Courier New" w:hint="default"/>
      </w:rPr>
    </w:lvl>
    <w:lvl w:ilvl="8" w:tplc="94143606" w:tentative="1">
      <w:start w:val="1"/>
      <w:numFmt w:val="bullet"/>
      <w:lvlText w:val=""/>
      <w:lvlJc w:val="left"/>
      <w:pPr>
        <w:ind w:left="6687" w:hanging="360"/>
      </w:pPr>
      <w:rPr>
        <w:rFonts w:ascii="Wingdings" w:hAnsi="Wingdings" w:hint="default"/>
      </w:rPr>
    </w:lvl>
  </w:abstractNum>
  <w:abstractNum w:abstractNumId="5" w15:restartNumberingAfterBreak="0">
    <w:nsid w:val="2496555F"/>
    <w:multiLevelType w:val="hybridMultilevel"/>
    <w:tmpl w:val="BB3C98CE"/>
    <w:lvl w:ilvl="0" w:tplc="2B304580">
      <w:start w:val="1"/>
      <w:numFmt w:val="bullet"/>
      <w:lvlText w:val="o"/>
      <w:lvlJc w:val="left"/>
      <w:pPr>
        <w:ind w:left="1287" w:hanging="360"/>
      </w:pPr>
      <w:rPr>
        <w:rFonts w:ascii="Courier New" w:hAnsi="Courier New" w:cs="Courier New" w:hint="default"/>
        <w:color w:val="auto"/>
      </w:rPr>
    </w:lvl>
    <w:lvl w:ilvl="1" w:tplc="9AE25138" w:tentative="1">
      <w:start w:val="1"/>
      <w:numFmt w:val="bullet"/>
      <w:lvlText w:val="o"/>
      <w:lvlJc w:val="left"/>
      <w:pPr>
        <w:ind w:left="2007" w:hanging="360"/>
      </w:pPr>
      <w:rPr>
        <w:rFonts w:ascii="Courier New" w:hAnsi="Courier New" w:cs="Courier New" w:hint="default"/>
      </w:rPr>
    </w:lvl>
    <w:lvl w:ilvl="2" w:tplc="5BE24636" w:tentative="1">
      <w:start w:val="1"/>
      <w:numFmt w:val="bullet"/>
      <w:lvlText w:val=""/>
      <w:lvlJc w:val="left"/>
      <w:pPr>
        <w:ind w:left="2727" w:hanging="360"/>
      </w:pPr>
      <w:rPr>
        <w:rFonts w:ascii="Wingdings" w:hAnsi="Wingdings" w:hint="default"/>
      </w:rPr>
    </w:lvl>
    <w:lvl w:ilvl="3" w:tplc="ED080D84" w:tentative="1">
      <w:start w:val="1"/>
      <w:numFmt w:val="bullet"/>
      <w:lvlText w:val=""/>
      <w:lvlJc w:val="left"/>
      <w:pPr>
        <w:ind w:left="3447" w:hanging="360"/>
      </w:pPr>
      <w:rPr>
        <w:rFonts w:ascii="Symbol" w:hAnsi="Symbol" w:hint="default"/>
      </w:rPr>
    </w:lvl>
    <w:lvl w:ilvl="4" w:tplc="C008A0E4" w:tentative="1">
      <w:start w:val="1"/>
      <w:numFmt w:val="bullet"/>
      <w:lvlText w:val="o"/>
      <w:lvlJc w:val="left"/>
      <w:pPr>
        <w:ind w:left="4167" w:hanging="360"/>
      </w:pPr>
      <w:rPr>
        <w:rFonts w:ascii="Courier New" w:hAnsi="Courier New" w:cs="Courier New" w:hint="default"/>
      </w:rPr>
    </w:lvl>
    <w:lvl w:ilvl="5" w:tplc="F3CC5C5C" w:tentative="1">
      <w:start w:val="1"/>
      <w:numFmt w:val="bullet"/>
      <w:lvlText w:val=""/>
      <w:lvlJc w:val="left"/>
      <w:pPr>
        <w:ind w:left="4887" w:hanging="360"/>
      </w:pPr>
      <w:rPr>
        <w:rFonts w:ascii="Wingdings" w:hAnsi="Wingdings" w:hint="default"/>
      </w:rPr>
    </w:lvl>
    <w:lvl w:ilvl="6" w:tplc="BD760FBA" w:tentative="1">
      <w:start w:val="1"/>
      <w:numFmt w:val="bullet"/>
      <w:lvlText w:val=""/>
      <w:lvlJc w:val="left"/>
      <w:pPr>
        <w:ind w:left="5607" w:hanging="360"/>
      </w:pPr>
      <w:rPr>
        <w:rFonts w:ascii="Symbol" w:hAnsi="Symbol" w:hint="default"/>
      </w:rPr>
    </w:lvl>
    <w:lvl w:ilvl="7" w:tplc="AB92A146" w:tentative="1">
      <w:start w:val="1"/>
      <w:numFmt w:val="bullet"/>
      <w:lvlText w:val="o"/>
      <w:lvlJc w:val="left"/>
      <w:pPr>
        <w:ind w:left="6327" w:hanging="360"/>
      </w:pPr>
      <w:rPr>
        <w:rFonts w:ascii="Courier New" w:hAnsi="Courier New" w:cs="Courier New" w:hint="default"/>
      </w:rPr>
    </w:lvl>
    <w:lvl w:ilvl="8" w:tplc="780258AC" w:tentative="1">
      <w:start w:val="1"/>
      <w:numFmt w:val="bullet"/>
      <w:lvlText w:val=""/>
      <w:lvlJc w:val="left"/>
      <w:pPr>
        <w:ind w:left="7047" w:hanging="360"/>
      </w:pPr>
      <w:rPr>
        <w:rFonts w:ascii="Wingdings" w:hAnsi="Wingdings" w:hint="default"/>
      </w:rPr>
    </w:lvl>
  </w:abstractNum>
  <w:abstractNum w:abstractNumId="6" w15:restartNumberingAfterBreak="0">
    <w:nsid w:val="254345AA"/>
    <w:multiLevelType w:val="multilevel"/>
    <w:tmpl w:val="5516AE2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5956D28"/>
    <w:multiLevelType w:val="hybridMultilevel"/>
    <w:tmpl w:val="DC8A50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386323"/>
    <w:multiLevelType w:val="multilevel"/>
    <w:tmpl w:val="0B0C420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2E85679B"/>
    <w:multiLevelType w:val="multilevel"/>
    <w:tmpl w:val="FCCE1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00114"/>
    <w:multiLevelType w:val="multilevel"/>
    <w:tmpl w:val="29F88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60B05"/>
    <w:multiLevelType w:val="hybridMultilevel"/>
    <w:tmpl w:val="A54A8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62AAD"/>
    <w:multiLevelType w:val="multilevel"/>
    <w:tmpl w:val="FA285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07CC8"/>
    <w:multiLevelType w:val="multilevel"/>
    <w:tmpl w:val="D562C3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E95B4E"/>
    <w:multiLevelType w:val="multilevel"/>
    <w:tmpl w:val="FA7038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8D4014"/>
    <w:multiLevelType w:val="multilevel"/>
    <w:tmpl w:val="237C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25956"/>
    <w:multiLevelType w:val="hybridMultilevel"/>
    <w:tmpl w:val="DE32C5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C33868"/>
    <w:multiLevelType w:val="hybridMultilevel"/>
    <w:tmpl w:val="5EE03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C45246"/>
    <w:multiLevelType w:val="hybridMultilevel"/>
    <w:tmpl w:val="C1009E12"/>
    <w:lvl w:ilvl="0" w:tplc="52BA4012">
      <w:start w:val="1"/>
      <w:numFmt w:val="bullet"/>
      <w:lvlText w:val=""/>
      <w:lvlJc w:val="left"/>
      <w:pPr>
        <w:ind w:left="927" w:hanging="360"/>
      </w:pPr>
      <w:rPr>
        <w:rFonts w:ascii="Symbol" w:hAnsi="Symbol" w:hint="default"/>
        <w:color w:val="auto"/>
      </w:rPr>
    </w:lvl>
    <w:lvl w:ilvl="1" w:tplc="6248D48E" w:tentative="1">
      <w:start w:val="1"/>
      <w:numFmt w:val="bullet"/>
      <w:lvlText w:val="o"/>
      <w:lvlJc w:val="left"/>
      <w:pPr>
        <w:ind w:left="1647" w:hanging="360"/>
      </w:pPr>
      <w:rPr>
        <w:rFonts w:ascii="Courier New" w:hAnsi="Courier New" w:cs="Courier New" w:hint="default"/>
      </w:rPr>
    </w:lvl>
    <w:lvl w:ilvl="2" w:tplc="D0ECA680" w:tentative="1">
      <w:start w:val="1"/>
      <w:numFmt w:val="bullet"/>
      <w:lvlText w:val=""/>
      <w:lvlJc w:val="left"/>
      <w:pPr>
        <w:ind w:left="2367" w:hanging="360"/>
      </w:pPr>
      <w:rPr>
        <w:rFonts w:ascii="Wingdings" w:hAnsi="Wingdings" w:hint="default"/>
      </w:rPr>
    </w:lvl>
    <w:lvl w:ilvl="3" w:tplc="25FA5722" w:tentative="1">
      <w:start w:val="1"/>
      <w:numFmt w:val="bullet"/>
      <w:lvlText w:val=""/>
      <w:lvlJc w:val="left"/>
      <w:pPr>
        <w:ind w:left="3087" w:hanging="360"/>
      </w:pPr>
      <w:rPr>
        <w:rFonts w:ascii="Symbol" w:hAnsi="Symbol" w:hint="default"/>
      </w:rPr>
    </w:lvl>
    <w:lvl w:ilvl="4" w:tplc="0C22B394" w:tentative="1">
      <w:start w:val="1"/>
      <w:numFmt w:val="bullet"/>
      <w:lvlText w:val="o"/>
      <w:lvlJc w:val="left"/>
      <w:pPr>
        <w:ind w:left="3807" w:hanging="360"/>
      </w:pPr>
      <w:rPr>
        <w:rFonts w:ascii="Courier New" w:hAnsi="Courier New" w:cs="Courier New" w:hint="default"/>
      </w:rPr>
    </w:lvl>
    <w:lvl w:ilvl="5" w:tplc="BE6E1988" w:tentative="1">
      <w:start w:val="1"/>
      <w:numFmt w:val="bullet"/>
      <w:lvlText w:val=""/>
      <w:lvlJc w:val="left"/>
      <w:pPr>
        <w:ind w:left="4527" w:hanging="360"/>
      </w:pPr>
      <w:rPr>
        <w:rFonts w:ascii="Wingdings" w:hAnsi="Wingdings" w:hint="default"/>
      </w:rPr>
    </w:lvl>
    <w:lvl w:ilvl="6" w:tplc="C3784846" w:tentative="1">
      <w:start w:val="1"/>
      <w:numFmt w:val="bullet"/>
      <w:lvlText w:val=""/>
      <w:lvlJc w:val="left"/>
      <w:pPr>
        <w:ind w:left="5247" w:hanging="360"/>
      </w:pPr>
      <w:rPr>
        <w:rFonts w:ascii="Symbol" w:hAnsi="Symbol" w:hint="default"/>
      </w:rPr>
    </w:lvl>
    <w:lvl w:ilvl="7" w:tplc="F6F018F0" w:tentative="1">
      <w:start w:val="1"/>
      <w:numFmt w:val="bullet"/>
      <w:lvlText w:val="o"/>
      <w:lvlJc w:val="left"/>
      <w:pPr>
        <w:ind w:left="5967" w:hanging="360"/>
      </w:pPr>
      <w:rPr>
        <w:rFonts w:ascii="Courier New" w:hAnsi="Courier New" w:cs="Courier New" w:hint="default"/>
      </w:rPr>
    </w:lvl>
    <w:lvl w:ilvl="8" w:tplc="F9365400" w:tentative="1">
      <w:start w:val="1"/>
      <w:numFmt w:val="bullet"/>
      <w:lvlText w:val=""/>
      <w:lvlJc w:val="left"/>
      <w:pPr>
        <w:ind w:left="6687" w:hanging="360"/>
      </w:pPr>
      <w:rPr>
        <w:rFonts w:ascii="Wingdings" w:hAnsi="Wingdings" w:hint="default"/>
      </w:rPr>
    </w:lvl>
  </w:abstractNum>
  <w:abstractNum w:abstractNumId="19" w15:restartNumberingAfterBreak="0">
    <w:nsid w:val="5A832FA0"/>
    <w:multiLevelType w:val="hybridMultilevel"/>
    <w:tmpl w:val="835A87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E3A11CD"/>
    <w:multiLevelType w:val="hybridMultilevel"/>
    <w:tmpl w:val="3F66AF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7C70BDF"/>
    <w:multiLevelType w:val="multilevel"/>
    <w:tmpl w:val="0EAAF560"/>
    <w:lvl w:ilvl="0">
      <w:start w:val="1"/>
      <w:numFmt w:val="decimal"/>
      <w:lvlText w:val="%1."/>
      <w:lvlJc w:val="left"/>
      <w:pPr>
        <w:ind w:left="360" w:hanging="360"/>
      </w:pPr>
      <w:rPr>
        <w:rFonts w:hint="default"/>
      </w:rPr>
    </w:lvl>
    <w:lvl w:ilvl="1">
      <w:start w:val="1"/>
      <w:numFmt w:val="decimal"/>
      <w:isLgl/>
      <w:lvlText w:val="%1.%2"/>
      <w:lvlJc w:val="left"/>
      <w:pPr>
        <w:ind w:left="5322"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67DA61E3"/>
    <w:multiLevelType w:val="hybridMultilevel"/>
    <w:tmpl w:val="3542AF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E31166"/>
    <w:multiLevelType w:val="multilevel"/>
    <w:tmpl w:val="3F0E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6A4FBC"/>
    <w:multiLevelType w:val="multilevel"/>
    <w:tmpl w:val="FA285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7E2613"/>
    <w:multiLevelType w:val="multilevel"/>
    <w:tmpl w:val="FEDCFC7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o"/>
      <w:lvlJc w:val="left"/>
      <w:pPr>
        <w:ind w:left="2520" w:hanging="360"/>
      </w:pPr>
      <w:rPr>
        <w:rFonts w:ascii="Courier New" w:hAnsi="Courier New" w:cs="Courier New"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7BC6399D"/>
    <w:multiLevelType w:val="multilevel"/>
    <w:tmpl w:val="D562C3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560E4"/>
    <w:multiLevelType w:val="multilevel"/>
    <w:tmpl w:val="955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EB06F1"/>
    <w:multiLevelType w:val="hybridMultilevel"/>
    <w:tmpl w:val="F2D0A9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94924342">
    <w:abstractNumId w:val="21"/>
  </w:num>
  <w:num w:numId="2" w16cid:durableId="1936936725">
    <w:abstractNumId w:val="3"/>
  </w:num>
  <w:num w:numId="3" w16cid:durableId="1695418051">
    <w:abstractNumId w:val="4"/>
  </w:num>
  <w:num w:numId="4" w16cid:durableId="1098064502">
    <w:abstractNumId w:val="18"/>
  </w:num>
  <w:num w:numId="5" w16cid:durableId="2064669552">
    <w:abstractNumId w:val="5"/>
  </w:num>
  <w:num w:numId="6" w16cid:durableId="76634649">
    <w:abstractNumId w:val="11"/>
  </w:num>
  <w:num w:numId="7" w16cid:durableId="394090324">
    <w:abstractNumId w:val="28"/>
  </w:num>
  <w:num w:numId="8" w16cid:durableId="496573505">
    <w:abstractNumId w:val="2"/>
  </w:num>
  <w:num w:numId="9" w16cid:durableId="98525403">
    <w:abstractNumId w:val="14"/>
  </w:num>
  <w:num w:numId="10" w16cid:durableId="2094862569">
    <w:abstractNumId w:val="12"/>
  </w:num>
  <w:num w:numId="11" w16cid:durableId="893347669">
    <w:abstractNumId w:val="24"/>
  </w:num>
  <w:num w:numId="12" w16cid:durableId="610286416">
    <w:abstractNumId w:val="1"/>
  </w:num>
  <w:num w:numId="13" w16cid:durableId="1132989052">
    <w:abstractNumId w:val="25"/>
  </w:num>
  <w:num w:numId="14" w16cid:durableId="332295534">
    <w:abstractNumId w:val="0"/>
  </w:num>
  <w:num w:numId="15" w16cid:durableId="1520466836">
    <w:abstractNumId w:val="6"/>
  </w:num>
  <w:num w:numId="16" w16cid:durableId="1849363088">
    <w:abstractNumId w:val="22"/>
  </w:num>
  <w:num w:numId="17" w16cid:durableId="2048096977">
    <w:abstractNumId w:val="9"/>
  </w:num>
  <w:num w:numId="18" w16cid:durableId="605893753">
    <w:abstractNumId w:val="13"/>
  </w:num>
  <w:num w:numId="19" w16cid:durableId="986595175">
    <w:abstractNumId w:val="8"/>
  </w:num>
  <w:num w:numId="20" w16cid:durableId="330063450">
    <w:abstractNumId w:val="26"/>
  </w:num>
  <w:num w:numId="21" w16cid:durableId="1853909356">
    <w:abstractNumId w:val="27"/>
  </w:num>
  <w:num w:numId="22" w16cid:durableId="471749819">
    <w:abstractNumId w:val="10"/>
  </w:num>
  <w:num w:numId="23" w16cid:durableId="649601765">
    <w:abstractNumId w:val="15"/>
  </w:num>
  <w:num w:numId="24" w16cid:durableId="407188864">
    <w:abstractNumId w:val="23"/>
  </w:num>
  <w:num w:numId="25" w16cid:durableId="1462383007">
    <w:abstractNumId w:val="16"/>
  </w:num>
  <w:num w:numId="26" w16cid:durableId="1371298377">
    <w:abstractNumId w:val="19"/>
  </w:num>
  <w:num w:numId="27" w16cid:durableId="137235595">
    <w:abstractNumId w:val="17"/>
  </w:num>
  <w:num w:numId="28" w16cid:durableId="1654945407">
    <w:abstractNumId w:val="7"/>
  </w:num>
  <w:num w:numId="29" w16cid:durableId="1805076026">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0B"/>
    <w:rsid w:val="00002A61"/>
    <w:rsid w:val="00003F49"/>
    <w:rsid w:val="00007EA1"/>
    <w:rsid w:val="0001188F"/>
    <w:rsid w:val="0003425A"/>
    <w:rsid w:val="00035AA1"/>
    <w:rsid w:val="00062FAF"/>
    <w:rsid w:val="00094213"/>
    <w:rsid w:val="0009427B"/>
    <w:rsid w:val="000B01DF"/>
    <w:rsid w:val="000B28E5"/>
    <w:rsid w:val="000C3A5B"/>
    <w:rsid w:val="000C5865"/>
    <w:rsid w:val="000C7338"/>
    <w:rsid w:val="000D5CCE"/>
    <w:rsid w:val="000E76C7"/>
    <w:rsid w:val="000F5897"/>
    <w:rsid w:val="00101800"/>
    <w:rsid w:val="00106E8A"/>
    <w:rsid w:val="00113D6E"/>
    <w:rsid w:val="00115A69"/>
    <w:rsid w:val="00122AE3"/>
    <w:rsid w:val="00124062"/>
    <w:rsid w:val="001308C4"/>
    <w:rsid w:val="00141CAD"/>
    <w:rsid w:val="00150EF5"/>
    <w:rsid w:val="00154D85"/>
    <w:rsid w:val="00154D86"/>
    <w:rsid w:val="00164E54"/>
    <w:rsid w:val="001678C4"/>
    <w:rsid w:val="00170908"/>
    <w:rsid w:val="00173396"/>
    <w:rsid w:val="00175D0D"/>
    <w:rsid w:val="00181696"/>
    <w:rsid w:val="001C678B"/>
    <w:rsid w:val="001C6A83"/>
    <w:rsid w:val="001C71B2"/>
    <w:rsid w:val="001D6DF8"/>
    <w:rsid w:val="001E5A87"/>
    <w:rsid w:val="001E6172"/>
    <w:rsid w:val="001F0281"/>
    <w:rsid w:val="001F61A2"/>
    <w:rsid w:val="00200E1F"/>
    <w:rsid w:val="002129C1"/>
    <w:rsid w:val="0023495A"/>
    <w:rsid w:val="00236900"/>
    <w:rsid w:val="002441AA"/>
    <w:rsid w:val="002744D6"/>
    <w:rsid w:val="00292E06"/>
    <w:rsid w:val="002A0BED"/>
    <w:rsid w:val="002B305B"/>
    <w:rsid w:val="002B4E5D"/>
    <w:rsid w:val="002C5217"/>
    <w:rsid w:val="002C5B94"/>
    <w:rsid w:val="002D24EC"/>
    <w:rsid w:val="002F1F66"/>
    <w:rsid w:val="002F459B"/>
    <w:rsid w:val="002F4ECB"/>
    <w:rsid w:val="002F537F"/>
    <w:rsid w:val="00303EA2"/>
    <w:rsid w:val="00311F71"/>
    <w:rsid w:val="0031331C"/>
    <w:rsid w:val="003253F2"/>
    <w:rsid w:val="00326221"/>
    <w:rsid w:val="00331693"/>
    <w:rsid w:val="00332079"/>
    <w:rsid w:val="003337B7"/>
    <w:rsid w:val="00355002"/>
    <w:rsid w:val="00366754"/>
    <w:rsid w:val="00371A5D"/>
    <w:rsid w:val="00374663"/>
    <w:rsid w:val="003774C4"/>
    <w:rsid w:val="00380B53"/>
    <w:rsid w:val="00395634"/>
    <w:rsid w:val="00395E66"/>
    <w:rsid w:val="0039730E"/>
    <w:rsid w:val="003A1541"/>
    <w:rsid w:val="003A2A3E"/>
    <w:rsid w:val="003A3F5E"/>
    <w:rsid w:val="003B1AF0"/>
    <w:rsid w:val="003B3B2B"/>
    <w:rsid w:val="003B76F7"/>
    <w:rsid w:val="003C2642"/>
    <w:rsid w:val="003D2050"/>
    <w:rsid w:val="003D276E"/>
    <w:rsid w:val="003D27C4"/>
    <w:rsid w:val="003D2B21"/>
    <w:rsid w:val="003E0984"/>
    <w:rsid w:val="00400816"/>
    <w:rsid w:val="00433554"/>
    <w:rsid w:val="0044074A"/>
    <w:rsid w:val="0045700D"/>
    <w:rsid w:val="0046284B"/>
    <w:rsid w:val="00466200"/>
    <w:rsid w:val="004720E3"/>
    <w:rsid w:val="00483D6B"/>
    <w:rsid w:val="0048754C"/>
    <w:rsid w:val="00487D9A"/>
    <w:rsid w:val="00494AB4"/>
    <w:rsid w:val="00495363"/>
    <w:rsid w:val="004B257B"/>
    <w:rsid w:val="004B2F9A"/>
    <w:rsid w:val="004C0AE2"/>
    <w:rsid w:val="004D0E20"/>
    <w:rsid w:val="004D187D"/>
    <w:rsid w:val="004D3BA2"/>
    <w:rsid w:val="004F03F7"/>
    <w:rsid w:val="004F435C"/>
    <w:rsid w:val="004F6990"/>
    <w:rsid w:val="00503001"/>
    <w:rsid w:val="00512FB4"/>
    <w:rsid w:val="00515613"/>
    <w:rsid w:val="0052498A"/>
    <w:rsid w:val="00543DED"/>
    <w:rsid w:val="00544D8A"/>
    <w:rsid w:val="005522BC"/>
    <w:rsid w:val="00553290"/>
    <w:rsid w:val="00561839"/>
    <w:rsid w:val="005635A0"/>
    <w:rsid w:val="0057389B"/>
    <w:rsid w:val="00574EA2"/>
    <w:rsid w:val="00584397"/>
    <w:rsid w:val="00592FF2"/>
    <w:rsid w:val="005A5AC5"/>
    <w:rsid w:val="005B5408"/>
    <w:rsid w:val="005C62EC"/>
    <w:rsid w:val="005C783B"/>
    <w:rsid w:val="005E114A"/>
    <w:rsid w:val="005E2F87"/>
    <w:rsid w:val="005E589E"/>
    <w:rsid w:val="005F144F"/>
    <w:rsid w:val="005F3584"/>
    <w:rsid w:val="005F52E5"/>
    <w:rsid w:val="006172CC"/>
    <w:rsid w:val="00620945"/>
    <w:rsid w:val="00621A5D"/>
    <w:rsid w:val="006316B3"/>
    <w:rsid w:val="0064654A"/>
    <w:rsid w:val="00650B45"/>
    <w:rsid w:val="00652EDA"/>
    <w:rsid w:val="00665317"/>
    <w:rsid w:val="0068529E"/>
    <w:rsid w:val="006879D5"/>
    <w:rsid w:val="00690AC9"/>
    <w:rsid w:val="00694113"/>
    <w:rsid w:val="006B0D4B"/>
    <w:rsid w:val="006B0FD5"/>
    <w:rsid w:val="006D07AB"/>
    <w:rsid w:val="006E12AB"/>
    <w:rsid w:val="006E2919"/>
    <w:rsid w:val="006F0987"/>
    <w:rsid w:val="006F1D41"/>
    <w:rsid w:val="006F555E"/>
    <w:rsid w:val="007058EE"/>
    <w:rsid w:val="0071105A"/>
    <w:rsid w:val="0071313E"/>
    <w:rsid w:val="00713D9E"/>
    <w:rsid w:val="0073181A"/>
    <w:rsid w:val="00735D08"/>
    <w:rsid w:val="00741C9E"/>
    <w:rsid w:val="007636A2"/>
    <w:rsid w:val="00775A60"/>
    <w:rsid w:val="007857A8"/>
    <w:rsid w:val="007B6410"/>
    <w:rsid w:val="007C7824"/>
    <w:rsid w:val="00806299"/>
    <w:rsid w:val="00810F0D"/>
    <w:rsid w:val="008147DA"/>
    <w:rsid w:val="00816514"/>
    <w:rsid w:val="0082098B"/>
    <w:rsid w:val="00830855"/>
    <w:rsid w:val="00840321"/>
    <w:rsid w:val="0085070B"/>
    <w:rsid w:val="00860582"/>
    <w:rsid w:val="00866512"/>
    <w:rsid w:val="00872B16"/>
    <w:rsid w:val="00893670"/>
    <w:rsid w:val="008A399E"/>
    <w:rsid w:val="008C2645"/>
    <w:rsid w:val="008C2DD8"/>
    <w:rsid w:val="008C780E"/>
    <w:rsid w:val="008D6EA7"/>
    <w:rsid w:val="0091138A"/>
    <w:rsid w:val="00917972"/>
    <w:rsid w:val="00917BA2"/>
    <w:rsid w:val="00920140"/>
    <w:rsid w:val="009448BC"/>
    <w:rsid w:val="00954514"/>
    <w:rsid w:val="0096386B"/>
    <w:rsid w:val="00963D29"/>
    <w:rsid w:val="00966963"/>
    <w:rsid w:val="00970D70"/>
    <w:rsid w:val="00973C40"/>
    <w:rsid w:val="00976652"/>
    <w:rsid w:val="009A2D60"/>
    <w:rsid w:val="009B57FA"/>
    <w:rsid w:val="009C0670"/>
    <w:rsid w:val="009D2E1E"/>
    <w:rsid w:val="009D4218"/>
    <w:rsid w:val="009E02A3"/>
    <w:rsid w:val="009E4358"/>
    <w:rsid w:val="00A00C18"/>
    <w:rsid w:val="00A02533"/>
    <w:rsid w:val="00A055B2"/>
    <w:rsid w:val="00A13035"/>
    <w:rsid w:val="00A17090"/>
    <w:rsid w:val="00A328A1"/>
    <w:rsid w:val="00A33152"/>
    <w:rsid w:val="00A360C1"/>
    <w:rsid w:val="00A63ACA"/>
    <w:rsid w:val="00A73111"/>
    <w:rsid w:val="00A7782E"/>
    <w:rsid w:val="00A97155"/>
    <w:rsid w:val="00AA10C1"/>
    <w:rsid w:val="00AA1C58"/>
    <w:rsid w:val="00AA61DE"/>
    <w:rsid w:val="00AB3B46"/>
    <w:rsid w:val="00AB4C2D"/>
    <w:rsid w:val="00AD2945"/>
    <w:rsid w:val="00AE4750"/>
    <w:rsid w:val="00AE554F"/>
    <w:rsid w:val="00AF7E29"/>
    <w:rsid w:val="00B0034F"/>
    <w:rsid w:val="00B01530"/>
    <w:rsid w:val="00B07A06"/>
    <w:rsid w:val="00B12532"/>
    <w:rsid w:val="00B2010E"/>
    <w:rsid w:val="00B27C60"/>
    <w:rsid w:val="00B345F3"/>
    <w:rsid w:val="00B521DA"/>
    <w:rsid w:val="00B61D69"/>
    <w:rsid w:val="00B63737"/>
    <w:rsid w:val="00B84611"/>
    <w:rsid w:val="00B878C6"/>
    <w:rsid w:val="00B90807"/>
    <w:rsid w:val="00BA4D78"/>
    <w:rsid w:val="00BA610E"/>
    <w:rsid w:val="00BC0036"/>
    <w:rsid w:val="00BC3F6A"/>
    <w:rsid w:val="00BD3B65"/>
    <w:rsid w:val="00BE12D4"/>
    <w:rsid w:val="00C13F6F"/>
    <w:rsid w:val="00C26539"/>
    <w:rsid w:val="00C320E7"/>
    <w:rsid w:val="00C4059A"/>
    <w:rsid w:val="00C41D9B"/>
    <w:rsid w:val="00C52B46"/>
    <w:rsid w:val="00C5591F"/>
    <w:rsid w:val="00C61079"/>
    <w:rsid w:val="00C6543A"/>
    <w:rsid w:val="00C71113"/>
    <w:rsid w:val="00C7568A"/>
    <w:rsid w:val="00C84BCF"/>
    <w:rsid w:val="00C87655"/>
    <w:rsid w:val="00C9741A"/>
    <w:rsid w:val="00CC1C8F"/>
    <w:rsid w:val="00CC370C"/>
    <w:rsid w:val="00CC7D74"/>
    <w:rsid w:val="00CF0034"/>
    <w:rsid w:val="00CF0872"/>
    <w:rsid w:val="00CF3C52"/>
    <w:rsid w:val="00CF5B8C"/>
    <w:rsid w:val="00D03333"/>
    <w:rsid w:val="00D077A1"/>
    <w:rsid w:val="00D14FD2"/>
    <w:rsid w:val="00D259C9"/>
    <w:rsid w:val="00D316B2"/>
    <w:rsid w:val="00D31DF2"/>
    <w:rsid w:val="00D40403"/>
    <w:rsid w:val="00D4126D"/>
    <w:rsid w:val="00D62F6A"/>
    <w:rsid w:val="00D7216F"/>
    <w:rsid w:val="00D751DB"/>
    <w:rsid w:val="00D94C30"/>
    <w:rsid w:val="00DA6039"/>
    <w:rsid w:val="00DA6630"/>
    <w:rsid w:val="00DB0D2A"/>
    <w:rsid w:val="00DB51E2"/>
    <w:rsid w:val="00DC3EDD"/>
    <w:rsid w:val="00DD2D3E"/>
    <w:rsid w:val="00DD5BF7"/>
    <w:rsid w:val="00DD7CAE"/>
    <w:rsid w:val="00DE2676"/>
    <w:rsid w:val="00DF05C6"/>
    <w:rsid w:val="00E170B0"/>
    <w:rsid w:val="00E22936"/>
    <w:rsid w:val="00E236D3"/>
    <w:rsid w:val="00E238BD"/>
    <w:rsid w:val="00E24A6F"/>
    <w:rsid w:val="00E251C9"/>
    <w:rsid w:val="00E40907"/>
    <w:rsid w:val="00E4380E"/>
    <w:rsid w:val="00E80488"/>
    <w:rsid w:val="00E87026"/>
    <w:rsid w:val="00EA3FB7"/>
    <w:rsid w:val="00EA41C5"/>
    <w:rsid w:val="00EA6229"/>
    <w:rsid w:val="00EB19EE"/>
    <w:rsid w:val="00EB4874"/>
    <w:rsid w:val="00EC6382"/>
    <w:rsid w:val="00EE283D"/>
    <w:rsid w:val="00EE58AC"/>
    <w:rsid w:val="00EF1CA1"/>
    <w:rsid w:val="00EF5B04"/>
    <w:rsid w:val="00F015C5"/>
    <w:rsid w:val="00F13C5E"/>
    <w:rsid w:val="00F17BAA"/>
    <w:rsid w:val="00F22ABC"/>
    <w:rsid w:val="00F26F79"/>
    <w:rsid w:val="00F36DF4"/>
    <w:rsid w:val="00F47FF3"/>
    <w:rsid w:val="00F577EB"/>
    <w:rsid w:val="00F64F47"/>
    <w:rsid w:val="00F700E2"/>
    <w:rsid w:val="00F70F4B"/>
    <w:rsid w:val="00F71A8E"/>
    <w:rsid w:val="00F736DF"/>
    <w:rsid w:val="00F74E79"/>
    <w:rsid w:val="00F82754"/>
    <w:rsid w:val="00F84887"/>
    <w:rsid w:val="00F858AF"/>
    <w:rsid w:val="00FA2A6E"/>
    <w:rsid w:val="00FB2C38"/>
    <w:rsid w:val="00FB34A6"/>
    <w:rsid w:val="00FC170A"/>
    <w:rsid w:val="00FC6F36"/>
    <w:rsid w:val="00FD0B83"/>
    <w:rsid w:val="00FD2464"/>
    <w:rsid w:val="00FD561E"/>
    <w:rsid w:val="00FD71FB"/>
    <w:rsid w:val="00FE774C"/>
    <w:rsid w:val="00FF0321"/>
    <w:rsid w:val="00FF51FD"/>
    <w:rsid w:val="00FF7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6ED7"/>
  <w15:chartTrackingRefBased/>
  <w15:docId w15:val="{4B16B76F-6B6C-46BF-B95B-A2723FC7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C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ListParagraph"/>
    <w:next w:val="Normal"/>
    <w:link w:val="Heading2Char"/>
    <w:uiPriority w:val="9"/>
    <w:unhideWhenUsed/>
    <w:qFormat/>
    <w:rsid w:val="00380B53"/>
    <w:pPr>
      <w:ind w:left="360" w:hanging="360"/>
      <w:outlineLvl w:val="1"/>
    </w:pPr>
    <w:rPr>
      <w:rFonts w:ascii="Arial" w:hAnsi="Arial" w:cs="Arial"/>
      <w:b/>
      <w:bCs/>
      <w:sz w:val="28"/>
      <w:szCs w:val="28"/>
    </w:rPr>
  </w:style>
  <w:style w:type="paragraph" w:styleId="Heading3">
    <w:name w:val="heading 3"/>
    <w:basedOn w:val="Normal"/>
    <w:next w:val="Normal"/>
    <w:link w:val="Heading3Char"/>
    <w:uiPriority w:val="9"/>
    <w:semiHidden/>
    <w:unhideWhenUsed/>
    <w:qFormat/>
    <w:rsid w:val="00CF5B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C1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0C18"/>
    <w:pPr>
      <w:outlineLvl w:val="9"/>
    </w:pPr>
    <w:rPr>
      <w:lang w:val="en-US"/>
    </w:rPr>
  </w:style>
  <w:style w:type="paragraph" w:styleId="TOC1">
    <w:name w:val="toc 1"/>
    <w:basedOn w:val="Normal"/>
    <w:next w:val="Normal"/>
    <w:autoRedefine/>
    <w:uiPriority w:val="39"/>
    <w:unhideWhenUsed/>
    <w:rsid w:val="00A00C18"/>
    <w:pPr>
      <w:spacing w:after="100"/>
    </w:pPr>
  </w:style>
  <w:style w:type="character" w:styleId="Hyperlink">
    <w:name w:val="Hyperlink"/>
    <w:basedOn w:val="DefaultParagraphFont"/>
    <w:uiPriority w:val="99"/>
    <w:unhideWhenUsed/>
    <w:rsid w:val="00A00C18"/>
    <w:rPr>
      <w:color w:val="0563C1" w:themeColor="hyperlink"/>
      <w:u w:val="single"/>
    </w:rPr>
  </w:style>
  <w:style w:type="paragraph" w:styleId="ListParagraph">
    <w:name w:val="List Paragraph"/>
    <w:basedOn w:val="Normal"/>
    <w:uiPriority w:val="34"/>
    <w:qFormat/>
    <w:rsid w:val="00775A60"/>
    <w:pPr>
      <w:ind w:left="720"/>
      <w:contextualSpacing/>
    </w:pPr>
  </w:style>
  <w:style w:type="table" w:styleId="TableGrid">
    <w:name w:val="Table Grid"/>
    <w:basedOn w:val="TableNormal"/>
    <w:uiPriority w:val="39"/>
    <w:rsid w:val="00440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6229"/>
    <w:rPr>
      <w:color w:val="605E5C"/>
      <w:shd w:val="clear" w:color="auto" w:fill="E1DFDD"/>
    </w:rPr>
  </w:style>
  <w:style w:type="paragraph" w:styleId="Header">
    <w:name w:val="header"/>
    <w:basedOn w:val="Normal"/>
    <w:link w:val="HeaderChar"/>
    <w:uiPriority w:val="99"/>
    <w:unhideWhenUsed/>
    <w:rsid w:val="00BD3B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B65"/>
  </w:style>
  <w:style w:type="paragraph" w:styleId="Footer">
    <w:name w:val="footer"/>
    <w:basedOn w:val="Normal"/>
    <w:link w:val="FooterChar"/>
    <w:uiPriority w:val="99"/>
    <w:unhideWhenUsed/>
    <w:rsid w:val="00BD3B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B65"/>
  </w:style>
  <w:style w:type="paragraph" w:styleId="NormalWeb">
    <w:name w:val="Normal (Web)"/>
    <w:basedOn w:val="Normal"/>
    <w:uiPriority w:val="99"/>
    <w:semiHidden/>
    <w:unhideWhenUsed/>
    <w:rsid w:val="00DD5BF7"/>
    <w:rPr>
      <w:rFonts w:ascii="Times New Roman" w:hAnsi="Times New Roman" w:cs="Times New Roman"/>
      <w:sz w:val="24"/>
      <w:szCs w:val="24"/>
    </w:rPr>
  </w:style>
  <w:style w:type="character" w:customStyle="1" w:styleId="Heading2Char">
    <w:name w:val="Heading 2 Char"/>
    <w:basedOn w:val="DefaultParagraphFont"/>
    <w:link w:val="Heading2"/>
    <w:uiPriority w:val="9"/>
    <w:rsid w:val="00380B53"/>
    <w:rPr>
      <w:rFonts w:ascii="Arial" w:hAnsi="Arial" w:cs="Arial"/>
      <w:b/>
      <w:bCs/>
      <w:sz w:val="28"/>
      <w:szCs w:val="28"/>
    </w:rPr>
  </w:style>
  <w:style w:type="character" w:customStyle="1" w:styleId="Heading3Char">
    <w:name w:val="Heading 3 Char"/>
    <w:basedOn w:val="DefaultParagraphFont"/>
    <w:link w:val="Heading3"/>
    <w:uiPriority w:val="9"/>
    <w:semiHidden/>
    <w:rsid w:val="00CF5B8C"/>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543DED"/>
    <w:rPr>
      <w:sz w:val="16"/>
      <w:szCs w:val="16"/>
    </w:rPr>
  </w:style>
  <w:style w:type="paragraph" w:styleId="CommentText">
    <w:name w:val="annotation text"/>
    <w:basedOn w:val="Normal"/>
    <w:link w:val="CommentTextChar"/>
    <w:uiPriority w:val="99"/>
    <w:unhideWhenUsed/>
    <w:rsid w:val="00543DED"/>
    <w:pPr>
      <w:spacing w:line="240" w:lineRule="auto"/>
    </w:pPr>
    <w:rPr>
      <w:sz w:val="20"/>
      <w:szCs w:val="20"/>
    </w:rPr>
  </w:style>
  <w:style w:type="character" w:customStyle="1" w:styleId="CommentTextChar">
    <w:name w:val="Comment Text Char"/>
    <w:basedOn w:val="DefaultParagraphFont"/>
    <w:link w:val="CommentText"/>
    <w:uiPriority w:val="99"/>
    <w:rsid w:val="00543DED"/>
    <w:rPr>
      <w:sz w:val="20"/>
      <w:szCs w:val="20"/>
    </w:rPr>
  </w:style>
  <w:style w:type="paragraph" w:styleId="CommentSubject">
    <w:name w:val="annotation subject"/>
    <w:basedOn w:val="CommentText"/>
    <w:next w:val="CommentText"/>
    <w:link w:val="CommentSubjectChar"/>
    <w:uiPriority w:val="99"/>
    <w:semiHidden/>
    <w:unhideWhenUsed/>
    <w:rsid w:val="00543DED"/>
    <w:rPr>
      <w:b/>
      <w:bCs/>
    </w:rPr>
  </w:style>
  <w:style w:type="character" w:customStyle="1" w:styleId="CommentSubjectChar">
    <w:name w:val="Comment Subject Char"/>
    <w:basedOn w:val="CommentTextChar"/>
    <w:link w:val="CommentSubject"/>
    <w:uiPriority w:val="99"/>
    <w:semiHidden/>
    <w:rsid w:val="00543DED"/>
    <w:rPr>
      <w:b/>
      <w:bCs/>
      <w:sz w:val="20"/>
      <w:szCs w:val="20"/>
    </w:rPr>
  </w:style>
  <w:style w:type="character" w:customStyle="1" w:styleId="normaltextrun">
    <w:name w:val="normaltextrun"/>
    <w:basedOn w:val="DefaultParagraphFont"/>
    <w:rsid w:val="00806299"/>
  </w:style>
  <w:style w:type="character" w:customStyle="1" w:styleId="eop">
    <w:name w:val="eop"/>
    <w:basedOn w:val="DefaultParagraphFont"/>
    <w:rsid w:val="00806299"/>
  </w:style>
  <w:style w:type="character" w:styleId="Strong">
    <w:name w:val="Strong"/>
    <w:basedOn w:val="DefaultParagraphFont"/>
    <w:uiPriority w:val="22"/>
    <w:qFormat/>
    <w:rsid w:val="009D2E1E"/>
    <w:rPr>
      <w:b/>
      <w:bCs/>
    </w:rPr>
  </w:style>
  <w:style w:type="paragraph" w:styleId="Revision">
    <w:name w:val="Revision"/>
    <w:hidden/>
    <w:uiPriority w:val="99"/>
    <w:semiHidden/>
    <w:rsid w:val="00C756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andwell.gov.uk/downloads/download/233/housing-allocations-policy" TargetMode="External"/><Relationship Id="rId26" Type="http://schemas.openxmlformats.org/officeDocument/2006/relationships/hyperlink" Target="https://www.gov.uk/government/collections/regulatory-standards-for-landlords" TargetMode="External"/><Relationship Id="rId3" Type="http://schemas.openxmlformats.org/officeDocument/2006/relationships/customXml" Target="../customXml/item3.xml"/><Relationship Id="rId21" Type="http://schemas.openxmlformats.org/officeDocument/2006/relationships/hyperlink" Target="https://www.sandwell.gov.uk/downloads/file/1514/reasonable-adjustments-policy-june-2023"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sandwell.gov.uk/downloads/download/617/housing-strategy-2023---2028" TargetMode="External"/><Relationship Id="rId25" Type="http://schemas.openxmlformats.org/officeDocument/2006/relationships/hyperlink" Target="https://www.legislation.gov.uk/ukpga/2010/15/contents" TargetMode="External"/><Relationship Id="rId2" Type="http://schemas.openxmlformats.org/officeDocument/2006/relationships/customXml" Target="../customXml/item2.xml"/><Relationship Id="rId16" Type="http://schemas.openxmlformats.org/officeDocument/2006/relationships/hyperlink" Target="https://www.sandwell.gov.uk/housing/asset-management-compliance-strategy-2025-2030" TargetMode="External"/><Relationship Id="rId20" Type="http://schemas.openxmlformats.org/officeDocument/2006/relationships/hyperlink" Target="https://www.sandwell.gov.uk/tenanthandbook/downloads/file/2/tenancy-conditions-april-2023" TargetMode="External"/><Relationship Id="rId29" Type="http://schemas.openxmlformats.org/officeDocument/2006/relationships/hyperlink" Target="https://www.sandwell.gov.uk/downloads/file/1514/reasonable-adjustments-policy-june-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gov.uk/data-protectio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ndwell.moderngov.co.uk/documents/s12434/05a%20Appendix%201%20Draft%20HRABusinessPlan%20100123.pdf" TargetMode="External"/><Relationship Id="rId23" Type="http://schemas.openxmlformats.org/officeDocument/2006/relationships/hyperlink" Target="https://www.legislation.gov.uk/id/ukpga/2011/20" TargetMode="External"/><Relationship Id="rId28" Type="http://schemas.openxmlformats.org/officeDocument/2006/relationships/hyperlink" Target="https://www.gov.uk/government/publications/transparency-influence-and-accountability-standard" TargetMode="External"/><Relationship Id="rId10" Type="http://schemas.openxmlformats.org/officeDocument/2006/relationships/endnotes" Target="endnotes.xml"/><Relationship Id="rId19" Type="http://schemas.openxmlformats.org/officeDocument/2006/relationships/hyperlink" Target="https://www.sandwell.gov.uk/tenanthandboo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downloads/download/960/council-plan" TargetMode="External"/><Relationship Id="rId22" Type="http://schemas.openxmlformats.org/officeDocument/2006/relationships/hyperlink" Target="https://www.legislation.gov.uk/ukpga/1985/70" TargetMode="External"/><Relationship Id="rId27" Type="http://schemas.openxmlformats.org/officeDocument/2006/relationships/hyperlink" Target="https://www.gov.uk/government/publications/safety-and-quality-standard"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TaxCatchAll xmlns="0a2ace62-6eff-49e2-8365-79ba2d40e546" xsi:nil="true"/>
    <Comments xmlns="a9425197-31e1-4d34-8419-48789e20a78a" xsi:nil="true"/>
    <Landlord_x002d_CriticalSuccessMeasures xmlns="a9425197-31e1-4d34-8419-48789e20a7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5" ma:contentTypeDescription="Create a new document." ma:contentTypeScope="" ma:versionID="e5e440776cf630debc30b0d31d7ae8b1">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a69eb5e99e3924604b835bc28c1c2ce7"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element ref="ns2:Landlord_x002d_CriticalSuccessMeasur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element name="Landlord_x002d_CriticalSuccessMeasures" ma:index="20" nillable="true" ma:displayName="Landlord -Critical Success Measures" ma:description="Scorecards" ma:format="Dropdown" ma:internalName="Landlord_x002d_CriticalSuccessMeasures">
      <xsd:simpleType>
        <xsd:restriction base="dms:Text">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D04DA-0260-49FA-81FE-E90F6084142D}">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customXml/itemProps2.xml><?xml version="1.0" encoding="utf-8"?>
<ds:datastoreItem xmlns:ds="http://schemas.openxmlformats.org/officeDocument/2006/customXml" ds:itemID="{4F9CA86B-57FC-4540-AC33-5CCCCD857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FE8826-9668-46B2-BB8B-422E93C28D83}">
  <ds:schemaRefs>
    <ds:schemaRef ds:uri="http://schemas.microsoft.com/sharepoint/v3/contenttype/forms"/>
  </ds:schemaRefs>
</ds:datastoreItem>
</file>

<file path=customXml/itemProps4.xml><?xml version="1.0" encoding="utf-8"?>
<ds:datastoreItem xmlns:ds="http://schemas.openxmlformats.org/officeDocument/2006/customXml" ds:itemID="{594F59D8-581C-4D6E-9489-C2763139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3340</Words>
  <Characters>19044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cp:lastModifiedBy>Louis Bebb</cp:lastModifiedBy>
  <cp:revision>2</cp:revision>
  <cp:lastPrinted>2025-09-02T14:11:00Z</cp:lastPrinted>
  <dcterms:created xsi:type="dcterms:W3CDTF">2026-07-24T17:15:00Z</dcterms:created>
  <dcterms:modified xsi:type="dcterms:W3CDTF">2026-07-24T17:15:00Z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