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5F8049FB" w:rsidR="00DE2676" w:rsidRPr="00DD7CAE" w:rsidRDefault="00C55911"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Mutual Exchange Policy</w:t>
      </w:r>
    </w:p>
    <w:p w14:paraId="5B35B072" w14:textId="5EE834C6"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67B96CE9">
            <wp:extent cx="5398088" cy="1441450"/>
            <wp:effectExtent l="0" t="0" r="0" b="6350"/>
            <wp:docPr id="9" name="Picture 9" descr="Logo of Sandwell Metropolitan Borough Council featuring a green grid of nine squares arranged in an L shape to the left of the council name in grey text. The design uses simple geometric shapes and a modern sans-serif font to represent the council's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Sandwell Metropolitan Borough Council featuring a green grid of nine squares arranged in an L shape to the left of the council name in grey text. The design uses simple geometric shapes and a modern sans-serif font to represent the council's identit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170FED5E"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p w14:paraId="08E70860"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7C36DF" w14:paraId="2372967B" w14:textId="77777777" w:rsidTr="003866A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7C36DF" w:rsidRDefault="0085070B" w:rsidP="00DD7CAE">
            <w:pPr>
              <w:spacing w:after="0" w:line="240" w:lineRule="auto"/>
              <w:ind w:left="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tcPr>
          <w:p w14:paraId="45CEA3E6" w14:textId="24DDE386" w:rsidR="0085070B" w:rsidRPr="007C36DF" w:rsidRDefault="00C94578" w:rsidP="00D259C9">
            <w:pPr>
              <w:spacing w:after="0" w:line="240" w:lineRule="auto"/>
              <w:ind w:left="98"/>
              <w:textAlignment w:val="baseline"/>
              <w:rPr>
                <w:rFonts w:ascii="Arial" w:eastAsia="Times New Roman" w:hAnsi="Arial" w:cs="Arial"/>
                <w:i/>
                <w:iCs/>
                <w:color w:val="000000"/>
                <w:sz w:val="28"/>
                <w:szCs w:val="28"/>
                <w:lang w:eastAsia="en-GB"/>
              </w:rPr>
            </w:pPr>
            <w:r w:rsidRPr="007C36DF">
              <w:rPr>
                <w:rFonts w:ascii="Arial" w:eastAsia="Times New Roman" w:hAnsi="Arial" w:cs="Arial"/>
                <w:i/>
                <w:iCs/>
                <w:color w:val="000000"/>
                <w:sz w:val="28"/>
                <w:szCs w:val="28"/>
                <w:lang w:eastAsia="en-GB"/>
              </w:rPr>
              <w:t>Mutual Exchange Policy</w:t>
            </w:r>
          </w:p>
        </w:tc>
      </w:tr>
      <w:tr w:rsidR="0085070B" w:rsidRPr="007C36DF" w14:paraId="1542B3C5" w14:textId="77777777" w:rsidTr="003866A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tcPr>
          <w:p w14:paraId="7184F89E" w14:textId="5256E98D" w:rsidR="0085070B" w:rsidRPr="007C36DF" w:rsidRDefault="00C94578" w:rsidP="00FC170A">
            <w:pPr>
              <w:spacing w:after="0" w:line="240" w:lineRule="auto"/>
              <w:ind w:left="98"/>
              <w:textAlignment w:val="baseline"/>
              <w:rPr>
                <w:rFonts w:ascii="Arial" w:eastAsia="Times New Roman" w:hAnsi="Arial" w:cs="Arial"/>
                <w:i/>
                <w:iCs/>
                <w:color w:val="000000"/>
                <w:sz w:val="28"/>
                <w:szCs w:val="28"/>
                <w:lang w:eastAsia="en-GB"/>
              </w:rPr>
            </w:pPr>
            <w:r w:rsidRPr="007C36DF">
              <w:rPr>
                <w:rFonts w:ascii="Arial" w:eastAsia="Times New Roman" w:hAnsi="Arial" w:cs="Arial"/>
                <w:i/>
                <w:iCs/>
                <w:color w:val="000000"/>
                <w:sz w:val="28"/>
                <w:szCs w:val="28"/>
                <w:lang w:eastAsia="en-GB"/>
              </w:rPr>
              <w:t>Karl Robinson</w:t>
            </w:r>
          </w:p>
        </w:tc>
      </w:tr>
      <w:tr w:rsidR="00D62F6A" w:rsidRPr="007C36DF"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7C36DF" w:rsidRDefault="00D62F6A"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9FAA2DE" w14:textId="11E79F8E" w:rsidR="00D62F6A" w:rsidRPr="007C36DF" w:rsidRDefault="00BB6DFB" w:rsidP="0085070B">
            <w:pPr>
              <w:spacing w:after="0" w:line="240" w:lineRule="auto"/>
              <w:ind w:left="-15"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Cabinet</w:t>
            </w:r>
          </w:p>
        </w:tc>
      </w:tr>
      <w:tr w:rsidR="0085070B" w:rsidRPr="007C36DF"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D96D2AE" w14:textId="3DDC78CD" w:rsidR="0085070B" w:rsidRPr="007C36DF" w:rsidRDefault="00BB6DFB"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7C36DF" w:rsidRDefault="0085070B"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7C36DF">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235CADCF" w14:textId="36E19B50" w:rsidR="0085070B" w:rsidRPr="007C36DF" w:rsidRDefault="00BB6DFB" w:rsidP="00665317">
            <w:pPr>
              <w:spacing w:after="0" w:line="240" w:lineRule="auto"/>
              <w:ind w:left="96" w:firstLine="2"/>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1.0</w:t>
            </w:r>
          </w:p>
        </w:tc>
      </w:tr>
      <w:tr w:rsidR="0085070B" w:rsidRPr="007C36DF" w14:paraId="1226920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7777777" w:rsidR="0085070B" w:rsidRPr="007C36DF" w:rsidRDefault="0085070B" w:rsidP="003866AB">
            <w:pPr>
              <w:spacing w:after="0" w:line="240" w:lineRule="auto"/>
              <w:ind w:left="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5CE6E57E" w14:textId="78335C58" w:rsidR="0085070B" w:rsidRPr="007C36DF" w:rsidRDefault="00BB6DFB"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17/07/2026</w:t>
            </w:r>
            <w:r w:rsidR="00665317" w:rsidRPr="007C36DF">
              <w:rPr>
                <w:rFonts w:ascii="Arial" w:eastAsia="Times New Roman" w:hAnsi="Arial" w:cs="Arial"/>
                <w:i/>
                <w:iCs/>
                <w:color w:val="000000"/>
                <w:sz w:val="28"/>
                <w:szCs w:val="28"/>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52F38DDB" w:rsidR="0085070B" w:rsidRPr="007C36DF" w:rsidRDefault="0085070B" w:rsidP="00C94578">
            <w:pPr>
              <w:spacing w:after="0" w:line="240" w:lineRule="auto"/>
              <w:ind w:left="130" w:hanging="32"/>
              <w:textAlignment w:val="baseline"/>
              <w:rPr>
                <w:rFonts w:ascii="Times New Roman" w:eastAsia="Times New Roman" w:hAnsi="Times New Roman" w:cs="Times New Roman"/>
                <w:color w:val="000000"/>
                <w:sz w:val="28"/>
                <w:szCs w:val="28"/>
                <w:lang w:eastAsia="en-GB"/>
              </w:rPr>
            </w:pPr>
            <w:r w:rsidRPr="007C36DF">
              <w:rPr>
                <w:rFonts w:ascii="Arial" w:eastAsia="Times New Roman" w:hAnsi="Arial" w:cs="Arial"/>
                <w:color w:val="000000"/>
                <w:sz w:val="28"/>
                <w:szCs w:val="28"/>
                <w:lang w:eastAsia="en-GB"/>
              </w:rPr>
              <w:t xml:space="preserve">Approved </w:t>
            </w:r>
            <w:r w:rsidR="00F700E2" w:rsidRPr="007C36DF">
              <w:rPr>
                <w:rFonts w:ascii="Arial" w:eastAsia="Times New Roman" w:hAnsi="Arial" w:cs="Arial"/>
                <w:color w:val="000000"/>
                <w:sz w:val="28"/>
                <w:szCs w:val="28"/>
                <w:lang w:eastAsia="en-GB"/>
              </w:rPr>
              <w:t xml:space="preserve">  </w:t>
            </w:r>
            <w:r w:rsidRPr="007C36DF">
              <w:rPr>
                <w:rFonts w:ascii="Arial" w:eastAsia="Times New Roman" w:hAnsi="Arial" w:cs="Arial"/>
                <w:color w:val="000000"/>
                <w:sz w:val="28"/>
                <w:szCs w:val="28"/>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722F0D85" w14:textId="188D8193" w:rsidR="0085070B" w:rsidRPr="00BB6DFB" w:rsidRDefault="00BB6DFB" w:rsidP="0085070B">
            <w:pPr>
              <w:spacing w:after="0" w:line="240" w:lineRule="auto"/>
              <w:ind w:firstLine="98"/>
              <w:textAlignment w:val="baseline"/>
              <w:rPr>
                <w:rFonts w:ascii="Arial" w:eastAsia="Times New Roman" w:hAnsi="Arial" w:cs="Arial"/>
                <w:i/>
                <w:iCs/>
                <w:color w:val="000000"/>
                <w:sz w:val="28"/>
                <w:szCs w:val="28"/>
                <w:lang w:eastAsia="en-GB"/>
              </w:rPr>
            </w:pPr>
            <w:r w:rsidRPr="00BB6DFB">
              <w:rPr>
                <w:rFonts w:ascii="Arial" w:eastAsia="Times New Roman" w:hAnsi="Arial" w:cs="Arial"/>
                <w:i/>
                <w:iCs/>
                <w:color w:val="000000"/>
                <w:sz w:val="28"/>
                <w:szCs w:val="28"/>
                <w:lang w:eastAsia="en-GB"/>
              </w:rPr>
              <w:t>15/07/2026</w:t>
            </w:r>
          </w:p>
        </w:tc>
      </w:tr>
      <w:tr w:rsidR="0085070B" w:rsidRPr="007C36DF"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7C36DF" w:rsidRDefault="0085070B" w:rsidP="003866AB">
            <w:pPr>
              <w:spacing w:after="0" w:line="240" w:lineRule="auto"/>
              <w:ind w:left="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14258EAF" w14:textId="4DD66AEA" w:rsidR="0085070B" w:rsidRPr="007C36DF" w:rsidRDefault="007A11F5" w:rsidP="008507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28"/>
                <w:szCs w:val="28"/>
                <w:lang w:eastAsia="en-GB"/>
              </w:rPr>
              <w:t>15/04/2026</w:t>
            </w:r>
            <w:r w:rsidR="00FC170A" w:rsidRPr="007C36DF">
              <w:rPr>
                <w:rFonts w:ascii="Arial" w:eastAsia="Times New Roman" w:hAnsi="Arial" w:cs="Arial"/>
                <w:i/>
                <w:iCs/>
                <w:color w:val="000000"/>
                <w:sz w:val="28"/>
                <w:szCs w:val="28"/>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7C36DF" w:rsidRDefault="0085070B"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7C36DF">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3C1DE21F" w14:textId="6E5F4638" w:rsidR="0085070B" w:rsidRPr="007C36DF" w:rsidRDefault="00C94578"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7C36DF">
              <w:rPr>
                <w:rFonts w:ascii="Arial" w:eastAsia="Times New Roman" w:hAnsi="Arial" w:cs="Arial"/>
                <w:i/>
                <w:iCs/>
                <w:color w:val="000000"/>
                <w:sz w:val="28"/>
                <w:szCs w:val="28"/>
                <w:lang w:eastAsia="en-GB"/>
              </w:rPr>
              <w:t>Louis Bebb</w:t>
            </w:r>
            <w:r w:rsidR="00665317" w:rsidRPr="007C36DF">
              <w:rPr>
                <w:rFonts w:ascii="Arial" w:eastAsia="Times New Roman" w:hAnsi="Arial" w:cs="Arial"/>
                <w:i/>
                <w:iCs/>
                <w:color w:val="000000"/>
                <w:sz w:val="28"/>
                <w:szCs w:val="28"/>
                <w:lang w:eastAsia="en-GB"/>
              </w:rPr>
              <w:t xml:space="preserve"> </w:t>
            </w:r>
          </w:p>
        </w:tc>
      </w:tr>
      <w:tr w:rsidR="0085070B" w:rsidRPr="007C36DF"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7899BE8" w14:textId="7BCF50BB" w:rsidR="0085070B" w:rsidRPr="007C36DF" w:rsidRDefault="00BB6DFB" w:rsidP="00C13F6F">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15/07/2028</w:t>
            </w:r>
          </w:p>
        </w:tc>
      </w:tr>
      <w:tr w:rsidR="0085070B" w:rsidRPr="007C36DF"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7C36DF"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7C36DF">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3DD45649" w14:textId="2A4D5ADC" w:rsidR="0085070B" w:rsidRPr="007C36DF" w:rsidRDefault="00B54D4B" w:rsidP="0085070B">
            <w:pPr>
              <w:spacing w:after="0" w:line="240" w:lineRule="auto"/>
              <w:ind w:left="98"/>
              <w:textAlignment w:val="baseline"/>
              <w:rPr>
                <w:rFonts w:ascii="Arial" w:eastAsia="Times New Roman" w:hAnsi="Arial" w:cs="Arial"/>
                <w:i/>
                <w:iCs/>
                <w:color w:val="000000"/>
                <w:sz w:val="28"/>
                <w:szCs w:val="28"/>
                <w:lang w:eastAsia="en-GB"/>
              </w:rPr>
            </w:pPr>
            <w:r w:rsidRPr="007C36DF">
              <w:rPr>
                <w:rFonts w:ascii="Arial" w:eastAsia="Times New Roman" w:hAnsi="Arial" w:cs="Arial"/>
                <w:i/>
                <w:iCs/>
                <w:color w:val="000000"/>
                <w:sz w:val="28"/>
                <w:szCs w:val="28"/>
                <w:lang w:eastAsia="en-GB"/>
              </w:rPr>
              <w:t>This policy outlines the eligibility criteria, legal framework, and procedures for tenants seeking to participate in a mutual exchange, ensuring compliance with applicable housing laws and SMBC standards.</w:t>
            </w:r>
          </w:p>
        </w:tc>
      </w:tr>
    </w:tbl>
    <w:p w14:paraId="2B91632B" w14:textId="77777777" w:rsidR="00CC1C8F" w:rsidRPr="007C36DF" w:rsidRDefault="00CC1C8F">
      <w:pPr>
        <w:rPr>
          <w:sz w:val="28"/>
          <w:szCs w:val="28"/>
        </w:rPr>
      </w:pPr>
    </w:p>
    <w:p w14:paraId="052AB9BE" w14:textId="77777777" w:rsidR="003866AB" w:rsidRPr="007C36DF" w:rsidRDefault="003866AB">
      <w:pPr>
        <w:rPr>
          <w:sz w:val="28"/>
          <w:szCs w:val="28"/>
        </w:rPr>
      </w:pPr>
    </w:p>
    <w:p w14:paraId="59C66F9B" w14:textId="77777777" w:rsidR="00F5655E" w:rsidRDefault="00F5655E">
      <w:pPr>
        <w:rPr>
          <w:sz w:val="28"/>
          <w:szCs w:val="28"/>
        </w:rPr>
      </w:pPr>
    </w:p>
    <w:p w14:paraId="246E2F4B" w14:textId="77777777" w:rsidR="007C36DF" w:rsidRPr="007C36DF" w:rsidRDefault="007C36DF">
      <w:pPr>
        <w:rPr>
          <w:sz w:val="28"/>
          <w:szCs w:val="28"/>
        </w:rPr>
      </w:pPr>
    </w:p>
    <w:p w14:paraId="4A512004" w14:textId="77777777" w:rsidR="00DD7CAE" w:rsidRPr="007C36DF" w:rsidRDefault="00DD7CAE">
      <w:pPr>
        <w:rPr>
          <w:sz w:val="28"/>
          <w:szCs w:val="28"/>
        </w:rPr>
      </w:pPr>
    </w:p>
    <w:sdt>
      <w:sdtPr>
        <w:rPr>
          <w:rFonts w:asciiTheme="minorHAnsi" w:eastAsiaTheme="minorHAnsi" w:hAnsiTheme="minorHAnsi" w:cstheme="minorBidi"/>
          <w:color w:val="auto"/>
          <w:sz w:val="28"/>
          <w:szCs w:val="28"/>
          <w:lang w:val="en-GB"/>
        </w:rPr>
        <w:id w:val="71088094"/>
        <w:docPartObj>
          <w:docPartGallery w:val="Table of Contents"/>
          <w:docPartUnique/>
        </w:docPartObj>
      </w:sdtPr>
      <w:sdtEndPr>
        <w:rPr>
          <w:b/>
          <w:bCs/>
          <w:noProof/>
        </w:rPr>
      </w:sdtEndPr>
      <w:sdtContent>
        <w:p w14:paraId="30BB5B92" w14:textId="77777777" w:rsidR="00A00C18" w:rsidRPr="00CC5D5B" w:rsidRDefault="00A00C18" w:rsidP="00A00C18">
          <w:pPr>
            <w:pStyle w:val="TOCHeading"/>
            <w:jc w:val="center"/>
            <w:rPr>
              <w:rFonts w:ascii="Arial" w:hAnsi="Arial" w:cs="Arial"/>
              <w:b/>
              <w:bCs/>
              <w:color w:val="auto"/>
              <w:sz w:val="28"/>
              <w:szCs w:val="28"/>
              <w:u w:val="single"/>
            </w:rPr>
          </w:pPr>
          <w:r w:rsidRPr="00CC5D5B">
            <w:rPr>
              <w:rFonts w:ascii="Arial" w:hAnsi="Arial" w:cs="Arial"/>
              <w:b/>
              <w:bCs/>
              <w:color w:val="auto"/>
              <w:sz w:val="28"/>
              <w:szCs w:val="28"/>
              <w:u w:val="single"/>
            </w:rPr>
            <w:t>Contents</w:t>
          </w:r>
        </w:p>
        <w:p w14:paraId="65022038" w14:textId="2332A000" w:rsidR="00CC5D5B" w:rsidRPr="00CC5D5B" w:rsidRDefault="00A00C18">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r w:rsidRPr="00CC5D5B">
            <w:rPr>
              <w:rFonts w:ascii="Arial" w:hAnsi="Arial" w:cs="Arial"/>
              <w:b/>
              <w:bCs/>
              <w:sz w:val="28"/>
              <w:szCs w:val="28"/>
            </w:rPr>
            <w:fldChar w:fldCharType="begin"/>
          </w:r>
          <w:r w:rsidRPr="00CC5D5B">
            <w:rPr>
              <w:rFonts w:ascii="Arial" w:hAnsi="Arial" w:cs="Arial"/>
              <w:b/>
              <w:bCs/>
              <w:sz w:val="28"/>
              <w:szCs w:val="28"/>
            </w:rPr>
            <w:instrText xml:space="preserve"> TOC \o "1-3" \h \z \u </w:instrText>
          </w:r>
          <w:r w:rsidRPr="00CC5D5B">
            <w:rPr>
              <w:rFonts w:ascii="Arial" w:hAnsi="Arial" w:cs="Arial"/>
              <w:b/>
              <w:bCs/>
              <w:sz w:val="28"/>
              <w:szCs w:val="28"/>
            </w:rPr>
            <w:fldChar w:fldCharType="separate"/>
          </w:r>
          <w:hyperlink w:anchor="_Toc221176225" w:history="1">
            <w:r w:rsidR="00CC5D5B" w:rsidRPr="00CC5D5B">
              <w:rPr>
                <w:rStyle w:val="Hyperlink"/>
                <w:rFonts w:ascii="Arial" w:eastAsiaTheme="majorEastAsia" w:hAnsi="Arial" w:cs="Arial"/>
                <w:b/>
                <w:bCs/>
                <w:noProof/>
                <w:sz w:val="28"/>
                <w:szCs w:val="28"/>
              </w:rPr>
              <w:t>1.</w:t>
            </w:r>
            <w:r w:rsidR="00CC5D5B" w:rsidRPr="00CC5D5B">
              <w:rPr>
                <w:rFonts w:ascii="Arial" w:eastAsiaTheme="minorEastAsia" w:hAnsi="Arial" w:cs="Arial"/>
                <w:noProof/>
                <w:kern w:val="2"/>
                <w:sz w:val="28"/>
                <w:szCs w:val="28"/>
                <w:lang w:eastAsia="en-GB"/>
                <w14:ligatures w14:val="standardContextual"/>
              </w:rPr>
              <w:tab/>
            </w:r>
            <w:r w:rsidR="00CC5D5B" w:rsidRPr="00CC5D5B">
              <w:rPr>
                <w:rStyle w:val="Hyperlink"/>
                <w:rFonts w:ascii="Arial" w:eastAsiaTheme="majorEastAsia" w:hAnsi="Arial" w:cs="Arial"/>
                <w:b/>
                <w:bCs/>
                <w:noProof/>
                <w:sz w:val="28"/>
                <w:szCs w:val="28"/>
              </w:rPr>
              <w:t>Purpose</w:t>
            </w:r>
            <w:r w:rsidR="00CC5D5B" w:rsidRPr="00CC5D5B">
              <w:rPr>
                <w:rFonts w:ascii="Arial" w:hAnsi="Arial" w:cs="Arial"/>
                <w:noProof/>
                <w:webHidden/>
                <w:sz w:val="28"/>
                <w:szCs w:val="28"/>
              </w:rPr>
              <w:tab/>
            </w:r>
            <w:r w:rsidR="00CC5D5B" w:rsidRPr="00CC5D5B">
              <w:rPr>
                <w:rFonts w:ascii="Arial" w:hAnsi="Arial" w:cs="Arial"/>
                <w:noProof/>
                <w:webHidden/>
                <w:sz w:val="28"/>
                <w:szCs w:val="28"/>
              </w:rPr>
              <w:fldChar w:fldCharType="begin"/>
            </w:r>
            <w:r w:rsidR="00CC5D5B" w:rsidRPr="00CC5D5B">
              <w:rPr>
                <w:rFonts w:ascii="Arial" w:hAnsi="Arial" w:cs="Arial"/>
                <w:noProof/>
                <w:webHidden/>
                <w:sz w:val="28"/>
                <w:szCs w:val="28"/>
              </w:rPr>
              <w:instrText xml:space="preserve"> PAGEREF _Toc221176225 \h </w:instrText>
            </w:r>
            <w:r w:rsidR="00CC5D5B" w:rsidRPr="00CC5D5B">
              <w:rPr>
                <w:rFonts w:ascii="Arial" w:hAnsi="Arial" w:cs="Arial"/>
                <w:noProof/>
                <w:webHidden/>
                <w:sz w:val="28"/>
                <w:szCs w:val="28"/>
              </w:rPr>
            </w:r>
            <w:r w:rsidR="00CC5D5B" w:rsidRPr="00CC5D5B">
              <w:rPr>
                <w:rFonts w:ascii="Arial" w:hAnsi="Arial" w:cs="Arial"/>
                <w:noProof/>
                <w:webHidden/>
                <w:sz w:val="28"/>
                <w:szCs w:val="28"/>
              </w:rPr>
              <w:fldChar w:fldCharType="separate"/>
            </w:r>
            <w:r w:rsidR="00CC5D5B" w:rsidRPr="00CC5D5B">
              <w:rPr>
                <w:rFonts w:ascii="Arial" w:hAnsi="Arial" w:cs="Arial"/>
                <w:noProof/>
                <w:webHidden/>
                <w:sz w:val="28"/>
                <w:szCs w:val="28"/>
              </w:rPr>
              <w:t>2</w:t>
            </w:r>
            <w:r w:rsidR="00CC5D5B" w:rsidRPr="00CC5D5B">
              <w:rPr>
                <w:rFonts w:ascii="Arial" w:hAnsi="Arial" w:cs="Arial"/>
                <w:noProof/>
                <w:webHidden/>
                <w:sz w:val="28"/>
                <w:szCs w:val="28"/>
              </w:rPr>
              <w:fldChar w:fldCharType="end"/>
            </w:r>
          </w:hyperlink>
        </w:p>
        <w:p w14:paraId="1D9B029A" w14:textId="3439407A"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6" w:history="1">
            <w:r w:rsidRPr="00CC5D5B">
              <w:rPr>
                <w:rStyle w:val="Hyperlink"/>
                <w:rFonts w:ascii="Arial" w:eastAsiaTheme="majorEastAsia" w:hAnsi="Arial" w:cs="Arial"/>
                <w:b/>
                <w:bCs/>
                <w:noProof/>
                <w:sz w:val="28"/>
                <w:szCs w:val="28"/>
              </w:rPr>
              <w:t>2.</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Scope</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_Toc221176226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4</w:t>
            </w:r>
            <w:r w:rsidRPr="00CC5D5B">
              <w:rPr>
                <w:rFonts w:ascii="Arial" w:hAnsi="Arial" w:cs="Arial"/>
                <w:noProof/>
                <w:webHidden/>
                <w:sz w:val="28"/>
                <w:szCs w:val="28"/>
              </w:rPr>
              <w:fldChar w:fldCharType="end"/>
            </w:r>
          </w:hyperlink>
        </w:p>
        <w:p w14:paraId="5EBF83E4" w14:textId="1717EDCC"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7" w:history="1">
            <w:r w:rsidRPr="00CC5D5B">
              <w:rPr>
                <w:rStyle w:val="Hyperlink"/>
                <w:rFonts w:ascii="Arial" w:eastAsiaTheme="majorEastAsia" w:hAnsi="Arial" w:cs="Arial"/>
                <w:b/>
                <w:bCs/>
                <w:noProof/>
                <w:sz w:val="28"/>
                <w:szCs w:val="28"/>
              </w:rPr>
              <w:t>3.</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What is Mutual Exchange to Sandwell Council?</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_Toc221176227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5</w:t>
            </w:r>
            <w:r w:rsidRPr="00CC5D5B">
              <w:rPr>
                <w:rFonts w:ascii="Arial" w:hAnsi="Arial" w:cs="Arial"/>
                <w:noProof/>
                <w:webHidden/>
                <w:sz w:val="28"/>
                <w:szCs w:val="28"/>
              </w:rPr>
              <w:fldChar w:fldCharType="end"/>
            </w:r>
          </w:hyperlink>
        </w:p>
        <w:p w14:paraId="7433B9A3" w14:textId="06626094"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8" w:history="1">
            <w:r w:rsidRPr="00CC5D5B">
              <w:rPr>
                <w:rStyle w:val="Hyperlink"/>
                <w:rFonts w:ascii="Arial" w:eastAsiaTheme="majorEastAsia" w:hAnsi="Arial" w:cs="Arial"/>
                <w:b/>
                <w:bCs/>
                <w:noProof/>
                <w:sz w:val="28"/>
                <w:szCs w:val="28"/>
              </w:rPr>
              <w:t>4.</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Policy Statement</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_Toc221176228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5</w:t>
            </w:r>
            <w:r w:rsidRPr="00CC5D5B">
              <w:rPr>
                <w:rFonts w:ascii="Arial" w:hAnsi="Arial" w:cs="Arial"/>
                <w:noProof/>
                <w:webHidden/>
                <w:sz w:val="28"/>
                <w:szCs w:val="28"/>
              </w:rPr>
              <w:fldChar w:fldCharType="end"/>
            </w:r>
          </w:hyperlink>
        </w:p>
        <w:p w14:paraId="7F658D0F" w14:textId="6A72E01B"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29" w:history="1">
            <w:r w:rsidRPr="00CC5D5B">
              <w:rPr>
                <w:rStyle w:val="Hyperlink"/>
                <w:rFonts w:ascii="Arial" w:eastAsiaTheme="majorEastAsia" w:hAnsi="Arial" w:cs="Arial"/>
                <w:b/>
                <w:bCs/>
                <w:noProof/>
                <w:sz w:val="28"/>
                <w:szCs w:val="28"/>
              </w:rPr>
              <w:t>5.</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Development of Policy</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_Toc221176229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15</w:t>
            </w:r>
            <w:r w:rsidRPr="00CC5D5B">
              <w:rPr>
                <w:rFonts w:ascii="Arial" w:hAnsi="Arial" w:cs="Arial"/>
                <w:noProof/>
                <w:webHidden/>
                <w:sz w:val="28"/>
                <w:szCs w:val="28"/>
              </w:rPr>
              <w:fldChar w:fldCharType="end"/>
            </w:r>
          </w:hyperlink>
        </w:p>
        <w:p w14:paraId="75E1798C" w14:textId="76B33925"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0" w:history="1">
            <w:r w:rsidRPr="00CC5D5B">
              <w:rPr>
                <w:rStyle w:val="Hyperlink"/>
                <w:rFonts w:ascii="Arial" w:eastAsiaTheme="majorEastAsia" w:hAnsi="Arial" w:cs="Arial"/>
                <w:b/>
                <w:bCs/>
                <w:noProof/>
                <w:sz w:val="28"/>
                <w:szCs w:val="28"/>
              </w:rPr>
              <w:t>6.</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Related Documents</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_Toc221176230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15</w:t>
            </w:r>
            <w:r w:rsidRPr="00CC5D5B">
              <w:rPr>
                <w:rFonts w:ascii="Arial" w:hAnsi="Arial" w:cs="Arial"/>
                <w:noProof/>
                <w:webHidden/>
                <w:sz w:val="28"/>
                <w:szCs w:val="28"/>
              </w:rPr>
              <w:fldChar w:fldCharType="end"/>
            </w:r>
          </w:hyperlink>
        </w:p>
        <w:p w14:paraId="6600EEDC" w14:textId="3B4E1754"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1" w:history="1">
            <w:r w:rsidRPr="00CC5D5B">
              <w:rPr>
                <w:rStyle w:val="Hyperlink"/>
                <w:rFonts w:ascii="Arial" w:eastAsiaTheme="majorEastAsia" w:hAnsi="Arial" w:cs="Arial"/>
                <w:b/>
                <w:bCs/>
                <w:noProof/>
                <w:sz w:val="28"/>
                <w:szCs w:val="28"/>
              </w:rPr>
              <w:t>7.</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Legal Framework</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_Toc221176231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16</w:t>
            </w:r>
            <w:r w:rsidRPr="00CC5D5B">
              <w:rPr>
                <w:rFonts w:ascii="Arial" w:hAnsi="Arial" w:cs="Arial"/>
                <w:noProof/>
                <w:webHidden/>
                <w:sz w:val="28"/>
                <w:szCs w:val="28"/>
              </w:rPr>
              <w:fldChar w:fldCharType="end"/>
            </w:r>
          </w:hyperlink>
        </w:p>
        <w:p w14:paraId="4CD869A1" w14:textId="19549E78"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2" w:history="1">
            <w:r w:rsidRPr="00CC5D5B">
              <w:rPr>
                <w:rStyle w:val="Hyperlink"/>
                <w:rFonts w:ascii="Arial" w:eastAsiaTheme="majorEastAsia" w:hAnsi="Arial" w:cs="Arial"/>
                <w:b/>
                <w:bCs/>
                <w:noProof/>
                <w:sz w:val="28"/>
                <w:szCs w:val="28"/>
              </w:rPr>
              <w:t>8.</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Equality and Diversity</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_Toc221176232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16</w:t>
            </w:r>
            <w:r w:rsidRPr="00CC5D5B">
              <w:rPr>
                <w:rFonts w:ascii="Arial" w:hAnsi="Arial" w:cs="Arial"/>
                <w:noProof/>
                <w:webHidden/>
                <w:sz w:val="28"/>
                <w:szCs w:val="28"/>
              </w:rPr>
              <w:fldChar w:fldCharType="end"/>
            </w:r>
          </w:hyperlink>
        </w:p>
        <w:p w14:paraId="25591B0F" w14:textId="40B84B8C" w:rsidR="00CC5D5B" w:rsidRPr="00CC5D5B" w:rsidRDefault="00CC5D5B">
          <w:pPr>
            <w:pStyle w:val="TOC1"/>
            <w:tabs>
              <w:tab w:val="left" w:pos="480"/>
              <w:tab w:val="right" w:leader="dot" w:pos="8896"/>
            </w:tabs>
            <w:rPr>
              <w:rFonts w:ascii="Arial" w:eastAsiaTheme="minorEastAsia" w:hAnsi="Arial" w:cs="Arial"/>
              <w:noProof/>
              <w:kern w:val="2"/>
              <w:sz w:val="28"/>
              <w:szCs w:val="28"/>
              <w:lang w:eastAsia="en-GB"/>
              <w14:ligatures w14:val="standardContextual"/>
            </w:rPr>
          </w:pPr>
          <w:hyperlink w:anchor="_Toc221176233" w:history="1">
            <w:r w:rsidRPr="00CC5D5B">
              <w:rPr>
                <w:rStyle w:val="Hyperlink"/>
                <w:rFonts w:ascii="Arial" w:eastAsiaTheme="majorEastAsia" w:hAnsi="Arial" w:cs="Arial"/>
                <w:b/>
                <w:bCs/>
                <w:noProof/>
                <w:sz w:val="28"/>
                <w:szCs w:val="28"/>
              </w:rPr>
              <w:t>9.</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Monitoring and Review</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_Toc221176233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18</w:t>
            </w:r>
            <w:r w:rsidRPr="00CC5D5B">
              <w:rPr>
                <w:rFonts w:ascii="Arial" w:hAnsi="Arial" w:cs="Arial"/>
                <w:noProof/>
                <w:webHidden/>
                <w:sz w:val="28"/>
                <w:szCs w:val="28"/>
              </w:rPr>
              <w:fldChar w:fldCharType="end"/>
            </w:r>
          </w:hyperlink>
        </w:p>
        <w:p w14:paraId="666FD28F" w14:textId="526E5B04" w:rsidR="00CC5D5B" w:rsidRPr="00CC5D5B" w:rsidRDefault="00CC5D5B">
          <w:pPr>
            <w:pStyle w:val="TOC1"/>
            <w:tabs>
              <w:tab w:val="left" w:pos="720"/>
              <w:tab w:val="right" w:leader="dot" w:pos="8896"/>
            </w:tabs>
            <w:rPr>
              <w:rFonts w:ascii="Arial" w:eastAsiaTheme="minorEastAsia" w:hAnsi="Arial" w:cs="Arial"/>
              <w:noProof/>
              <w:kern w:val="2"/>
              <w:sz w:val="28"/>
              <w:szCs w:val="28"/>
              <w:lang w:eastAsia="en-GB"/>
              <w14:ligatures w14:val="standardContextual"/>
            </w:rPr>
          </w:pPr>
          <w:hyperlink w:anchor="_Toc221176234" w:history="1">
            <w:r w:rsidRPr="00CC5D5B">
              <w:rPr>
                <w:rStyle w:val="Hyperlink"/>
                <w:rFonts w:ascii="Arial" w:eastAsiaTheme="majorEastAsia" w:hAnsi="Arial" w:cs="Arial"/>
                <w:b/>
                <w:bCs/>
                <w:noProof/>
                <w:sz w:val="28"/>
                <w:szCs w:val="28"/>
              </w:rPr>
              <w:t>10.</w:t>
            </w:r>
            <w:r w:rsidRPr="00CC5D5B">
              <w:rPr>
                <w:rFonts w:ascii="Arial" w:eastAsiaTheme="minorEastAsia" w:hAnsi="Arial" w:cs="Arial"/>
                <w:noProof/>
                <w:kern w:val="2"/>
                <w:sz w:val="28"/>
                <w:szCs w:val="28"/>
                <w:lang w:eastAsia="en-GB"/>
                <w14:ligatures w14:val="standardContextual"/>
              </w:rPr>
              <w:tab/>
            </w:r>
            <w:r w:rsidRPr="00CC5D5B">
              <w:rPr>
                <w:rStyle w:val="Hyperlink"/>
                <w:rFonts w:ascii="Arial" w:eastAsiaTheme="majorEastAsia" w:hAnsi="Arial" w:cs="Arial"/>
                <w:b/>
                <w:bCs/>
                <w:noProof/>
                <w:sz w:val="28"/>
                <w:szCs w:val="28"/>
              </w:rPr>
              <w:t>Policy Document Version Control</w:t>
            </w:r>
            <w:r w:rsidRPr="00CC5D5B">
              <w:rPr>
                <w:rFonts w:ascii="Arial" w:hAnsi="Arial" w:cs="Arial"/>
                <w:noProof/>
                <w:webHidden/>
                <w:sz w:val="28"/>
                <w:szCs w:val="28"/>
              </w:rPr>
              <w:tab/>
            </w:r>
            <w:r w:rsidRPr="00CC5D5B">
              <w:rPr>
                <w:rFonts w:ascii="Arial" w:hAnsi="Arial" w:cs="Arial"/>
                <w:noProof/>
                <w:webHidden/>
                <w:sz w:val="28"/>
                <w:szCs w:val="28"/>
              </w:rPr>
              <w:fldChar w:fldCharType="begin"/>
            </w:r>
            <w:r w:rsidRPr="00CC5D5B">
              <w:rPr>
                <w:rFonts w:ascii="Arial" w:hAnsi="Arial" w:cs="Arial"/>
                <w:noProof/>
                <w:webHidden/>
                <w:sz w:val="28"/>
                <w:szCs w:val="28"/>
              </w:rPr>
              <w:instrText xml:space="preserve"> PAGEREF _Toc221176234 \h </w:instrText>
            </w:r>
            <w:r w:rsidRPr="00CC5D5B">
              <w:rPr>
                <w:rFonts w:ascii="Arial" w:hAnsi="Arial" w:cs="Arial"/>
                <w:noProof/>
                <w:webHidden/>
                <w:sz w:val="28"/>
                <w:szCs w:val="28"/>
              </w:rPr>
            </w:r>
            <w:r w:rsidRPr="00CC5D5B">
              <w:rPr>
                <w:rFonts w:ascii="Arial" w:hAnsi="Arial" w:cs="Arial"/>
                <w:noProof/>
                <w:webHidden/>
                <w:sz w:val="28"/>
                <w:szCs w:val="28"/>
              </w:rPr>
              <w:fldChar w:fldCharType="separate"/>
            </w:r>
            <w:r w:rsidRPr="00CC5D5B">
              <w:rPr>
                <w:rFonts w:ascii="Arial" w:hAnsi="Arial" w:cs="Arial"/>
                <w:noProof/>
                <w:webHidden/>
                <w:sz w:val="28"/>
                <w:szCs w:val="28"/>
              </w:rPr>
              <w:t>19</w:t>
            </w:r>
            <w:r w:rsidRPr="00CC5D5B">
              <w:rPr>
                <w:rFonts w:ascii="Arial" w:hAnsi="Arial" w:cs="Arial"/>
                <w:noProof/>
                <w:webHidden/>
                <w:sz w:val="28"/>
                <w:szCs w:val="28"/>
              </w:rPr>
              <w:fldChar w:fldCharType="end"/>
            </w:r>
          </w:hyperlink>
        </w:p>
        <w:p w14:paraId="0C6A57A1" w14:textId="6AED960F" w:rsidR="00A00C18" w:rsidRPr="007C36DF" w:rsidRDefault="00A00C18" w:rsidP="00A00C18">
          <w:pPr>
            <w:rPr>
              <w:b/>
              <w:bCs/>
              <w:noProof/>
              <w:sz w:val="28"/>
              <w:szCs w:val="28"/>
            </w:rPr>
          </w:pPr>
          <w:r w:rsidRPr="00CC5D5B">
            <w:rPr>
              <w:rFonts w:ascii="Arial" w:hAnsi="Arial" w:cs="Arial"/>
              <w:b/>
              <w:bCs/>
              <w:noProof/>
              <w:sz w:val="28"/>
              <w:szCs w:val="28"/>
            </w:rPr>
            <w:fldChar w:fldCharType="end"/>
          </w:r>
        </w:p>
      </w:sdtContent>
    </w:sdt>
    <w:p w14:paraId="0D9567F4" w14:textId="59A264EB" w:rsidR="00DD7CAE" w:rsidRPr="007C36DF" w:rsidRDefault="00DD7CAE">
      <w:pPr>
        <w:rPr>
          <w:sz w:val="28"/>
          <w:szCs w:val="28"/>
        </w:rPr>
      </w:pPr>
    </w:p>
    <w:p w14:paraId="1EA109F7" w14:textId="77777777" w:rsidR="00DD7CAE" w:rsidRPr="007C36DF" w:rsidRDefault="00DD7CAE">
      <w:pPr>
        <w:rPr>
          <w:sz w:val="28"/>
          <w:szCs w:val="28"/>
        </w:rPr>
      </w:pPr>
    </w:p>
    <w:p w14:paraId="08851F56" w14:textId="77777777" w:rsidR="00DD7CAE" w:rsidRPr="007C36DF" w:rsidRDefault="00DD7CAE">
      <w:pPr>
        <w:rPr>
          <w:sz w:val="28"/>
          <w:szCs w:val="28"/>
        </w:rPr>
      </w:pPr>
    </w:p>
    <w:p w14:paraId="5BC0DB41" w14:textId="77777777" w:rsidR="00DD7CAE" w:rsidRPr="007C36DF" w:rsidRDefault="00DD7CAE">
      <w:pPr>
        <w:rPr>
          <w:sz w:val="28"/>
          <w:szCs w:val="28"/>
        </w:rPr>
      </w:pPr>
    </w:p>
    <w:p w14:paraId="775AC2D8" w14:textId="77777777" w:rsidR="00A00C18" w:rsidRPr="007C36DF" w:rsidRDefault="00A00C18">
      <w:pPr>
        <w:rPr>
          <w:sz w:val="28"/>
          <w:szCs w:val="28"/>
        </w:rPr>
      </w:pPr>
    </w:p>
    <w:p w14:paraId="2CBE8879" w14:textId="77777777" w:rsidR="00A00C18" w:rsidRPr="007C36DF" w:rsidRDefault="00A00C18">
      <w:pPr>
        <w:rPr>
          <w:sz w:val="28"/>
          <w:szCs w:val="28"/>
        </w:rPr>
      </w:pPr>
    </w:p>
    <w:p w14:paraId="511CECE3" w14:textId="77777777" w:rsidR="00A00C18" w:rsidRPr="007C36DF" w:rsidRDefault="00A00C18">
      <w:pPr>
        <w:rPr>
          <w:sz w:val="28"/>
          <w:szCs w:val="28"/>
        </w:rPr>
      </w:pPr>
    </w:p>
    <w:p w14:paraId="0E2CB233" w14:textId="77777777" w:rsidR="00A00C18" w:rsidRPr="007C36DF" w:rsidRDefault="00A00C18">
      <w:pPr>
        <w:rPr>
          <w:sz w:val="28"/>
          <w:szCs w:val="28"/>
        </w:rPr>
      </w:pPr>
    </w:p>
    <w:p w14:paraId="67CB91F6" w14:textId="77777777" w:rsidR="00A00C18" w:rsidRPr="007C36DF" w:rsidRDefault="00A00C18">
      <w:pPr>
        <w:rPr>
          <w:sz w:val="28"/>
          <w:szCs w:val="28"/>
        </w:rPr>
      </w:pPr>
    </w:p>
    <w:p w14:paraId="572FBFE8" w14:textId="77777777" w:rsidR="00A00C18" w:rsidRPr="007C36DF" w:rsidRDefault="00A00C18">
      <w:pPr>
        <w:rPr>
          <w:sz w:val="28"/>
          <w:szCs w:val="28"/>
        </w:rPr>
      </w:pPr>
    </w:p>
    <w:p w14:paraId="418E5CBA" w14:textId="77777777" w:rsidR="00A00C18" w:rsidRPr="007C36DF" w:rsidRDefault="00A00C18">
      <w:pPr>
        <w:rPr>
          <w:sz w:val="28"/>
          <w:szCs w:val="28"/>
        </w:rPr>
      </w:pPr>
    </w:p>
    <w:p w14:paraId="3CBF2B6B" w14:textId="77777777" w:rsidR="00A00C18" w:rsidRPr="007C36DF" w:rsidRDefault="00A00C18">
      <w:pPr>
        <w:rPr>
          <w:sz w:val="28"/>
          <w:szCs w:val="28"/>
        </w:rPr>
      </w:pPr>
    </w:p>
    <w:p w14:paraId="2751FD11" w14:textId="77777777" w:rsidR="00A00C18" w:rsidRPr="007C36DF" w:rsidRDefault="00A00C18">
      <w:pPr>
        <w:rPr>
          <w:sz w:val="28"/>
          <w:szCs w:val="28"/>
        </w:rPr>
      </w:pPr>
    </w:p>
    <w:p w14:paraId="6228E72D" w14:textId="77777777" w:rsidR="00A00C18" w:rsidRPr="007C36DF" w:rsidRDefault="00A00C18">
      <w:pPr>
        <w:rPr>
          <w:sz w:val="28"/>
          <w:szCs w:val="28"/>
        </w:rPr>
      </w:pPr>
    </w:p>
    <w:p w14:paraId="0B784EE1" w14:textId="77777777" w:rsidR="00A00C18" w:rsidRPr="007C36DF" w:rsidRDefault="00A00C18">
      <w:pPr>
        <w:rPr>
          <w:sz w:val="28"/>
          <w:szCs w:val="28"/>
        </w:rPr>
      </w:pPr>
    </w:p>
    <w:p w14:paraId="70D21F8D" w14:textId="77777777" w:rsidR="009B57FA" w:rsidRPr="00D76427" w:rsidRDefault="009B57FA">
      <w:pPr>
        <w:rPr>
          <w:rFonts w:ascii="Arial" w:hAnsi="Arial" w:cs="Arial"/>
          <w:sz w:val="28"/>
          <w:szCs w:val="28"/>
        </w:rPr>
      </w:pPr>
    </w:p>
    <w:p w14:paraId="39503FA6" w14:textId="69567C49" w:rsidR="00C13F6F" w:rsidRPr="00D76427" w:rsidRDefault="00A00C18" w:rsidP="00C13F6F">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Hlk165643217"/>
      <w:bookmarkStart w:id="1" w:name="_Toc221176225"/>
      <w:r w:rsidRPr="00D76427">
        <w:rPr>
          <w:rFonts w:ascii="Arial" w:eastAsiaTheme="majorEastAsia" w:hAnsi="Arial" w:cs="Arial"/>
          <w:b/>
          <w:bCs/>
          <w:color w:val="2F5496" w:themeColor="accent1" w:themeShade="BF"/>
          <w:sz w:val="28"/>
          <w:szCs w:val="28"/>
        </w:rPr>
        <w:lastRenderedPageBreak/>
        <w:t>Purpose</w:t>
      </w:r>
      <w:bookmarkEnd w:id="0"/>
      <w:bookmarkEnd w:id="1"/>
    </w:p>
    <w:p w14:paraId="66CB873D" w14:textId="77777777" w:rsidR="00302692" w:rsidRPr="00302692" w:rsidRDefault="00302692" w:rsidP="00302692">
      <w:pPr>
        <w:pStyle w:val="ListParagraph"/>
        <w:rPr>
          <w:rFonts w:ascii="Arial" w:hAnsi="Arial" w:cs="Arial"/>
          <w:sz w:val="28"/>
          <w:szCs w:val="28"/>
        </w:rPr>
      </w:pPr>
    </w:p>
    <w:p w14:paraId="634B907E" w14:textId="77777777" w:rsidR="00302692" w:rsidRDefault="00302692" w:rsidP="00302692">
      <w:pPr>
        <w:pStyle w:val="ListParagraph"/>
        <w:numPr>
          <w:ilvl w:val="1"/>
          <w:numId w:val="1"/>
        </w:numPr>
        <w:spacing w:after="0"/>
        <w:ind w:left="567" w:hanging="567"/>
        <w:rPr>
          <w:rFonts w:ascii="Arial" w:hAnsi="Arial" w:cs="Arial"/>
          <w:sz w:val="28"/>
          <w:szCs w:val="28"/>
        </w:rPr>
      </w:pPr>
      <w:r>
        <w:rPr>
          <w:rFonts w:ascii="Arial" w:hAnsi="Arial" w:cs="Arial"/>
          <w:sz w:val="28"/>
          <w:szCs w:val="28"/>
        </w:rPr>
        <w:t>Sa</w:t>
      </w:r>
      <w:r w:rsidR="005B120D" w:rsidRPr="00302692">
        <w:rPr>
          <w:rFonts w:ascii="Arial" w:hAnsi="Arial" w:cs="Arial"/>
          <w:sz w:val="28"/>
          <w:szCs w:val="28"/>
        </w:rPr>
        <w:t>ndwell Metropolitan Borough Council (SMBC) recognises mutual exchange as an important housing option that allows tenants greater choice and flexibility in meeting their housing needs.</w:t>
      </w:r>
    </w:p>
    <w:p w14:paraId="64F330A0" w14:textId="77777777" w:rsidR="00302692" w:rsidRPr="00302692" w:rsidRDefault="00302692" w:rsidP="00302692">
      <w:pPr>
        <w:pStyle w:val="ListParagraph"/>
        <w:rPr>
          <w:rFonts w:ascii="Arial" w:hAnsi="Arial" w:cs="Arial"/>
          <w:sz w:val="28"/>
          <w:szCs w:val="28"/>
        </w:rPr>
      </w:pPr>
    </w:p>
    <w:p w14:paraId="354C41E0" w14:textId="77777777" w:rsidR="00302692" w:rsidRDefault="005B120D" w:rsidP="00302692">
      <w:pPr>
        <w:pStyle w:val="ListParagraph"/>
        <w:numPr>
          <w:ilvl w:val="1"/>
          <w:numId w:val="1"/>
        </w:numPr>
        <w:spacing w:after="0"/>
        <w:ind w:left="567" w:hanging="567"/>
        <w:rPr>
          <w:rFonts w:ascii="Arial" w:hAnsi="Arial" w:cs="Arial"/>
          <w:sz w:val="28"/>
          <w:szCs w:val="28"/>
        </w:rPr>
      </w:pPr>
      <w:r w:rsidRPr="00302692">
        <w:rPr>
          <w:rFonts w:ascii="Arial" w:hAnsi="Arial" w:cs="Arial"/>
          <w:sz w:val="28"/>
          <w:szCs w:val="28"/>
        </w:rPr>
        <w:t>This policy sets out the eligibility criteria, legal framework, and process for mutual exchanges, ensuring compliance with relevant legislation and Council standards.</w:t>
      </w:r>
    </w:p>
    <w:p w14:paraId="4987F029" w14:textId="77777777" w:rsidR="00302692" w:rsidRPr="00302692" w:rsidRDefault="00302692" w:rsidP="00302692">
      <w:pPr>
        <w:pStyle w:val="ListParagraph"/>
        <w:rPr>
          <w:rFonts w:ascii="Arial" w:hAnsi="Arial" w:cs="Arial"/>
          <w:sz w:val="28"/>
          <w:szCs w:val="28"/>
        </w:rPr>
      </w:pPr>
    </w:p>
    <w:p w14:paraId="068D2A71" w14:textId="77777777" w:rsidR="00302692" w:rsidRDefault="005B120D" w:rsidP="00302692">
      <w:pPr>
        <w:pStyle w:val="ListParagraph"/>
        <w:numPr>
          <w:ilvl w:val="1"/>
          <w:numId w:val="1"/>
        </w:numPr>
        <w:spacing w:after="0"/>
        <w:ind w:left="567" w:hanging="567"/>
        <w:rPr>
          <w:rFonts w:ascii="Arial" w:hAnsi="Arial" w:cs="Arial"/>
          <w:sz w:val="28"/>
          <w:szCs w:val="28"/>
        </w:rPr>
      </w:pPr>
      <w:r w:rsidRPr="00302692">
        <w:rPr>
          <w:rFonts w:ascii="Arial" w:hAnsi="Arial" w:cs="Arial"/>
          <w:sz w:val="28"/>
          <w:szCs w:val="28"/>
        </w:rPr>
        <w:t>Secure lifetime and secure flexible tenants of self-contained properties have the right to apply for a mutual exchange with another local authority or registered provider. Introductory, demoted, and other non-secure tenants are not eligible during their probationary period, unless exceptional circumstances are considered by the Housing Review Panel.</w:t>
      </w:r>
    </w:p>
    <w:p w14:paraId="70A1E1D4" w14:textId="77777777" w:rsidR="00302692" w:rsidRPr="00302692" w:rsidRDefault="00302692" w:rsidP="00302692">
      <w:pPr>
        <w:pStyle w:val="ListParagraph"/>
        <w:rPr>
          <w:rFonts w:ascii="Arial" w:hAnsi="Arial" w:cs="Arial"/>
          <w:sz w:val="28"/>
          <w:szCs w:val="28"/>
        </w:rPr>
      </w:pPr>
    </w:p>
    <w:p w14:paraId="1509F39B" w14:textId="7CA5FAA3" w:rsidR="005B120D" w:rsidRPr="00302692" w:rsidRDefault="005B120D" w:rsidP="00302692">
      <w:pPr>
        <w:pStyle w:val="ListParagraph"/>
        <w:numPr>
          <w:ilvl w:val="1"/>
          <w:numId w:val="1"/>
        </w:numPr>
        <w:spacing w:after="0"/>
        <w:ind w:left="567" w:hanging="567"/>
        <w:rPr>
          <w:rFonts w:ascii="Arial" w:hAnsi="Arial" w:cs="Arial"/>
          <w:sz w:val="28"/>
          <w:szCs w:val="28"/>
        </w:rPr>
      </w:pPr>
      <w:r w:rsidRPr="00302692">
        <w:rPr>
          <w:rFonts w:ascii="Arial" w:hAnsi="Arial" w:cs="Arial"/>
          <w:sz w:val="28"/>
          <w:szCs w:val="28"/>
        </w:rPr>
        <w:t>The policy aims to support eligible tenants by providing clear information, encourage mobility to more suitable homes, make best use of housing stock, and ensure that all exchanges are managed fairly, transparently, and within required timescales.</w:t>
      </w:r>
    </w:p>
    <w:p w14:paraId="60C9EC10" w14:textId="77777777" w:rsidR="005B120D" w:rsidRPr="005B120D" w:rsidRDefault="005B120D" w:rsidP="005B120D">
      <w:pPr>
        <w:spacing w:after="0"/>
        <w:rPr>
          <w:rFonts w:ascii="Arial" w:hAnsi="Arial" w:cs="Arial"/>
          <w:sz w:val="28"/>
          <w:szCs w:val="28"/>
        </w:rPr>
      </w:pPr>
    </w:p>
    <w:p w14:paraId="1BD840F7" w14:textId="3AFF0459" w:rsidR="00236900" w:rsidRPr="00D76427" w:rsidRDefault="00DC3EDD" w:rsidP="007522CC">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Hlk164762292"/>
      <w:bookmarkStart w:id="3" w:name="_Toc221176226"/>
      <w:r w:rsidRPr="00D76427">
        <w:rPr>
          <w:rFonts w:ascii="Arial" w:eastAsiaTheme="majorEastAsia" w:hAnsi="Arial" w:cs="Arial"/>
          <w:b/>
          <w:bCs/>
          <w:color w:val="2F5496" w:themeColor="accent1" w:themeShade="BF"/>
          <w:sz w:val="28"/>
          <w:szCs w:val="28"/>
        </w:rPr>
        <w:t>Scope</w:t>
      </w:r>
      <w:bookmarkEnd w:id="2"/>
      <w:bookmarkEnd w:id="3"/>
    </w:p>
    <w:p w14:paraId="6BBC93F4" w14:textId="77777777" w:rsidR="007522CC" w:rsidRPr="00D76427" w:rsidRDefault="007522CC" w:rsidP="007522CC">
      <w:pPr>
        <w:keepNext/>
        <w:keepLines/>
        <w:spacing w:after="0"/>
        <w:ind w:left="360"/>
        <w:outlineLvl w:val="0"/>
        <w:rPr>
          <w:rFonts w:ascii="Arial" w:eastAsiaTheme="majorEastAsia" w:hAnsi="Arial" w:cs="Arial"/>
          <w:b/>
          <w:bCs/>
          <w:color w:val="2F5496" w:themeColor="accent1" w:themeShade="BF"/>
          <w:sz w:val="28"/>
          <w:szCs w:val="28"/>
        </w:rPr>
      </w:pPr>
      <w:bookmarkStart w:id="4" w:name="_Hlk220916472"/>
    </w:p>
    <w:p w14:paraId="36AF5E33" w14:textId="185E2D96" w:rsidR="007522CC" w:rsidRPr="00D76427" w:rsidRDefault="007522CC" w:rsidP="00866512">
      <w:pPr>
        <w:pStyle w:val="ListParagraph"/>
        <w:numPr>
          <w:ilvl w:val="1"/>
          <w:numId w:val="1"/>
        </w:numPr>
        <w:ind w:left="567" w:hanging="567"/>
        <w:rPr>
          <w:rFonts w:ascii="Arial" w:hAnsi="Arial" w:cs="Arial"/>
          <w:sz w:val="28"/>
          <w:szCs w:val="28"/>
        </w:rPr>
      </w:pPr>
      <w:r w:rsidRPr="00D76427">
        <w:rPr>
          <w:rFonts w:ascii="Arial" w:hAnsi="Arial" w:cs="Arial"/>
          <w:sz w:val="28"/>
          <w:szCs w:val="28"/>
        </w:rPr>
        <w:t>This Policy applies to:</w:t>
      </w:r>
    </w:p>
    <w:bookmarkEnd w:id="4"/>
    <w:p w14:paraId="6ECA9689" w14:textId="31DDFC90" w:rsidR="006306A2" w:rsidRPr="00D76427" w:rsidRDefault="006306A2" w:rsidP="006306A2">
      <w:pPr>
        <w:pStyle w:val="ListParagraph"/>
        <w:numPr>
          <w:ilvl w:val="0"/>
          <w:numId w:val="10"/>
        </w:numPr>
        <w:rPr>
          <w:rFonts w:ascii="Arial" w:hAnsi="Arial" w:cs="Arial"/>
          <w:sz w:val="28"/>
          <w:szCs w:val="28"/>
        </w:rPr>
      </w:pPr>
      <w:r w:rsidRPr="00D76427">
        <w:rPr>
          <w:rFonts w:ascii="Arial" w:hAnsi="Arial" w:cs="Arial"/>
          <w:sz w:val="28"/>
          <w:szCs w:val="28"/>
        </w:rPr>
        <w:t>Secure SMBC tenants, who are eligible to participate in a mutual exchange by way of holding social housing tenancies; and</w:t>
      </w:r>
    </w:p>
    <w:p w14:paraId="53AB20E3" w14:textId="025F4381" w:rsidR="00CB5817" w:rsidRPr="00D76427" w:rsidRDefault="006306A2" w:rsidP="00CB5817">
      <w:pPr>
        <w:pStyle w:val="ListParagraph"/>
        <w:numPr>
          <w:ilvl w:val="0"/>
          <w:numId w:val="10"/>
        </w:numPr>
        <w:rPr>
          <w:rFonts w:ascii="Arial" w:hAnsi="Arial" w:cs="Arial"/>
          <w:sz w:val="28"/>
          <w:szCs w:val="28"/>
        </w:rPr>
      </w:pPr>
      <w:r w:rsidRPr="00D76427">
        <w:rPr>
          <w:rFonts w:ascii="Arial" w:hAnsi="Arial" w:cs="Arial"/>
          <w:sz w:val="28"/>
          <w:szCs w:val="28"/>
        </w:rPr>
        <w:t>Secure tenants of other local authorities and assured tenants of registered social housing providers seeking to exchange homes with SMBC tenants.</w:t>
      </w:r>
    </w:p>
    <w:p w14:paraId="649FA4BE" w14:textId="77777777" w:rsidR="00CB5817" w:rsidRPr="00D76427" w:rsidRDefault="00CB5817" w:rsidP="00CB5817">
      <w:pPr>
        <w:pStyle w:val="ListParagraph"/>
        <w:ind w:left="927"/>
        <w:rPr>
          <w:rFonts w:ascii="Arial" w:hAnsi="Arial" w:cs="Arial"/>
          <w:sz w:val="28"/>
          <w:szCs w:val="28"/>
        </w:rPr>
      </w:pPr>
    </w:p>
    <w:p w14:paraId="671974A3" w14:textId="39F42D98" w:rsidR="00CB5817" w:rsidRPr="00D76427" w:rsidRDefault="004B4F24" w:rsidP="004B4F24">
      <w:pPr>
        <w:pStyle w:val="ListParagraph"/>
        <w:numPr>
          <w:ilvl w:val="1"/>
          <w:numId w:val="1"/>
        </w:numPr>
        <w:ind w:left="709" w:hanging="709"/>
        <w:rPr>
          <w:rFonts w:ascii="Arial" w:hAnsi="Arial" w:cs="Arial"/>
          <w:sz w:val="28"/>
          <w:szCs w:val="28"/>
        </w:rPr>
      </w:pPr>
      <w:r w:rsidRPr="00D76427">
        <w:rPr>
          <w:rFonts w:ascii="Arial" w:hAnsi="Arial" w:cs="Arial"/>
          <w:sz w:val="28"/>
          <w:szCs w:val="28"/>
        </w:rPr>
        <w:t>Mutual exchanges involving two or more tenants are also permitted, provided the respective tenants meet the eligibility requirements.</w:t>
      </w:r>
    </w:p>
    <w:p w14:paraId="545AF440" w14:textId="77777777" w:rsidR="004B4F24" w:rsidRPr="00D76427" w:rsidRDefault="004B4F24" w:rsidP="004B4F24">
      <w:pPr>
        <w:pStyle w:val="ListParagraph"/>
        <w:ind w:left="709"/>
        <w:rPr>
          <w:rFonts w:ascii="Arial" w:hAnsi="Arial" w:cs="Arial"/>
          <w:sz w:val="28"/>
          <w:szCs w:val="28"/>
        </w:rPr>
      </w:pPr>
    </w:p>
    <w:p w14:paraId="1FBD4527" w14:textId="688D582C" w:rsidR="004B4F24" w:rsidRDefault="00814273" w:rsidP="004B4F24">
      <w:pPr>
        <w:pStyle w:val="ListParagraph"/>
        <w:numPr>
          <w:ilvl w:val="1"/>
          <w:numId w:val="1"/>
        </w:numPr>
        <w:ind w:left="709" w:hanging="709"/>
        <w:rPr>
          <w:rFonts w:ascii="Arial" w:hAnsi="Arial" w:cs="Arial"/>
          <w:sz w:val="28"/>
          <w:szCs w:val="28"/>
        </w:rPr>
      </w:pPr>
      <w:r w:rsidRPr="00D76427">
        <w:rPr>
          <w:rFonts w:ascii="Arial" w:hAnsi="Arial" w:cs="Arial"/>
          <w:sz w:val="28"/>
          <w:szCs w:val="28"/>
        </w:rPr>
        <w:t>This Policy applies to mutual exchanges carried out by way of tenancy assignment only.</w:t>
      </w:r>
    </w:p>
    <w:p w14:paraId="60E358EC" w14:textId="77777777" w:rsidR="00350FE0" w:rsidRPr="00350FE0" w:rsidRDefault="00350FE0" w:rsidP="00350FE0">
      <w:pPr>
        <w:pStyle w:val="ListParagraph"/>
        <w:rPr>
          <w:rFonts w:ascii="Arial" w:hAnsi="Arial" w:cs="Arial"/>
          <w:sz w:val="28"/>
          <w:szCs w:val="28"/>
        </w:rPr>
      </w:pPr>
    </w:p>
    <w:p w14:paraId="59670979" w14:textId="77777777" w:rsidR="00350FE0" w:rsidRPr="00D76427" w:rsidRDefault="00350FE0" w:rsidP="00350FE0">
      <w:pPr>
        <w:pStyle w:val="ListParagraph"/>
        <w:ind w:left="709"/>
        <w:rPr>
          <w:rFonts w:ascii="Arial" w:hAnsi="Arial" w:cs="Arial"/>
          <w:sz w:val="28"/>
          <w:szCs w:val="28"/>
        </w:rPr>
      </w:pPr>
    </w:p>
    <w:p w14:paraId="5D23F4D1" w14:textId="77777777" w:rsidR="00791DA8" w:rsidRPr="00D76427" w:rsidRDefault="00791DA8" w:rsidP="00791DA8">
      <w:pPr>
        <w:pStyle w:val="ListParagraph"/>
        <w:rPr>
          <w:rFonts w:ascii="Arial" w:hAnsi="Arial" w:cs="Arial"/>
          <w:sz w:val="28"/>
          <w:szCs w:val="28"/>
        </w:rPr>
      </w:pPr>
    </w:p>
    <w:p w14:paraId="371323B7" w14:textId="77777777" w:rsidR="00734540" w:rsidRPr="00D76427" w:rsidRDefault="004C7B6E" w:rsidP="00734540">
      <w:pPr>
        <w:pStyle w:val="ListParagraph"/>
        <w:numPr>
          <w:ilvl w:val="1"/>
          <w:numId w:val="1"/>
        </w:numPr>
        <w:rPr>
          <w:rFonts w:ascii="Arial" w:hAnsi="Arial" w:cs="Arial"/>
          <w:b/>
          <w:bCs/>
          <w:sz w:val="28"/>
          <w:szCs w:val="28"/>
        </w:rPr>
      </w:pPr>
      <w:r w:rsidRPr="00D76427">
        <w:rPr>
          <w:rFonts w:ascii="Arial" w:hAnsi="Arial" w:cs="Arial"/>
          <w:b/>
          <w:bCs/>
          <w:sz w:val="28"/>
          <w:szCs w:val="28"/>
        </w:rPr>
        <w:t>Ineligible tenants</w:t>
      </w:r>
    </w:p>
    <w:p w14:paraId="744DE39E" w14:textId="77777777" w:rsidR="00734540" w:rsidRPr="00D76427" w:rsidRDefault="00734540" w:rsidP="00734540">
      <w:pPr>
        <w:pStyle w:val="ListParagraph"/>
        <w:rPr>
          <w:rFonts w:ascii="Arial" w:hAnsi="Arial" w:cs="Arial"/>
          <w:sz w:val="28"/>
          <w:szCs w:val="28"/>
        </w:rPr>
      </w:pPr>
    </w:p>
    <w:p w14:paraId="0B191AC0" w14:textId="2954D8EF" w:rsidR="00791DA8" w:rsidRPr="00D76427" w:rsidRDefault="004C7B6E" w:rsidP="00734540">
      <w:pPr>
        <w:pStyle w:val="ListParagraph"/>
        <w:rPr>
          <w:rFonts w:ascii="Arial" w:hAnsi="Arial" w:cs="Arial"/>
          <w:sz w:val="28"/>
          <w:szCs w:val="28"/>
        </w:rPr>
      </w:pPr>
      <w:r w:rsidRPr="00D76427">
        <w:rPr>
          <w:rFonts w:ascii="Arial" w:hAnsi="Arial" w:cs="Arial"/>
          <w:sz w:val="28"/>
          <w:szCs w:val="28"/>
        </w:rPr>
        <w:t>This Policy does not apply to:</w:t>
      </w:r>
    </w:p>
    <w:p w14:paraId="0B737973" w14:textId="3237A5F8" w:rsidR="007C36DF" w:rsidRPr="007C36DF" w:rsidRDefault="007C36DF" w:rsidP="007C36DF">
      <w:pPr>
        <w:numPr>
          <w:ilvl w:val="0"/>
          <w:numId w:val="11"/>
        </w:numPr>
        <w:autoSpaceDE w:val="0"/>
        <w:autoSpaceDN w:val="0"/>
        <w:adjustRightInd w:val="0"/>
        <w:spacing w:after="0" w:line="240" w:lineRule="auto"/>
        <w:rPr>
          <w:rFonts w:ascii="Arial" w:eastAsia="Aptos" w:hAnsi="Arial" w:cs="Arial"/>
          <w:color w:val="000000"/>
          <w:sz w:val="28"/>
          <w:szCs w:val="28"/>
          <w14:ligatures w14:val="standardContextual"/>
        </w:rPr>
      </w:pPr>
      <w:r w:rsidRPr="007C36DF">
        <w:rPr>
          <w:rFonts w:ascii="Arial" w:eastAsia="Aptos" w:hAnsi="Arial" w:cs="Arial"/>
          <w:color w:val="000000"/>
          <w:sz w:val="28"/>
          <w:szCs w:val="28"/>
          <w14:ligatures w14:val="standardContextual"/>
        </w:rPr>
        <w:t xml:space="preserve">Tenants with introductory or demoted </w:t>
      </w:r>
      <w:r w:rsidR="00F270BD" w:rsidRPr="007C36DF">
        <w:rPr>
          <w:rFonts w:ascii="Arial" w:eastAsia="Aptos" w:hAnsi="Arial" w:cs="Arial"/>
          <w:color w:val="000000"/>
          <w:sz w:val="28"/>
          <w:szCs w:val="28"/>
          <w14:ligatures w14:val="standardContextual"/>
        </w:rPr>
        <w:t>tenancies.</w:t>
      </w:r>
    </w:p>
    <w:p w14:paraId="6806EBF8" w14:textId="03D40315" w:rsidR="007C36DF" w:rsidRPr="007C36DF" w:rsidRDefault="007C36DF" w:rsidP="007C36DF">
      <w:pPr>
        <w:numPr>
          <w:ilvl w:val="0"/>
          <w:numId w:val="11"/>
        </w:numPr>
        <w:autoSpaceDE w:val="0"/>
        <w:autoSpaceDN w:val="0"/>
        <w:adjustRightInd w:val="0"/>
        <w:spacing w:after="0" w:line="240" w:lineRule="auto"/>
        <w:rPr>
          <w:rFonts w:ascii="Arial" w:eastAsia="Aptos" w:hAnsi="Arial" w:cs="Arial"/>
          <w:color w:val="000000"/>
          <w:sz w:val="28"/>
          <w:szCs w:val="28"/>
          <w14:ligatures w14:val="standardContextual"/>
        </w:rPr>
      </w:pPr>
      <w:r w:rsidRPr="007C36DF">
        <w:rPr>
          <w:rFonts w:ascii="Arial" w:eastAsia="Aptos" w:hAnsi="Arial" w:cs="Arial"/>
          <w:color w:val="000000"/>
          <w:sz w:val="28"/>
          <w:szCs w:val="28"/>
          <w14:ligatures w14:val="standardContextual"/>
        </w:rPr>
        <w:t>Assured Shorthold Tenancies (ASTs</w:t>
      </w:r>
      <w:r w:rsidR="00F270BD" w:rsidRPr="007C36DF">
        <w:rPr>
          <w:rFonts w:ascii="Arial" w:eastAsia="Aptos" w:hAnsi="Arial" w:cs="Arial"/>
          <w:color w:val="000000"/>
          <w:sz w:val="28"/>
          <w:szCs w:val="28"/>
          <w14:ligatures w14:val="standardContextual"/>
        </w:rPr>
        <w:t>).</w:t>
      </w:r>
    </w:p>
    <w:p w14:paraId="6C9775F6" w14:textId="0D267F76" w:rsidR="007C36DF" w:rsidRPr="007C36DF" w:rsidRDefault="007C36DF" w:rsidP="007C36DF">
      <w:pPr>
        <w:numPr>
          <w:ilvl w:val="0"/>
          <w:numId w:val="11"/>
        </w:numPr>
        <w:autoSpaceDE w:val="0"/>
        <w:autoSpaceDN w:val="0"/>
        <w:adjustRightInd w:val="0"/>
        <w:spacing w:after="0" w:line="240" w:lineRule="auto"/>
        <w:rPr>
          <w:rFonts w:ascii="Arial" w:eastAsia="Aptos" w:hAnsi="Arial" w:cs="Arial"/>
          <w:color w:val="000000"/>
          <w:sz w:val="28"/>
          <w:szCs w:val="28"/>
          <w14:ligatures w14:val="standardContextual"/>
        </w:rPr>
      </w:pPr>
      <w:r w:rsidRPr="007C36DF">
        <w:rPr>
          <w:rFonts w:ascii="Arial" w:eastAsia="Aptos" w:hAnsi="Arial" w:cs="Arial"/>
          <w:color w:val="000000"/>
          <w:sz w:val="28"/>
          <w:szCs w:val="28"/>
          <w14:ligatures w14:val="standardContextual"/>
        </w:rPr>
        <w:t xml:space="preserve">Job tied </w:t>
      </w:r>
      <w:r w:rsidR="00F270BD" w:rsidRPr="007C36DF">
        <w:rPr>
          <w:rFonts w:ascii="Arial" w:eastAsia="Aptos" w:hAnsi="Arial" w:cs="Arial"/>
          <w:color w:val="000000"/>
          <w:sz w:val="28"/>
          <w:szCs w:val="28"/>
          <w14:ligatures w14:val="standardContextual"/>
        </w:rPr>
        <w:t>tenancies.</w:t>
      </w:r>
    </w:p>
    <w:p w14:paraId="09955BA7" w14:textId="77777777" w:rsidR="007C36DF" w:rsidRPr="007C36DF" w:rsidRDefault="007C36DF" w:rsidP="007C36DF">
      <w:pPr>
        <w:numPr>
          <w:ilvl w:val="0"/>
          <w:numId w:val="11"/>
        </w:numPr>
        <w:autoSpaceDE w:val="0"/>
        <w:autoSpaceDN w:val="0"/>
        <w:adjustRightInd w:val="0"/>
        <w:spacing w:after="0" w:line="240" w:lineRule="auto"/>
        <w:rPr>
          <w:rFonts w:ascii="Arial" w:eastAsia="Aptos" w:hAnsi="Arial" w:cs="Arial"/>
          <w:color w:val="000000"/>
          <w:sz w:val="28"/>
          <w:szCs w:val="28"/>
          <w14:ligatures w14:val="standardContextual"/>
        </w:rPr>
      </w:pPr>
      <w:r w:rsidRPr="007C36DF">
        <w:rPr>
          <w:rFonts w:ascii="Arial" w:eastAsia="Aptos" w:hAnsi="Arial" w:cs="Arial"/>
          <w:color w:val="000000"/>
          <w:sz w:val="28"/>
          <w:szCs w:val="28"/>
          <w14:ligatures w14:val="standardContextual"/>
        </w:rPr>
        <w:t>Tenants of market or intermediate rent properties, including key worker properties; or</w:t>
      </w:r>
    </w:p>
    <w:p w14:paraId="41E9BDC1" w14:textId="77777777" w:rsidR="007C36DF" w:rsidRPr="007C36DF" w:rsidRDefault="007C36DF" w:rsidP="007C36DF">
      <w:pPr>
        <w:numPr>
          <w:ilvl w:val="0"/>
          <w:numId w:val="11"/>
        </w:numPr>
        <w:autoSpaceDE w:val="0"/>
        <w:autoSpaceDN w:val="0"/>
        <w:adjustRightInd w:val="0"/>
        <w:spacing w:after="0" w:line="240" w:lineRule="auto"/>
        <w:rPr>
          <w:rFonts w:ascii="Arial" w:eastAsia="Aptos" w:hAnsi="Arial" w:cs="Arial"/>
          <w:color w:val="000000"/>
          <w:sz w:val="28"/>
          <w:szCs w:val="28"/>
          <w14:ligatures w14:val="standardContextual"/>
        </w:rPr>
      </w:pPr>
      <w:r w:rsidRPr="007C36DF">
        <w:rPr>
          <w:rFonts w:ascii="Arial" w:eastAsia="Aptos" w:hAnsi="Arial" w:cs="Arial"/>
          <w:color w:val="000000"/>
          <w:sz w:val="28"/>
          <w:szCs w:val="28"/>
          <w14:ligatures w14:val="standardContextual"/>
        </w:rPr>
        <w:t>Licensees, leaseholders, freeholders or shared owners.</w:t>
      </w:r>
    </w:p>
    <w:p w14:paraId="48ACFE9E" w14:textId="77777777" w:rsidR="00734540" w:rsidRPr="00D76427" w:rsidRDefault="00734540" w:rsidP="00734540">
      <w:pPr>
        <w:pStyle w:val="ListParagraph"/>
        <w:rPr>
          <w:rFonts w:ascii="Arial" w:hAnsi="Arial" w:cs="Arial"/>
          <w:b/>
          <w:bCs/>
          <w:sz w:val="28"/>
          <w:szCs w:val="28"/>
        </w:rPr>
      </w:pPr>
    </w:p>
    <w:p w14:paraId="6149BCC0" w14:textId="715FBF6A" w:rsidR="0045700D" w:rsidRPr="00D76427" w:rsidRDefault="009504BE" w:rsidP="009504BE">
      <w:pPr>
        <w:pStyle w:val="ListParagraph"/>
        <w:numPr>
          <w:ilvl w:val="1"/>
          <w:numId w:val="1"/>
        </w:numPr>
        <w:ind w:left="709" w:hanging="709"/>
        <w:rPr>
          <w:rFonts w:ascii="Arial" w:hAnsi="Arial" w:cs="Arial"/>
          <w:sz w:val="28"/>
          <w:szCs w:val="28"/>
        </w:rPr>
      </w:pPr>
      <w:r w:rsidRPr="00D76427">
        <w:rPr>
          <w:rFonts w:ascii="Arial" w:hAnsi="Arial" w:cs="Arial"/>
          <w:sz w:val="28"/>
          <w:szCs w:val="28"/>
        </w:rPr>
        <w:t>Introductory and demoted tenancies are excluded because they do not carry the statutory right to mutual exchange; residents holding these tenancies may become eligible to exchange once they complete their probationary/demotion period.</w:t>
      </w:r>
    </w:p>
    <w:p w14:paraId="7062AB51" w14:textId="77777777" w:rsidR="009504BE" w:rsidRPr="00D76427" w:rsidRDefault="009504BE" w:rsidP="009504BE">
      <w:pPr>
        <w:pStyle w:val="ListParagraph"/>
        <w:ind w:left="709"/>
        <w:rPr>
          <w:rFonts w:ascii="Arial" w:hAnsi="Arial" w:cs="Arial"/>
          <w:sz w:val="28"/>
          <w:szCs w:val="28"/>
        </w:rPr>
      </w:pPr>
    </w:p>
    <w:p w14:paraId="423C965E" w14:textId="372B646B" w:rsidR="00C44155" w:rsidRPr="00D76427" w:rsidRDefault="00866512" w:rsidP="009A3DD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5" w:name="_Toc221176227"/>
      <w:r w:rsidRPr="00D76427">
        <w:rPr>
          <w:rFonts w:ascii="Arial" w:eastAsiaTheme="majorEastAsia" w:hAnsi="Arial" w:cs="Arial"/>
          <w:b/>
          <w:bCs/>
          <w:color w:val="2F5496" w:themeColor="accent1" w:themeShade="BF"/>
          <w:sz w:val="28"/>
          <w:szCs w:val="28"/>
        </w:rPr>
        <w:t xml:space="preserve">What is </w:t>
      </w:r>
      <w:r w:rsidR="00B63289" w:rsidRPr="00D76427">
        <w:rPr>
          <w:rFonts w:ascii="Arial" w:eastAsiaTheme="majorEastAsia" w:hAnsi="Arial" w:cs="Arial"/>
          <w:b/>
          <w:bCs/>
          <w:color w:val="2F5496" w:themeColor="accent1" w:themeShade="BF"/>
          <w:sz w:val="28"/>
          <w:szCs w:val="28"/>
        </w:rPr>
        <w:t>Mutual Exchange</w:t>
      </w:r>
      <w:r w:rsidRPr="00D76427">
        <w:rPr>
          <w:rFonts w:ascii="Arial" w:eastAsiaTheme="majorEastAsia" w:hAnsi="Arial" w:cs="Arial"/>
          <w:b/>
          <w:bCs/>
          <w:color w:val="2F5496" w:themeColor="accent1" w:themeShade="BF"/>
          <w:sz w:val="28"/>
          <w:szCs w:val="28"/>
        </w:rPr>
        <w:t xml:space="preserve"> to Sandwell Council?</w:t>
      </w:r>
      <w:bookmarkStart w:id="6" w:name="_Hlk164766688"/>
      <w:bookmarkEnd w:id="5"/>
    </w:p>
    <w:p w14:paraId="357C25C1" w14:textId="77777777" w:rsidR="009A3DDA" w:rsidRPr="00D76427" w:rsidRDefault="009A3DDA" w:rsidP="009A3DDA">
      <w:pPr>
        <w:keepNext/>
        <w:keepLines/>
        <w:spacing w:after="0"/>
        <w:ind w:left="360"/>
        <w:outlineLvl w:val="0"/>
        <w:rPr>
          <w:rFonts w:ascii="Arial" w:eastAsiaTheme="majorEastAsia" w:hAnsi="Arial" w:cs="Arial"/>
          <w:b/>
          <w:bCs/>
          <w:color w:val="2F5496" w:themeColor="accent1" w:themeShade="BF"/>
          <w:sz w:val="28"/>
          <w:szCs w:val="28"/>
        </w:rPr>
      </w:pPr>
    </w:p>
    <w:p w14:paraId="241EFEF0" w14:textId="77777777" w:rsidR="009A3DDA" w:rsidRPr="00D76427" w:rsidRDefault="00461B91" w:rsidP="003D2B21">
      <w:pPr>
        <w:pStyle w:val="ListParagraph"/>
        <w:numPr>
          <w:ilvl w:val="1"/>
          <w:numId w:val="1"/>
        </w:numPr>
        <w:ind w:left="567" w:hanging="567"/>
        <w:rPr>
          <w:rFonts w:ascii="Arial" w:hAnsi="Arial" w:cs="Arial"/>
          <w:sz w:val="28"/>
          <w:szCs w:val="28"/>
        </w:rPr>
      </w:pPr>
      <w:r w:rsidRPr="00D76427">
        <w:rPr>
          <w:rFonts w:ascii="Arial" w:hAnsi="Arial" w:cs="Arial"/>
          <w:sz w:val="28"/>
          <w:szCs w:val="28"/>
        </w:rPr>
        <w:t xml:space="preserve">A mutual exchange is an arrangement where two or more secure or assured tenants agree to exchange their homes, subject to the Council’s written consent. Prior to the exchange taking place, the Council will inspect each property and advise the incoming tenant of its condition, including any alterations or improvements carried out by the outgoing tenant. </w:t>
      </w:r>
    </w:p>
    <w:p w14:paraId="5426F3E2" w14:textId="77777777" w:rsidR="009A3DDA" w:rsidRPr="00D76427" w:rsidRDefault="009A3DDA" w:rsidP="009A3DDA">
      <w:pPr>
        <w:pStyle w:val="ListParagraph"/>
        <w:rPr>
          <w:rFonts w:ascii="Arial" w:hAnsi="Arial" w:cs="Arial"/>
          <w:sz w:val="28"/>
          <w:szCs w:val="28"/>
        </w:rPr>
      </w:pPr>
    </w:p>
    <w:p w14:paraId="4F9FD89E" w14:textId="1909BD71" w:rsidR="00FC6209" w:rsidRPr="00D76427" w:rsidRDefault="00461B91" w:rsidP="00FC6209">
      <w:pPr>
        <w:pStyle w:val="ListParagraph"/>
        <w:numPr>
          <w:ilvl w:val="1"/>
          <w:numId w:val="1"/>
        </w:numPr>
        <w:ind w:left="567" w:hanging="567"/>
        <w:rPr>
          <w:rFonts w:ascii="Arial" w:hAnsi="Arial" w:cs="Arial"/>
          <w:sz w:val="28"/>
          <w:szCs w:val="28"/>
        </w:rPr>
      </w:pPr>
      <w:r w:rsidRPr="00D76427">
        <w:rPr>
          <w:rFonts w:ascii="Arial" w:hAnsi="Arial" w:cs="Arial"/>
          <w:sz w:val="28"/>
          <w:szCs w:val="28"/>
        </w:rPr>
        <w:t>By proceeding with the exchange, the incoming tenant accepts the property in its existing condition and assumes responsibility for any non-standard fixtures, fittings, or alterations.</w:t>
      </w:r>
      <w:bookmarkEnd w:id="6"/>
    </w:p>
    <w:p w14:paraId="240630B6" w14:textId="77777777" w:rsidR="00FC6209" w:rsidRPr="00D76427" w:rsidRDefault="00FC6209" w:rsidP="00FC6209">
      <w:pPr>
        <w:pStyle w:val="ListParagraph"/>
        <w:rPr>
          <w:rFonts w:ascii="Arial" w:hAnsi="Arial" w:cs="Arial"/>
          <w:sz w:val="28"/>
          <w:szCs w:val="28"/>
        </w:rPr>
      </w:pPr>
    </w:p>
    <w:p w14:paraId="17B2FB92" w14:textId="12CE18F8" w:rsidR="00574EA2" w:rsidRPr="00D76427"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7" w:name="_Toc221176228"/>
      <w:bookmarkStart w:id="8" w:name="_Hlk164766672"/>
      <w:r w:rsidRPr="00D76427">
        <w:rPr>
          <w:rFonts w:ascii="Arial" w:eastAsiaTheme="majorEastAsia" w:hAnsi="Arial" w:cs="Arial"/>
          <w:b/>
          <w:bCs/>
          <w:color w:val="2F5496" w:themeColor="accent1" w:themeShade="BF"/>
          <w:sz w:val="28"/>
          <w:szCs w:val="28"/>
        </w:rPr>
        <w:t>Policy Statement</w:t>
      </w:r>
      <w:bookmarkEnd w:id="7"/>
      <w:r w:rsidRPr="00D76427">
        <w:rPr>
          <w:rFonts w:ascii="Arial" w:eastAsiaTheme="majorEastAsia" w:hAnsi="Arial" w:cs="Arial"/>
          <w:b/>
          <w:bCs/>
          <w:color w:val="2F5496" w:themeColor="accent1" w:themeShade="BF"/>
          <w:sz w:val="28"/>
          <w:szCs w:val="28"/>
        </w:rPr>
        <w:t xml:space="preserve"> </w:t>
      </w:r>
    </w:p>
    <w:p w14:paraId="1689D92E" w14:textId="77777777" w:rsidR="00574EA2" w:rsidRPr="00D76427" w:rsidRDefault="00574EA2" w:rsidP="00574EA2">
      <w:pPr>
        <w:keepNext/>
        <w:keepLines/>
        <w:spacing w:after="0"/>
        <w:outlineLvl w:val="0"/>
        <w:rPr>
          <w:rFonts w:ascii="Arial" w:eastAsiaTheme="majorEastAsia" w:hAnsi="Arial" w:cs="Arial"/>
          <w:b/>
          <w:bCs/>
          <w:color w:val="2F5496" w:themeColor="accent1" w:themeShade="BF"/>
          <w:sz w:val="28"/>
          <w:szCs w:val="28"/>
        </w:rPr>
      </w:pPr>
    </w:p>
    <w:bookmarkEnd w:id="8"/>
    <w:p w14:paraId="4225FE2E" w14:textId="4BA2F03E" w:rsidR="00574EA2" w:rsidRPr="003B0E5D" w:rsidRDefault="003B0E5D" w:rsidP="00756491">
      <w:pPr>
        <w:pStyle w:val="ListParagraph"/>
        <w:numPr>
          <w:ilvl w:val="1"/>
          <w:numId w:val="1"/>
        </w:numPr>
        <w:spacing w:after="0"/>
        <w:ind w:left="567" w:hanging="567"/>
        <w:rPr>
          <w:rFonts w:ascii="Arial" w:hAnsi="Arial" w:cs="Arial"/>
          <w:b/>
          <w:bCs/>
          <w:sz w:val="28"/>
          <w:szCs w:val="28"/>
        </w:rPr>
      </w:pPr>
      <w:r w:rsidRPr="003B0E5D">
        <w:rPr>
          <w:rFonts w:ascii="Arial" w:hAnsi="Arial" w:cs="Arial"/>
          <w:b/>
          <w:bCs/>
          <w:sz w:val="28"/>
          <w:szCs w:val="28"/>
        </w:rPr>
        <w:t>Property Type</w:t>
      </w:r>
    </w:p>
    <w:p w14:paraId="7BB8AD24" w14:textId="77777777" w:rsidR="003B0E5D" w:rsidRDefault="003B0E5D" w:rsidP="00756491">
      <w:pPr>
        <w:pStyle w:val="ListParagraph"/>
        <w:spacing w:after="0"/>
        <w:ind w:left="567"/>
        <w:rPr>
          <w:rFonts w:ascii="Arial" w:hAnsi="Arial" w:cs="Arial"/>
          <w:sz w:val="28"/>
          <w:szCs w:val="28"/>
        </w:rPr>
      </w:pPr>
    </w:p>
    <w:p w14:paraId="3C5631A4" w14:textId="631B610C" w:rsidR="00892D79" w:rsidRDefault="00892D79" w:rsidP="00756491">
      <w:pPr>
        <w:pStyle w:val="ListParagraph"/>
        <w:spacing w:after="0"/>
        <w:ind w:left="567"/>
        <w:rPr>
          <w:rFonts w:ascii="Arial" w:hAnsi="Arial" w:cs="Arial"/>
          <w:sz w:val="28"/>
          <w:szCs w:val="28"/>
        </w:rPr>
      </w:pPr>
      <w:r w:rsidRPr="00892D79">
        <w:rPr>
          <w:rFonts w:ascii="Arial" w:hAnsi="Arial" w:cs="Arial"/>
          <w:sz w:val="28"/>
          <w:szCs w:val="28"/>
        </w:rPr>
        <w:t>S</w:t>
      </w:r>
      <w:r>
        <w:rPr>
          <w:rFonts w:ascii="Arial" w:hAnsi="Arial" w:cs="Arial"/>
          <w:sz w:val="28"/>
          <w:szCs w:val="28"/>
        </w:rPr>
        <w:t>andwell Council</w:t>
      </w:r>
      <w:r w:rsidRPr="00892D79">
        <w:rPr>
          <w:rFonts w:ascii="Arial" w:hAnsi="Arial" w:cs="Arial"/>
          <w:sz w:val="28"/>
          <w:szCs w:val="28"/>
        </w:rPr>
        <w:t xml:space="preserve"> aims to ensure that its housing stock is used effectively so that homes are suitable for the size and needs of each household. When considering a mutual exchange, the Council will assess whether the property size is appropriate, particularly in terms of the number of bedrooms required, in line with its Allocation Policy.</w:t>
      </w:r>
    </w:p>
    <w:p w14:paraId="0766C0C8" w14:textId="77777777" w:rsidR="00892D79" w:rsidRPr="00892D79" w:rsidRDefault="00892D79" w:rsidP="00756491">
      <w:pPr>
        <w:pStyle w:val="ListParagraph"/>
        <w:spacing w:after="0"/>
        <w:ind w:left="567"/>
        <w:rPr>
          <w:rFonts w:ascii="Arial" w:hAnsi="Arial" w:cs="Arial"/>
          <w:sz w:val="28"/>
          <w:szCs w:val="28"/>
        </w:rPr>
      </w:pPr>
    </w:p>
    <w:p w14:paraId="51BB3911" w14:textId="77777777" w:rsidR="00892D79" w:rsidRPr="00892D79" w:rsidRDefault="00892D79" w:rsidP="00756491">
      <w:pPr>
        <w:pStyle w:val="ListParagraph"/>
        <w:spacing w:after="0"/>
        <w:ind w:left="567"/>
        <w:rPr>
          <w:rFonts w:ascii="Arial" w:hAnsi="Arial" w:cs="Arial"/>
          <w:sz w:val="28"/>
          <w:szCs w:val="28"/>
        </w:rPr>
      </w:pPr>
      <w:r w:rsidRPr="00892D79">
        <w:rPr>
          <w:rFonts w:ascii="Arial" w:hAnsi="Arial" w:cs="Arial"/>
          <w:sz w:val="28"/>
          <w:szCs w:val="28"/>
        </w:rPr>
        <w:t>In most cases, exchanges will only be approved where both households are moving into properties that meet their bedroom needs. However, in exceptional circumstances, the Council may allow a small degree of under-occupation where this would improve the circumstances of one or both tenants. Exchanges will not be approved if they would result in statutory overcrowding.</w:t>
      </w:r>
    </w:p>
    <w:p w14:paraId="212F59AB" w14:textId="77777777" w:rsidR="00892D79" w:rsidRDefault="00892D79" w:rsidP="004E6761">
      <w:pPr>
        <w:pStyle w:val="ListParagraph"/>
        <w:ind w:left="567"/>
        <w:rPr>
          <w:rFonts w:ascii="Arial" w:hAnsi="Arial" w:cs="Arial"/>
          <w:sz w:val="28"/>
          <w:szCs w:val="28"/>
        </w:rPr>
      </w:pPr>
    </w:p>
    <w:p w14:paraId="1D4FE70F" w14:textId="4F528470" w:rsidR="004E6761" w:rsidRPr="00892D79" w:rsidRDefault="0077155E" w:rsidP="00892D79">
      <w:pPr>
        <w:pStyle w:val="ListParagraph"/>
        <w:numPr>
          <w:ilvl w:val="1"/>
          <w:numId w:val="1"/>
        </w:numPr>
        <w:ind w:left="567" w:hanging="567"/>
        <w:rPr>
          <w:rFonts w:ascii="Arial" w:hAnsi="Arial" w:cs="Arial"/>
          <w:b/>
          <w:bCs/>
          <w:sz w:val="28"/>
          <w:szCs w:val="28"/>
        </w:rPr>
      </w:pPr>
      <w:bookmarkStart w:id="9" w:name="_Hlk220936483"/>
      <w:r w:rsidRPr="00892D79">
        <w:rPr>
          <w:rFonts w:ascii="Arial" w:hAnsi="Arial" w:cs="Arial"/>
          <w:b/>
          <w:bCs/>
          <w:sz w:val="28"/>
          <w:szCs w:val="28"/>
        </w:rPr>
        <w:t>Types of Exchange</w:t>
      </w:r>
    </w:p>
    <w:bookmarkEnd w:id="9"/>
    <w:p w14:paraId="0C1174FE" w14:textId="77777777" w:rsidR="0077155E" w:rsidRDefault="0077155E" w:rsidP="0077155E">
      <w:pPr>
        <w:pStyle w:val="ListParagraph"/>
        <w:ind w:left="567"/>
        <w:rPr>
          <w:rFonts w:ascii="Arial" w:hAnsi="Arial" w:cs="Arial"/>
          <w:sz w:val="28"/>
          <w:szCs w:val="28"/>
        </w:rPr>
      </w:pPr>
    </w:p>
    <w:p w14:paraId="2F8021CB" w14:textId="2FCA8951" w:rsidR="00892D79" w:rsidRPr="00892D79" w:rsidRDefault="00892D79" w:rsidP="00892D79">
      <w:pPr>
        <w:pStyle w:val="ListParagraph"/>
        <w:ind w:left="567"/>
        <w:rPr>
          <w:rFonts w:ascii="Arial" w:hAnsi="Arial" w:cs="Arial"/>
          <w:sz w:val="28"/>
          <w:szCs w:val="28"/>
        </w:rPr>
      </w:pPr>
      <w:r w:rsidRPr="00892D79">
        <w:rPr>
          <w:rFonts w:ascii="Arial" w:hAnsi="Arial" w:cs="Arial"/>
          <w:sz w:val="28"/>
          <w:szCs w:val="28"/>
        </w:rPr>
        <w:t xml:space="preserve">Mutual exchanges can take place in two ways, depending on the type of tenancy held by each tenant: </w:t>
      </w:r>
      <w:r w:rsidRPr="00892D79">
        <w:rPr>
          <w:rFonts w:ascii="Arial" w:hAnsi="Arial" w:cs="Arial"/>
          <w:b/>
          <w:bCs/>
          <w:sz w:val="28"/>
          <w:szCs w:val="28"/>
        </w:rPr>
        <w:t>assignment</w:t>
      </w:r>
      <w:r w:rsidRPr="00892D79">
        <w:rPr>
          <w:rFonts w:ascii="Arial" w:hAnsi="Arial" w:cs="Arial"/>
          <w:sz w:val="28"/>
          <w:szCs w:val="28"/>
        </w:rPr>
        <w:t xml:space="preserve"> or </w:t>
      </w:r>
      <w:r w:rsidRPr="00892D79">
        <w:rPr>
          <w:rFonts w:ascii="Arial" w:hAnsi="Arial" w:cs="Arial"/>
          <w:b/>
          <w:bCs/>
          <w:sz w:val="28"/>
          <w:szCs w:val="28"/>
        </w:rPr>
        <w:t>surrender and re-grant</w:t>
      </w:r>
      <w:r w:rsidRPr="00892D79">
        <w:rPr>
          <w:rFonts w:ascii="Arial" w:hAnsi="Arial" w:cs="Arial"/>
          <w:sz w:val="28"/>
          <w:szCs w:val="28"/>
        </w:rPr>
        <w:t>.</w:t>
      </w:r>
    </w:p>
    <w:p w14:paraId="3AE65510" w14:textId="77777777" w:rsidR="00892D79" w:rsidRDefault="00892D79" w:rsidP="00892D79">
      <w:pPr>
        <w:pStyle w:val="ListParagraph"/>
        <w:ind w:left="567"/>
        <w:rPr>
          <w:rFonts w:ascii="Arial" w:hAnsi="Arial" w:cs="Arial"/>
          <w:sz w:val="28"/>
          <w:szCs w:val="28"/>
        </w:rPr>
      </w:pPr>
      <w:r w:rsidRPr="00892D79">
        <w:rPr>
          <w:rFonts w:ascii="Arial" w:hAnsi="Arial" w:cs="Arial"/>
          <w:sz w:val="28"/>
          <w:szCs w:val="28"/>
        </w:rPr>
        <w:t>If a tenancy has previously been inherited (succession) or assigned from a family member, this status stays with the tenant after the exchange.</w:t>
      </w:r>
    </w:p>
    <w:p w14:paraId="68B1B5DA" w14:textId="77777777" w:rsidR="00892D79" w:rsidRPr="00892D79" w:rsidRDefault="00892D79" w:rsidP="00892D79">
      <w:pPr>
        <w:pStyle w:val="ListParagraph"/>
        <w:ind w:left="567"/>
        <w:rPr>
          <w:rFonts w:ascii="Arial" w:hAnsi="Arial" w:cs="Arial"/>
          <w:sz w:val="28"/>
          <w:szCs w:val="28"/>
        </w:rPr>
      </w:pPr>
    </w:p>
    <w:p w14:paraId="6D8E464D" w14:textId="0D135A9F" w:rsidR="0077155E" w:rsidRDefault="00892D79" w:rsidP="00892D79">
      <w:pPr>
        <w:pStyle w:val="ListParagraph"/>
        <w:ind w:left="567"/>
        <w:rPr>
          <w:rFonts w:ascii="Arial" w:hAnsi="Arial" w:cs="Arial"/>
          <w:sz w:val="28"/>
          <w:szCs w:val="28"/>
        </w:rPr>
      </w:pPr>
      <w:r w:rsidRPr="00892D79">
        <w:rPr>
          <w:rFonts w:ascii="Arial" w:hAnsi="Arial" w:cs="Arial"/>
          <w:sz w:val="28"/>
          <w:szCs w:val="28"/>
        </w:rPr>
        <w:t>Tenants should be aware that they will usually only retain their current level of tenancy security once. Any future exchanges may result in different tenancy terms, particularly where tenancies were created after April 2012.</w:t>
      </w:r>
    </w:p>
    <w:p w14:paraId="178FC4C2" w14:textId="77777777" w:rsidR="00892D79" w:rsidRPr="00892D79" w:rsidRDefault="00892D79" w:rsidP="00892D79">
      <w:pPr>
        <w:pStyle w:val="ListParagraph"/>
        <w:ind w:left="567"/>
        <w:rPr>
          <w:rFonts w:ascii="Arial" w:hAnsi="Arial" w:cs="Arial"/>
          <w:sz w:val="28"/>
          <w:szCs w:val="28"/>
        </w:rPr>
      </w:pPr>
    </w:p>
    <w:p w14:paraId="272CBCFC" w14:textId="19A489C9" w:rsidR="00163200" w:rsidRDefault="00163200" w:rsidP="00892D79">
      <w:pPr>
        <w:pStyle w:val="ListParagraph"/>
        <w:numPr>
          <w:ilvl w:val="1"/>
          <w:numId w:val="1"/>
        </w:numPr>
        <w:ind w:left="567" w:hanging="567"/>
        <w:rPr>
          <w:rFonts w:ascii="Arial" w:hAnsi="Arial" w:cs="Arial"/>
          <w:b/>
          <w:bCs/>
          <w:sz w:val="28"/>
          <w:szCs w:val="28"/>
        </w:rPr>
      </w:pPr>
      <w:r w:rsidRPr="0077155E">
        <w:rPr>
          <w:rFonts w:ascii="Arial" w:hAnsi="Arial" w:cs="Arial"/>
          <w:b/>
          <w:bCs/>
          <w:sz w:val="28"/>
          <w:szCs w:val="28"/>
        </w:rPr>
        <w:t>T</w:t>
      </w:r>
      <w:r w:rsidR="0037607D">
        <w:rPr>
          <w:rFonts w:ascii="Arial" w:hAnsi="Arial" w:cs="Arial"/>
          <w:b/>
          <w:bCs/>
          <w:sz w:val="28"/>
          <w:szCs w:val="28"/>
        </w:rPr>
        <w:t>hrough Assignment</w:t>
      </w:r>
    </w:p>
    <w:p w14:paraId="0BD7BB53" w14:textId="77777777" w:rsidR="00892D79" w:rsidRDefault="00892D79" w:rsidP="00892D79">
      <w:pPr>
        <w:pStyle w:val="ListParagraph"/>
        <w:ind w:left="567"/>
        <w:rPr>
          <w:rFonts w:ascii="Arial" w:hAnsi="Arial" w:cs="Arial"/>
          <w:b/>
          <w:bCs/>
          <w:sz w:val="28"/>
          <w:szCs w:val="28"/>
        </w:rPr>
      </w:pPr>
    </w:p>
    <w:p w14:paraId="101EA0F1" w14:textId="54DB5689" w:rsidR="0037607D" w:rsidRPr="00132F44" w:rsidRDefault="00892D79" w:rsidP="00892D79">
      <w:pPr>
        <w:pStyle w:val="ListParagraph"/>
        <w:ind w:left="567"/>
        <w:rPr>
          <w:rFonts w:ascii="Arial" w:hAnsi="Arial" w:cs="Arial"/>
          <w:sz w:val="28"/>
          <w:szCs w:val="28"/>
        </w:rPr>
      </w:pPr>
      <w:r w:rsidRPr="00892D79">
        <w:rPr>
          <w:rFonts w:ascii="Arial" w:hAnsi="Arial" w:cs="Arial"/>
          <w:sz w:val="28"/>
          <w:szCs w:val="28"/>
        </w:rPr>
        <w:t>An assignment is where tenants swap properties by transferring their tenancies to each other. Each tenant takes on the rights and responsibilities of the other. The tenancy continues as it is, and no new agreement is created, although both parties must sign a legal document to confirm the exchange.</w:t>
      </w:r>
    </w:p>
    <w:p w14:paraId="7A4C6E4B" w14:textId="77777777" w:rsidR="0037607D" w:rsidRDefault="0037607D" w:rsidP="0037607D">
      <w:pPr>
        <w:pStyle w:val="ListParagraph"/>
        <w:ind w:left="0"/>
        <w:rPr>
          <w:rFonts w:ascii="Arial" w:hAnsi="Arial" w:cs="Arial"/>
          <w:b/>
          <w:bCs/>
          <w:sz w:val="28"/>
          <w:szCs w:val="28"/>
        </w:rPr>
      </w:pPr>
    </w:p>
    <w:p w14:paraId="58402626" w14:textId="23706990" w:rsidR="00163200" w:rsidRDefault="007E672A" w:rsidP="00892D79">
      <w:pPr>
        <w:pStyle w:val="ListParagraph"/>
        <w:numPr>
          <w:ilvl w:val="1"/>
          <w:numId w:val="1"/>
        </w:numPr>
        <w:ind w:left="567" w:hanging="567"/>
        <w:rPr>
          <w:rFonts w:ascii="Arial" w:hAnsi="Arial" w:cs="Arial"/>
          <w:b/>
          <w:bCs/>
          <w:sz w:val="28"/>
          <w:szCs w:val="28"/>
        </w:rPr>
      </w:pPr>
      <w:bookmarkStart w:id="10" w:name="_Hlk220936970"/>
      <w:r>
        <w:rPr>
          <w:rFonts w:ascii="Arial" w:hAnsi="Arial" w:cs="Arial"/>
          <w:b/>
          <w:bCs/>
          <w:sz w:val="28"/>
          <w:szCs w:val="28"/>
        </w:rPr>
        <w:t>Through Surrender and Re-Grant</w:t>
      </w:r>
    </w:p>
    <w:p w14:paraId="46BE1295" w14:textId="77777777" w:rsidR="00892D79" w:rsidRDefault="00892D79" w:rsidP="00892D79">
      <w:pPr>
        <w:pStyle w:val="ListParagraph"/>
        <w:ind w:left="567"/>
        <w:rPr>
          <w:rFonts w:ascii="Arial" w:hAnsi="Arial" w:cs="Arial"/>
          <w:b/>
          <w:bCs/>
          <w:sz w:val="28"/>
          <w:szCs w:val="28"/>
        </w:rPr>
      </w:pPr>
    </w:p>
    <w:bookmarkEnd w:id="10"/>
    <w:p w14:paraId="78C1ABD2" w14:textId="39CA75AF" w:rsidR="00163200" w:rsidRDefault="00892D79" w:rsidP="00892D79">
      <w:pPr>
        <w:pStyle w:val="ListParagraph"/>
        <w:ind w:left="567"/>
        <w:rPr>
          <w:rFonts w:ascii="Arial" w:hAnsi="Arial" w:cs="Arial"/>
          <w:sz w:val="28"/>
          <w:szCs w:val="28"/>
        </w:rPr>
      </w:pPr>
      <w:r w:rsidRPr="00892D79">
        <w:rPr>
          <w:rFonts w:ascii="Arial" w:hAnsi="Arial" w:cs="Arial"/>
          <w:sz w:val="28"/>
          <w:szCs w:val="28"/>
        </w:rPr>
        <w:t>In some cases, particularly where tenants have different types of tenancy, the exchange is completed by ending the existing tenancies and issuing new ones. This ensures that both tenants move into their new homes with a similar level of tenancy security.</w:t>
      </w:r>
    </w:p>
    <w:p w14:paraId="4E9E5CFF" w14:textId="77777777" w:rsidR="00350FE0" w:rsidRDefault="00350FE0" w:rsidP="00892D79">
      <w:pPr>
        <w:pStyle w:val="ListParagraph"/>
        <w:ind w:left="567"/>
        <w:rPr>
          <w:rFonts w:ascii="Arial" w:hAnsi="Arial" w:cs="Arial"/>
          <w:sz w:val="28"/>
          <w:szCs w:val="28"/>
        </w:rPr>
      </w:pPr>
    </w:p>
    <w:p w14:paraId="58683056" w14:textId="77777777" w:rsidR="00350FE0" w:rsidRDefault="00350FE0" w:rsidP="00892D79">
      <w:pPr>
        <w:pStyle w:val="ListParagraph"/>
        <w:ind w:left="567"/>
        <w:rPr>
          <w:rFonts w:ascii="Arial" w:hAnsi="Arial" w:cs="Arial"/>
          <w:sz w:val="28"/>
          <w:szCs w:val="28"/>
        </w:rPr>
      </w:pPr>
    </w:p>
    <w:p w14:paraId="6E0DE9C2" w14:textId="77777777" w:rsidR="00350FE0" w:rsidRDefault="00350FE0" w:rsidP="00892D79">
      <w:pPr>
        <w:pStyle w:val="ListParagraph"/>
        <w:ind w:left="567"/>
        <w:rPr>
          <w:rFonts w:ascii="Arial" w:hAnsi="Arial" w:cs="Arial"/>
          <w:sz w:val="28"/>
          <w:szCs w:val="28"/>
        </w:rPr>
      </w:pPr>
    </w:p>
    <w:p w14:paraId="5EDAEEA8" w14:textId="77777777" w:rsidR="00892D79" w:rsidRPr="00892D79" w:rsidRDefault="00892D79" w:rsidP="00892D79">
      <w:pPr>
        <w:pStyle w:val="ListParagraph"/>
        <w:ind w:left="567"/>
        <w:rPr>
          <w:rFonts w:ascii="Arial" w:hAnsi="Arial" w:cs="Arial"/>
          <w:sz w:val="28"/>
          <w:szCs w:val="28"/>
        </w:rPr>
      </w:pPr>
    </w:p>
    <w:p w14:paraId="1EA02F49" w14:textId="6C3DD6F7" w:rsidR="00892D79" w:rsidRDefault="00745F2F" w:rsidP="00756491">
      <w:pPr>
        <w:pStyle w:val="ListParagraph"/>
        <w:numPr>
          <w:ilvl w:val="1"/>
          <w:numId w:val="1"/>
        </w:numPr>
        <w:spacing w:after="0" w:line="240" w:lineRule="auto"/>
        <w:ind w:left="567" w:hanging="709"/>
        <w:rPr>
          <w:rFonts w:ascii="Arial" w:hAnsi="Arial" w:cs="Arial"/>
          <w:b/>
          <w:bCs/>
          <w:sz w:val="28"/>
          <w:szCs w:val="28"/>
        </w:rPr>
      </w:pPr>
      <w:bookmarkStart w:id="11" w:name="_Hlk220937074"/>
      <w:r>
        <w:rPr>
          <w:rFonts w:ascii="Arial" w:hAnsi="Arial" w:cs="Arial"/>
          <w:b/>
          <w:bCs/>
          <w:sz w:val="28"/>
          <w:szCs w:val="28"/>
        </w:rPr>
        <w:lastRenderedPageBreak/>
        <w:t>Application Process</w:t>
      </w:r>
      <w:bookmarkEnd w:id="11"/>
    </w:p>
    <w:p w14:paraId="34E8D020" w14:textId="77777777" w:rsidR="00892D79" w:rsidRPr="00892D79" w:rsidRDefault="00892D79" w:rsidP="00756491">
      <w:pPr>
        <w:pStyle w:val="ListParagraph"/>
        <w:spacing w:after="0" w:line="240" w:lineRule="auto"/>
        <w:ind w:left="567"/>
        <w:rPr>
          <w:rFonts w:ascii="Arial" w:hAnsi="Arial" w:cs="Arial"/>
          <w:b/>
          <w:bCs/>
          <w:sz w:val="28"/>
          <w:szCs w:val="28"/>
        </w:rPr>
      </w:pPr>
    </w:p>
    <w:p w14:paraId="46F18865" w14:textId="246EEB9A" w:rsidR="00892D79" w:rsidRDefault="00892D79" w:rsidP="00756491">
      <w:pPr>
        <w:pStyle w:val="ListParagraph"/>
        <w:spacing w:after="0" w:line="240" w:lineRule="auto"/>
        <w:ind w:left="567"/>
        <w:rPr>
          <w:rFonts w:ascii="Arial" w:hAnsi="Arial" w:cs="Arial"/>
          <w:sz w:val="28"/>
          <w:szCs w:val="28"/>
        </w:rPr>
      </w:pPr>
      <w:r w:rsidRPr="00892D79">
        <w:rPr>
          <w:rFonts w:ascii="Arial" w:hAnsi="Arial" w:cs="Arial"/>
          <w:sz w:val="28"/>
          <w:szCs w:val="28"/>
        </w:rPr>
        <w:t>Tenants are responsible for finding a suitable exchange partner. S</w:t>
      </w:r>
      <w:r>
        <w:rPr>
          <w:rFonts w:ascii="Arial" w:hAnsi="Arial" w:cs="Arial"/>
          <w:sz w:val="28"/>
          <w:szCs w:val="28"/>
        </w:rPr>
        <w:t>andwell Council</w:t>
      </w:r>
      <w:r w:rsidRPr="00892D79">
        <w:rPr>
          <w:rFonts w:ascii="Arial" w:hAnsi="Arial" w:cs="Arial"/>
          <w:sz w:val="28"/>
          <w:szCs w:val="28"/>
        </w:rPr>
        <w:t xml:space="preserve"> provides access to a national mutual exchange service (</w:t>
      </w:r>
      <w:proofErr w:type="spellStart"/>
      <w:r>
        <w:fldChar w:fldCharType="begin"/>
      </w:r>
      <w:r>
        <w:instrText>HYPERLINK "https://www.homeswapper.co.uk/"</w:instrText>
      </w:r>
      <w:r>
        <w:fldChar w:fldCharType="separate"/>
      </w:r>
      <w:r w:rsidRPr="000D0449">
        <w:rPr>
          <w:rStyle w:val="Hyperlink"/>
          <w:rFonts w:ascii="Arial" w:hAnsi="Arial" w:cs="Arial"/>
          <w:sz w:val="28"/>
          <w:szCs w:val="28"/>
        </w:rPr>
        <w:t>HomeSwapper</w:t>
      </w:r>
      <w:proofErr w:type="spellEnd"/>
      <w:r>
        <w:fldChar w:fldCharType="end"/>
      </w:r>
      <w:r w:rsidRPr="00892D79">
        <w:rPr>
          <w:rFonts w:ascii="Arial" w:hAnsi="Arial" w:cs="Arial"/>
          <w:sz w:val="28"/>
          <w:szCs w:val="28"/>
        </w:rPr>
        <w:t>), which tenants can use free of charge.</w:t>
      </w:r>
    </w:p>
    <w:p w14:paraId="4DD266B2" w14:textId="77777777" w:rsidR="00892D79" w:rsidRPr="00892D79" w:rsidRDefault="00892D79" w:rsidP="00756491">
      <w:pPr>
        <w:pStyle w:val="ListParagraph"/>
        <w:spacing w:line="240" w:lineRule="auto"/>
        <w:ind w:left="567"/>
        <w:rPr>
          <w:rFonts w:ascii="Arial" w:hAnsi="Arial" w:cs="Arial"/>
          <w:sz w:val="28"/>
          <w:szCs w:val="28"/>
        </w:rPr>
      </w:pPr>
    </w:p>
    <w:p w14:paraId="66CC47B2" w14:textId="4AABFC43" w:rsidR="00551388" w:rsidRPr="00D56CF0" w:rsidRDefault="00892D79" w:rsidP="00756491">
      <w:pPr>
        <w:pStyle w:val="ListParagraph"/>
        <w:spacing w:line="240" w:lineRule="auto"/>
        <w:ind w:left="567"/>
        <w:rPr>
          <w:rFonts w:ascii="Arial" w:hAnsi="Arial" w:cs="Arial"/>
          <w:sz w:val="28"/>
          <w:szCs w:val="28"/>
        </w:rPr>
      </w:pPr>
      <w:r w:rsidRPr="00892D79">
        <w:rPr>
          <w:rFonts w:ascii="Arial" w:hAnsi="Arial" w:cs="Arial"/>
          <w:sz w:val="28"/>
          <w:szCs w:val="28"/>
        </w:rPr>
        <w:t xml:space="preserve">Tenants may also find exchange partners through other methods, such as local advertising, social media, or other exchange websites. </w:t>
      </w:r>
      <w:r w:rsidRPr="00350FE0">
        <w:rPr>
          <w:rFonts w:ascii="Arial" w:hAnsi="Arial" w:cs="Arial"/>
          <w:sz w:val="28"/>
          <w:szCs w:val="28"/>
        </w:rPr>
        <w:t>Exchanges are not limited to two households and may involve multiple parties.</w:t>
      </w:r>
    </w:p>
    <w:p w14:paraId="006B516F" w14:textId="77777777" w:rsidR="00265EA8" w:rsidRDefault="00265EA8" w:rsidP="0077155E">
      <w:pPr>
        <w:pStyle w:val="ListParagraph"/>
        <w:ind w:left="567"/>
        <w:rPr>
          <w:rFonts w:ascii="Arial" w:hAnsi="Arial" w:cs="Arial"/>
          <w:sz w:val="28"/>
          <w:szCs w:val="28"/>
        </w:rPr>
      </w:pPr>
    </w:p>
    <w:p w14:paraId="16CA0F35" w14:textId="77777777" w:rsidR="00756491" w:rsidRDefault="00E64852" w:rsidP="00756491">
      <w:pPr>
        <w:pStyle w:val="ListParagraph"/>
        <w:numPr>
          <w:ilvl w:val="1"/>
          <w:numId w:val="1"/>
        </w:numPr>
        <w:ind w:left="567" w:hanging="709"/>
        <w:rPr>
          <w:rFonts w:ascii="Arial" w:hAnsi="Arial" w:cs="Arial"/>
          <w:b/>
          <w:bCs/>
          <w:sz w:val="28"/>
          <w:szCs w:val="28"/>
        </w:rPr>
      </w:pPr>
      <w:bookmarkStart w:id="12" w:name="_Hlk220937149"/>
      <w:r>
        <w:rPr>
          <w:rFonts w:ascii="Arial" w:hAnsi="Arial" w:cs="Arial"/>
          <w:b/>
          <w:bCs/>
          <w:sz w:val="28"/>
          <w:szCs w:val="28"/>
        </w:rPr>
        <w:t xml:space="preserve">Submitting an </w:t>
      </w:r>
      <w:proofErr w:type="gramStart"/>
      <w:r>
        <w:rPr>
          <w:rFonts w:ascii="Arial" w:hAnsi="Arial" w:cs="Arial"/>
          <w:b/>
          <w:bCs/>
          <w:sz w:val="28"/>
          <w:szCs w:val="28"/>
        </w:rPr>
        <w:t>Application</w:t>
      </w:r>
      <w:bookmarkEnd w:id="12"/>
      <w:proofErr w:type="gramEnd"/>
    </w:p>
    <w:p w14:paraId="4437D86D" w14:textId="77777777" w:rsidR="00756491" w:rsidRDefault="00756491" w:rsidP="00756491">
      <w:pPr>
        <w:pStyle w:val="ListParagraph"/>
        <w:ind w:left="567"/>
        <w:rPr>
          <w:rFonts w:ascii="Arial" w:hAnsi="Arial" w:cs="Arial"/>
          <w:b/>
          <w:bCs/>
          <w:sz w:val="28"/>
          <w:szCs w:val="28"/>
        </w:rPr>
      </w:pPr>
    </w:p>
    <w:p w14:paraId="36715563" w14:textId="60B6145B" w:rsidR="00D56CF0" w:rsidRPr="00756491" w:rsidRDefault="00D56CF0" w:rsidP="00756491">
      <w:pPr>
        <w:pStyle w:val="ListParagraph"/>
        <w:ind w:left="567"/>
        <w:rPr>
          <w:rFonts w:ascii="Arial" w:hAnsi="Arial" w:cs="Arial"/>
          <w:b/>
          <w:bCs/>
          <w:sz w:val="28"/>
          <w:szCs w:val="28"/>
        </w:rPr>
      </w:pPr>
      <w:r w:rsidRPr="00756491">
        <w:rPr>
          <w:rFonts w:ascii="Arial" w:eastAsia="Aptos" w:hAnsi="Arial" w:cs="Arial"/>
          <w:color w:val="000000"/>
          <w:sz w:val="28"/>
          <w:szCs w:val="28"/>
          <w14:ligatures w14:val="standardContextual"/>
        </w:rPr>
        <w:t>Each tenant involved in the exchange must complete and submit their own application form and provide the required information and supporting documents. All joint tenants must agree to and sign the application.</w:t>
      </w:r>
    </w:p>
    <w:p w14:paraId="34E5900E" w14:textId="77777777" w:rsidR="00D56CF0" w:rsidRPr="00D56CF0" w:rsidRDefault="00D56CF0" w:rsidP="00756491">
      <w:pPr>
        <w:autoSpaceDE w:val="0"/>
        <w:autoSpaceDN w:val="0"/>
        <w:adjustRightInd w:val="0"/>
        <w:spacing w:after="0" w:line="240" w:lineRule="auto"/>
        <w:ind w:left="567"/>
        <w:rPr>
          <w:rFonts w:ascii="Arial" w:eastAsia="Aptos" w:hAnsi="Arial" w:cs="Arial"/>
          <w:color w:val="000000"/>
          <w:sz w:val="28"/>
          <w:szCs w:val="28"/>
          <w14:ligatures w14:val="standardContextual"/>
        </w:rPr>
      </w:pPr>
      <w:r w:rsidRPr="00D56CF0">
        <w:rPr>
          <w:rFonts w:ascii="Arial" w:eastAsia="Aptos" w:hAnsi="Arial" w:cs="Arial"/>
          <w:color w:val="000000"/>
          <w:sz w:val="28"/>
          <w:szCs w:val="28"/>
          <w14:ligatures w14:val="standardContextual"/>
        </w:rPr>
        <w:t>Applications will only be progressed once all required information has been received. Delays in providing documents may delay the overall decision.</w:t>
      </w:r>
    </w:p>
    <w:p w14:paraId="6BF91B46" w14:textId="65D441CD" w:rsidR="005A2B54" w:rsidRPr="005A2B54" w:rsidRDefault="005A2B54" w:rsidP="00D56CF0">
      <w:pPr>
        <w:autoSpaceDE w:val="0"/>
        <w:autoSpaceDN w:val="0"/>
        <w:adjustRightInd w:val="0"/>
        <w:spacing w:after="0" w:line="240" w:lineRule="auto"/>
        <w:ind w:left="720" w:hanging="720"/>
        <w:rPr>
          <w:rFonts w:ascii="Arial" w:eastAsia="Aptos" w:hAnsi="Arial" w:cs="Arial"/>
          <w:color w:val="000000"/>
          <w:sz w:val="28"/>
          <w:szCs w:val="28"/>
          <w14:ligatures w14:val="standardContextual"/>
        </w:rPr>
      </w:pPr>
    </w:p>
    <w:p w14:paraId="7739D52D" w14:textId="77777777" w:rsidR="00E64852" w:rsidRDefault="00E64852" w:rsidP="00E64852">
      <w:pPr>
        <w:pStyle w:val="ListParagraph"/>
        <w:rPr>
          <w:rFonts w:ascii="Arial" w:hAnsi="Arial" w:cs="Arial"/>
          <w:sz w:val="28"/>
          <w:szCs w:val="28"/>
        </w:rPr>
      </w:pPr>
    </w:p>
    <w:p w14:paraId="22CCA0F7" w14:textId="57A037F7" w:rsidR="00F27B40" w:rsidRDefault="00F27B40" w:rsidP="00756491">
      <w:pPr>
        <w:pStyle w:val="ListParagraph"/>
        <w:numPr>
          <w:ilvl w:val="1"/>
          <w:numId w:val="1"/>
        </w:numPr>
        <w:ind w:left="567" w:hanging="709"/>
        <w:rPr>
          <w:rFonts w:ascii="Arial" w:hAnsi="Arial" w:cs="Arial"/>
          <w:b/>
          <w:bCs/>
          <w:sz w:val="28"/>
          <w:szCs w:val="28"/>
        </w:rPr>
      </w:pPr>
      <w:r>
        <w:rPr>
          <w:rFonts w:ascii="Arial" w:hAnsi="Arial" w:cs="Arial"/>
          <w:b/>
          <w:bCs/>
          <w:sz w:val="28"/>
          <w:szCs w:val="28"/>
        </w:rPr>
        <w:t>Assessment</w:t>
      </w:r>
    </w:p>
    <w:p w14:paraId="0DD19F9D" w14:textId="77777777" w:rsidR="00756491" w:rsidRDefault="00756491" w:rsidP="00756491">
      <w:pPr>
        <w:pStyle w:val="ListParagraph"/>
        <w:ind w:left="567" w:hanging="709"/>
        <w:rPr>
          <w:rFonts w:ascii="Arial" w:hAnsi="Arial" w:cs="Arial"/>
          <w:sz w:val="28"/>
          <w:szCs w:val="28"/>
        </w:rPr>
      </w:pPr>
    </w:p>
    <w:p w14:paraId="599DED6C" w14:textId="77777777" w:rsidR="00BD07EA" w:rsidRPr="00BD07EA" w:rsidRDefault="00BD07EA" w:rsidP="00BD07EA">
      <w:pPr>
        <w:pStyle w:val="ListParagraph"/>
        <w:ind w:left="567"/>
        <w:rPr>
          <w:rFonts w:ascii="Arial" w:hAnsi="Arial" w:cs="Arial"/>
          <w:sz w:val="28"/>
          <w:szCs w:val="28"/>
        </w:rPr>
      </w:pPr>
      <w:r w:rsidRPr="00BD07EA">
        <w:rPr>
          <w:rFonts w:ascii="Arial" w:hAnsi="Arial" w:cs="Arial"/>
          <w:sz w:val="28"/>
          <w:szCs w:val="28"/>
        </w:rPr>
        <w:t>Once all applications have been received, the Council will undertake an assessment. This will include a review of tenancy conduct, rent accounts, and any previous tenancy-related issues.</w:t>
      </w:r>
    </w:p>
    <w:p w14:paraId="55E4FECA" w14:textId="77777777" w:rsidR="00BD07EA" w:rsidRDefault="00BD07EA" w:rsidP="00BD07EA">
      <w:pPr>
        <w:pStyle w:val="ListParagraph"/>
        <w:ind w:left="567"/>
        <w:rPr>
          <w:rFonts w:ascii="Arial" w:hAnsi="Arial" w:cs="Arial"/>
          <w:sz w:val="28"/>
          <w:szCs w:val="28"/>
        </w:rPr>
      </w:pPr>
    </w:p>
    <w:p w14:paraId="1AAA3BED" w14:textId="379E7B17" w:rsidR="00BD07EA" w:rsidRPr="00BD07EA" w:rsidRDefault="00BD07EA" w:rsidP="00BD07EA">
      <w:pPr>
        <w:pStyle w:val="ListParagraph"/>
        <w:ind w:left="567"/>
        <w:rPr>
          <w:rFonts w:ascii="Arial" w:hAnsi="Arial" w:cs="Arial"/>
          <w:sz w:val="28"/>
          <w:szCs w:val="28"/>
        </w:rPr>
      </w:pPr>
      <w:r w:rsidRPr="00BD07EA">
        <w:rPr>
          <w:rFonts w:ascii="Arial" w:hAnsi="Arial" w:cs="Arial"/>
          <w:sz w:val="28"/>
          <w:szCs w:val="28"/>
        </w:rPr>
        <w:t>Each property will also be inspected to determine its condition. As part of this process, the Council will identify any required repairs, damage, or unauthorised alterations. Tenants may be asked to complete necessary works before the exchange can proceed, or the incoming tenant may agree to take responsibility for these.</w:t>
      </w:r>
    </w:p>
    <w:p w14:paraId="65938BE2" w14:textId="77777777" w:rsidR="00BD07EA" w:rsidRDefault="00BD07EA" w:rsidP="00BD07EA">
      <w:pPr>
        <w:pStyle w:val="ListParagraph"/>
        <w:ind w:left="567"/>
        <w:rPr>
          <w:rFonts w:ascii="Arial" w:hAnsi="Arial" w:cs="Arial"/>
          <w:sz w:val="28"/>
          <w:szCs w:val="28"/>
        </w:rPr>
      </w:pPr>
    </w:p>
    <w:p w14:paraId="0FC9C599" w14:textId="4D0F78A1" w:rsidR="00BD07EA" w:rsidRPr="00BD07EA" w:rsidRDefault="00BD07EA" w:rsidP="00BD07EA">
      <w:pPr>
        <w:pStyle w:val="ListParagraph"/>
        <w:ind w:left="567"/>
        <w:rPr>
          <w:rFonts w:ascii="Arial" w:hAnsi="Arial" w:cs="Arial"/>
          <w:sz w:val="28"/>
          <w:szCs w:val="28"/>
        </w:rPr>
      </w:pPr>
      <w:r w:rsidRPr="00BD07EA">
        <w:rPr>
          <w:rFonts w:ascii="Arial" w:hAnsi="Arial" w:cs="Arial"/>
          <w:sz w:val="28"/>
          <w:szCs w:val="28"/>
        </w:rPr>
        <w:t>Applications may be refused where there are significant repair issues, health and safety risks, or serious breaches of tenancy conditions.</w:t>
      </w:r>
    </w:p>
    <w:p w14:paraId="4EBEE23B" w14:textId="77777777" w:rsidR="00BD07EA" w:rsidRDefault="00BD07EA" w:rsidP="00BD07EA">
      <w:pPr>
        <w:pStyle w:val="ListParagraph"/>
        <w:ind w:left="567"/>
        <w:rPr>
          <w:rFonts w:ascii="Arial" w:hAnsi="Arial" w:cs="Arial"/>
          <w:sz w:val="28"/>
          <w:szCs w:val="28"/>
        </w:rPr>
      </w:pPr>
    </w:p>
    <w:p w14:paraId="4AAE3188" w14:textId="686A3D4F" w:rsidR="00BD07EA" w:rsidRPr="00BD07EA" w:rsidRDefault="00BD07EA" w:rsidP="00BD07EA">
      <w:pPr>
        <w:pStyle w:val="ListParagraph"/>
        <w:ind w:left="567"/>
        <w:rPr>
          <w:rFonts w:ascii="Arial" w:hAnsi="Arial" w:cs="Arial"/>
          <w:sz w:val="28"/>
          <w:szCs w:val="28"/>
        </w:rPr>
      </w:pPr>
      <w:r w:rsidRPr="00BD07EA">
        <w:rPr>
          <w:rFonts w:ascii="Arial" w:hAnsi="Arial" w:cs="Arial"/>
          <w:sz w:val="28"/>
          <w:szCs w:val="28"/>
        </w:rPr>
        <w:t xml:space="preserve">All required compliance checks and inspections must be completed, and the property must be fully compliant before </w:t>
      </w:r>
      <w:r w:rsidRPr="00BD07EA">
        <w:rPr>
          <w:rFonts w:ascii="Arial" w:hAnsi="Arial" w:cs="Arial"/>
          <w:sz w:val="28"/>
          <w:szCs w:val="28"/>
        </w:rPr>
        <w:lastRenderedPageBreak/>
        <w:t>approval is granted. Where the dwelling is located within a Higher Risk Building (HRB), all relevant building safety information, surveys, and inspections must also be in place, and the building must be fully compliant.</w:t>
      </w:r>
    </w:p>
    <w:p w14:paraId="0F9FFB03" w14:textId="77777777" w:rsidR="007B0733" w:rsidRPr="007B0733" w:rsidRDefault="007B0733" w:rsidP="007B0733">
      <w:pPr>
        <w:autoSpaceDE w:val="0"/>
        <w:autoSpaceDN w:val="0"/>
        <w:adjustRightInd w:val="0"/>
        <w:spacing w:after="0" w:line="240" w:lineRule="auto"/>
        <w:rPr>
          <w:rFonts w:ascii="Arial" w:eastAsia="Aptos" w:hAnsi="Arial" w:cs="Arial"/>
          <w:color w:val="000000"/>
          <w:sz w:val="28"/>
          <w:szCs w:val="28"/>
          <w14:ligatures w14:val="standardContextual"/>
        </w:rPr>
      </w:pPr>
    </w:p>
    <w:p w14:paraId="35F0F5EA" w14:textId="7CD72C05" w:rsidR="009401BB" w:rsidRDefault="009401BB" w:rsidP="00756491">
      <w:pPr>
        <w:pStyle w:val="ListParagraph"/>
        <w:numPr>
          <w:ilvl w:val="1"/>
          <w:numId w:val="1"/>
        </w:numPr>
        <w:ind w:left="426" w:hanging="568"/>
        <w:rPr>
          <w:rFonts w:ascii="Arial" w:hAnsi="Arial" w:cs="Arial"/>
          <w:b/>
          <w:bCs/>
          <w:sz w:val="28"/>
          <w:szCs w:val="28"/>
        </w:rPr>
      </w:pPr>
      <w:r>
        <w:rPr>
          <w:rFonts w:ascii="Arial" w:hAnsi="Arial" w:cs="Arial"/>
          <w:b/>
          <w:bCs/>
          <w:sz w:val="28"/>
          <w:szCs w:val="28"/>
        </w:rPr>
        <w:t>References</w:t>
      </w:r>
    </w:p>
    <w:p w14:paraId="110C8DB0" w14:textId="77777777" w:rsidR="00756491" w:rsidRDefault="00756491" w:rsidP="00756491">
      <w:pPr>
        <w:pStyle w:val="ListParagraph"/>
        <w:ind w:left="426"/>
        <w:rPr>
          <w:rFonts w:ascii="Arial" w:hAnsi="Arial" w:cs="Arial"/>
          <w:b/>
          <w:bCs/>
          <w:sz w:val="28"/>
          <w:szCs w:val="28"/>
        </w:rPr>
      </w:pPr>
    </w:p>
    <w:p w14:paraId="2F1950A2" w14:textId="7B7E2C5C" w:rsidR="009401BB" w:rsidRDefault="0079471D" w:rsidP="00D87494">
      <w:pPr>
        <w:pStyle w:val="ListParagraph"/>
        <w:ind w:left="567"/>
        <w:rPr>
          <w:rFonts w:ascii="Arial" w:hAnsi="Arial" w:cs="Arial"/>
          <w:sz w:val="28"/>
          <w:szCs w:val="28"/>
        </w:rPr>
      </w:pPr>
      <w:r w:rsidRPr="0079471D">
        <w:rPr>
          <w:rFonts w:ascii="Arial" w:hAnsi="Arial" w:cs="Arial"/>
          <w:sz w:val="28"/>
          <w:szCs w:val="28"/>
        </w:rPr>
        <w:t>When the exchange is between an SMBC tenant and a non-SMBC tenant, all landlords involved will exchange references for the outgoing and incoming tenants. In providing the reference, SMBC will disclose any tenancy breaches by the outgoing tenant, including:</w:t>
      </w:r>
    </w:p>
    <w:p w14:paraId="06DCF598" w14:textId="77777777" w:rsidR="0011223F" w:rsidRPr="000958EA" w:rsidRDefault="0011223F" w:rsidP="000958EA">
      <w:pPr>
        <w:pStyle w:val="ListParagraph"/>
        <w:numPr>
          <w:ilvl w:val="0"/>
          <w:numId w:val="21"/>
        </w:numPr>
        <w:tabs>
          <w:tab w:val="left" w:pos="851"/>
        </w:tabs>
        <w:ind w:left="567" w:firstLine="0"/>
        <w:rPr>
          <w:rFonts w:ascii="Arial" w:hAnsi="Arial" w:cs="Arial"/>
          <w:sz w:val="28"/>
          <w:szCs w:val="28"/>
        </w:rPr>
      </w:pPr>
      <w:r w:rsidRPr="000958EA">
        <w:rPr>
          <w:rFonts w:ascii="Arial" w:hAnsi="Arial" w:cs="Arial"/>
          <w:sz w:val="28"/>
          <w:szCs w:val="28"/>
        </w:rPr>
        <w:t>Tenancy management issues</w:t>
      </w:r>
    </w:p>
    <w:p w14:paraId="65C674B9" w14:textId="77777777" w:rsidR="0011223F" w:rsidRPr="000958EA" w:rsidRDefault="0011223F" w:rsidP="000958EA">
      <w:pPr>
        <w:pStyle w:val="ListParagraph"/>
        <w:numPr>
          <w:ilvl w:val="0"/>
          <w:numId w:val="21"/>
        </w:numPr>
        <w:tabs>
          <w:tab w:val="left" w:pos="851"/>
        </w:tabs>
        <w:ind w:left="567" w:firstLine="0"/>
        <w:rPr>
          <w:rFonts w:ascii="Arial" w:hAnsi="Arial" w:cs="Arial"/>
          <w:sz w:val="28"/>
          <w:szCs w:val="28"/>
        </w:rPr>
      </w:pPr>
      <w:r w:rsidRPr="000958EA">
        <w:rPr>
          <w:rFonts w:ascii="Arial" w:hAnsi="Arial" w:cs="Arial"/>
          <w:sz w:val="28"/>
          <w:szCs w:val="28"/>
        </w:rPr>
        <w:t>Complaints related to anti-social behaviour (ASB) and tenancy violations</w:t>
      </w:r>
    </w:p>
    <w:p w14:paraId="0978D95E" w14:textId="77777777" w:rsidR="0011223F" w:rsidRPr="000958EA" w:rsidRDefault="0011223F" w:rsidP="000958EA">
      <w:pPr>
        <w:pStyle w:val="ListParagraph"/>
        <w:numPr>
          <w:ilvl w:val="0"/>
          <w:numId w:val="21"/>
        </w:numPr>
        <w:tabs>
          <w:tab w:val="left" w:pos="851"/>
        </w:tabs>
        <w:ind w:left="567" w:firstLine="0"/>
        <w:rPr>
          <w:rFonts w:ascii="Arial" w:hAnsi="Arial" w:cs="Arial"/>
          <w:sz w:val="28"/>
          <w:szCs w:val="28"/>
        </w:rPr>
      </w:pPr>
      <w:r w:rsidRPr="000958EA">
        <w:rPr>
          <w:rFonts w:ascii="Arial" w:hAnsi="Arial" w:cs="Arial"/>
          <w:sz w:val="28"/>
          <w:szCs w:val="28"/>
        </w:rPr>
        <w:t>Known criminal activity linked to the property or neighbourhood</w:t>
      </w:r>
    </w:p>
    <w:p w14:paraId="7C379DCC" w14:textId="77777777" w:rsidR="0011223F" w:rsidRPr="000958EA" w:rsidRDefault="0011223F" w:rsidP="000958EA">
      <w:pPr>
        <w:pStyle w:val="ListParagraph"/>
        <w:numPr>
          <w:ilvl w:val="0"/>
          <w:numId w:val="21"/>
        </w:numPr>
        <w:tabs>
          <w:tab w:val="left" w:pos="851"/>
        </w:tabs>
        <w:ind w:left="567" w:firstLine="0"/>
        <w:rPr>
          <w:rFonts w:ascii="Arial" w:hAnsi="Arial" w:cs="Arial"/>
          <w:sz w:val="28"/>
          <w:szCs w:val="28"/>
        </w:rPr>
      </w:pPr>
      <w:r w:rsidRPr="000958EA">
        <w:rPr>
          <w:rFonts w:ascii="Arial" w:hAnsi="Arial" w:cs="Arial"/>
          <w:sz w:val="28"/>
          <w:szCs w:val="28"/>
        </w:rPr>
        <w:t>Any child protection concerns</w:t>
      </w:r>
    </w:p>
    <w:p w14:paraId="50CBC271" w14:textId="6426CC7D" w:rsidR="0011223F" w:rsidRPr="007A11F5" w:rsidRDefault="0011223F" w:rsidP="007A11F5">
      <w:pPr>
        <w:pStyle w:val="ListParagraph"/>
        <w:numPr>
          <w:ilvl w:val="0"/>
          <w:numId w:val="21"/>
        </w:numPr>
        <w:tabs>
          <w:tab w:val="left" w:pos="851"/>
        </w:tabs>
        <w:ind w:left="567" w:firstLine="0"/>
        <w:rPr>
          <w:rFonts w:ascii="Arial" w:hAnsi="Arial" w:cs="Arial"/>
          <w:sz w:val="28"/>
          <w:szCs w:val="28"/>
        </w:rPr>
      </w:pPr>
      <w:r w:rsidRPr="000958EA">
        <w:rPr>
          <w:rFonts w:ascii="Arial" w:hAnsi="Arial" w:cs="Arial"/>
          <w:sz w:val="28"/>
          <w:szCs w:val="28"/>
        </w:rPr>
        <w:t>Details of any previous succession</w:t>
      </w:r>
    </w:p>
    <w:p w14:paraId="65177189" w14:textId="77777777" w:rsidR="000958EA" w:rsidRPr="0011223F" w:rsidRDefault="000958EA" w:rsidP="0011223F">
      <w:pPr>
        <w:pStyle w:val="ListParagraph"/>
        <w:rPr>
          <w:rFonts w:ascii="Arial" w:hAnsi="Arial" w:cs="Arial"/>
          <w:sz w:val="28"/>
          <w:szCs w:val="28"/>
        </w:rPr>
      </w:pPr>
    </w:p>
    <w:p w14:paraId="056143E3" w14:textId="2A3E1FFA" w:rsidR="001D0F3B" w:rsidRDefault="001D0F3B" w:rsidP="001D0F3B">
      <w:pPr>
        <w:pStyle w:val="ListParagraph"/>
        <w:numPr>
          <w:ilvl w:val="1"/>
          <w:numId w:val="1"/>
        </w:numPr>
        <w:rPr>
          <w:rFonts w:ascii="Arial" w:hAnsi="Arial" w:cs="Arial"/>
          <w:b/>
          <w:bCs/>
          <w:sz w:val="28"/>
          <w:szCs w:val="28"/>
        </w:rPr>
      </w:pPr>
      <w:r>
        <w:rPr>
          <w:rFonts w:ascii="Arial" w:hAnsi="Arial" w:cs="Arial"/>
          <w:b/>
          <w:bCs/>
          <w:sz w:val="28"/>
          <w:szCs w:val="28"/>
        </w:rPr>
        <w:t>Decisions</w:t>
      </w:r>
    </w:p>
    <w:p w14:paraId="01EB6051" w14:textId="77777777" w:rsidR="00B97746" w:rsidRDefault="00B97746" w:rsidP="00B97746">
      <w:pPr>
        <w:pStyle w:val="ListParagraph"/>
        <w:rPr>
          <w:rFonts w:ascii="Arial" w:hAnsi="Arial" w:cs="Arial"/>
          <w:sz w:val="28"/>
          <w:szCs w:val="28"/>
        </w:rPr>
      </w:pPr>
    </w:p>
    <w:p w14:paraId="230E14E4" w14:textId="5DB489C6" w:rsidR="0040406E" w:rsidRPr="0040406E" w:rsidRDefault="0040406E" w:rsidP="0040406E">
      <w:pPr>
        <w:pStyle w:val="ListParagraph"/>
        <w:rPr>
          <w:rFonts w:ascii="Arial" w:hAnsi="Arial" w:cs="Arial"/>
          <w:sz w:val="28"/>
          <w:szCs w:val="28"/>
        </w:rPr>
      </w:pPr>
      <w:r w:rsidRPr="0040406E">
        <w:rPr>
          <w:rFonts w:ascii="Arial" w:hAnsi="Arial" w:cs="Arial"/>
          <w:sz w:val="28"/>
          <w:szCs w:val="28"/>
        </w:rPr>
        <w:t>The Council aims to provide a written decision within 42 days of receiving fully completed applications from all parties.</w:t>
      </w:r>
    </w:p>
    <w:p w14:paraId="479CD3BB" w14:textId="77777777" w:rsidR="0040406E" w:rsidRPr="00067B98" w:rsidRDefault="0040406E" w:rsidP="00B97746">
      <w:pPr>
        <w:pStyle w:val="ListParagraph"/>
        <w:rPr>
          <w:rFonts w:ascii="Arial" w:hAnsi="Arial" w:cs="Arial"/>
          <w:sz w:val="28"/>
          <w:szCs w:val="28"/>
        </w:rPr>
      </w:pPr>
    </w:p>
    <w:p w14:paraId="3DDAA4C5" w14:textId="51C0437E" w:rsidR="00B97746" w:rsidRPr="00067B98" w:rsidRDefault="00B97746" w:rsidP="00B97746">
      <w:pPr>
        <w:pStyle w:val="ListParagraph"/>
        <w:rPr>
          <w:rFonts w:ascii="Arial" w:hAnsi="Arial" w:cs="Arial"/>
          <w:sz w:val="28"/>
          <w:szCs w:val="28"/>
        </w:rPr>
      </w:pPr>
      <w:r w:rsidRPr="00067B98">
        <w:rPr>
          <w:rFonts w:ascii="Arial" w:hAnsi="Arial" w:cs="Arial"/>
          <w:sz w:val="28"/>
          <w:szCs w:val="28"/>
        </w:rPr>
        <w:t>After all required inspections, checks, and landlord references have been completed, the SMBC will review the application and determine whether it should be approved or denied.</w:t>
      </w:r>
    </w:p>
    <w:p w14:paraId="07EFECE5" w14:textId="77777777" w:rsidR="00B97746" w:rsidRPr="00067B98" w:rsidRDefault="00B97746" w:rsidP="00B97746">
      <w:pPr>
        <w:pStyle w:val="ListParagraph"/>
        <w:rPr>
          <w:rFonts w:ascii="Arial" w:hAnsi="Arial" w:cs="Arial"/>
          <w:sz w:val="28"/>
          <w:szCs w:val="28"/>
        </w:rPr>
      </w:pPr>
    </w:p>
    <w:p w14:paraId="640AED56" w14:textId="0B2932D6" w:rsidR="00B97746" w:rsidRPr="00067B98" w:rsidRDefault="00B97746" w:rsidP="00067B98">
      <w:pPr>
        <w:pStyle w:val="ListParagraph"/>
        <w:rPr>
          <w:rFonts w:ascii="Arial" w:hAnsi="Arial" w:cs="Arial"/>
          <w:sz w:val="28"/>
          <w:szCs w:val="28"/>
        </w:rPr>
      </w:pPr>
      <w:r w:rsidRPr="00067B98">
        <w:rPr>
          <w:rFonts w:ascii="Arial" w:hAnsi="Arial" w:cs="Arial"/>
          <w:sz w:val="28"/>
          <w:szCs w:val="28"/>
        </w:rPr>
        <w:t>SMBC’s written decision will outline one of the following outcomes based on the Officer’s assessment:</w:t>
      </w:r>
    </w:p>
    <w:p w14:paraId="123FF76D" w14:textId="26D6584B" w:rsidR="00B97746" w:rsidRPr="00067B98" w:rsidRDefault="00B97746" w:rsidP="00067B98">
      <w:pPr>
        <w:pStyle w:val="ListParagraph"/>
        <w:numPr>
          <w:ilvl w:val="0"/>
          <w:numId w:val="23"/>
        </w:numPr>
        <w:rPr>
          <w:rFonts w:ascii="Arial" w:hAnsi="Arial" w:cs="Arial"/>
          <w:sz w:val="28"/>
          <w:szCs w:val="28"/>
        </w:rPr>
      </w:pPr>
      <w:r w:rsidRPr="00067B98">
        <w:rPr>
          <w:rFonts w:ascii="Arial" w:hAnsi="Arial" w:cs="Arial"/>
          <w:sz w:val="28"/>
          <w:szCs w:val="28"/>
        </w:rPr>
        <w:t>Approval</w:t>
      </w:r>
    </w:p>
    <w:p w14:paraId="3B03DBC0" w14:textId="50537D68" w:rsidR="00B97746" w:rsidRPr="00067B98" w:rsidRDefault="00B97746" w:rsidP="00067B98">
      <w:pPr>
        <w:pStyle w:val="ListParagraph"/>
        <w:numPr>
          <w:ilvl w:val="0"/>
          <w:numId w:val="23"/>
        </w:numPr>
        <w:rPr>
          <w:rFonts w:ascii="Arial" w:hAnsi="Arial" w:cs="Arial"/>
          <w:sz w:val="28"/>
          <w:szCs w:val="28"/>
        </w:rPr>
      </w:pPr>
      <w:r w:rsidRPr="00067B98">
        <w:rPr>
          <w:rFonts w:ascii="Arial" w:hAnsi="Arial" w:cs="Arial"/>
          <w:sz w:val="28"/>
          <w:szCs w:val="28"/>
        </w:rPr>
        <w:t>Approval with conditions</w:t>
      </w:r>
    </w:p>
    <w:p w14:paraId="55873453" w14:textId="7848DB6A" w:rsidR="001D0F3B" w:rsidRDefault="00B97746" w:rsidP="007A11F5">
      <w:pPr>
        <w:pStyle w:val="ListParagraph"/>
        <w:numPr>
          <w:ilvl w:val="0"/>
          <w:numId w:val="23"/>
        </w:numPr>
        <w:rPr>
          <w:rFonts w:ascii="Arial" w:hAnsi="Arial" w:cs="Arial"/>
          <w:sz w:val="28"/>
          <w:szCs w:val="28"/>
        </w:rPr>
      </w:pPr>
      <w:r w:rsidRPr="00067B98">
        <w:rPr>
          <w:rFonts w:ascii="Arial" w:hAnsi="Arial" w:cs="Arial"/>
          <w:sz w:val="28"/>
          <w:szCs w:val="28"/>
        </w:rPr>
        <w:t>Refusal</w:t>
      </w:r>
    </w:p>
    <w:p w14:paraId="5F8AD40D" w14:textId="77777777" w:rsidR="007A11F5" w:rsidRPr="007A11F5" w:rsidRDefault="007A11F5" w:rsidP="007A11F5">
      <w:pPr>
        <w:pStyle w:val="ListParagraph"/>
        <w:ind w:left="1080"/>
        <w:rPr>
          <w:rFonts w:ascii="Arial" w:hAnsi="Arial" w:cs="Arial"/>
          <w:sz w:val="28"/>
          <w:szCs w:val="28"/>
        </w:rPr>
      </w:pPr>
    </w:p>
    <w:p w14:paraId="1A5BAA13" w14:textId="208261D1" w:rsidR="001D0F3B" w:rsidRDefault="00AB30A9" w:rsidP="001D0F3B">
      <w:pPr>
        <w:pStyle w:val="ListParagraph"/>
        <w:numPr>
          <w:ilvl w:val="1"/>
          <w:numId w:val="1"/>
        </w:numPr>
        <w:rPr>
          <w:rFonts w:ascii="Arial" w:hAnsi="Arial" w:cs="Arial"/>
          <w:b/>
          <w:bCs/>
          <w:sz w:val="28"/>
          <w:szCs w:val="28"/>
        </w:rPr>
      </w:pPr>
      <w:bookmarkStart w:id="13" w:name="_Hlk220938210"/>
      <w:r>
        <w:rPr>
          <w:rFonts w:ascii="Arial" w:hAnsi="Arial" w:cs="Arial"/>
          <w:b/>
          <w:bCs/>
          <w:sz w:val="28"/>
          <w:szCs w:val="28"/>
        </w:rPr>
        <w:t>Approval</w:t>
      </w:r>
    </w:p>
    <w:bookmarkEnd w:id="13"/>
    <w:p w14:paraId="2864C385" w14:textId="77777777" w:rsidR="0079471D" w:rsidRPr="0079471D" w:rsidRDefault="0079471D" w:rsidP="009401BB">
      <w:pPr>
        <w:pStyle w:val="ListParagraph"/>
        <w:rPr>
          <w:rFonts w:ascii="Arial" w:hAnsi="Arial" w:cs="Arial"/>
          <w:sz w:val="28"/>
          <w:szCs w:val="28"/>
        </w:rPr>
      </w:pPr>
    </w:p>
    <w:p w14:paraId="10398939" w14:textId="2666C80C" w:rsidR="007B0733" w:rsidRPr="00CF630C" w:rsidRDefault="00CF630C" w:rsidP="00E64852">
      <w:pPr>
        <w:pStyle w:val="ListParagraph"/>
        <w:rPr>
          <w:rFonts w:ascii="Arial" w:hAnsi="Arial" w:cs="Arial"/>
          <w:sz w:val="28"/>
          <w:szCs w:val="28"/>
        </w:rPr>
      </w:pPr>
      <w:r w:rsidRPr="00CF630C">
        <w:rPr>
          <w:rFonts w:ascii="Arial" w:eastAsia="Aptos" w:hAnsi="Arial" w:cs="Arial"/>
          <w:kern w:val="2"/>
          <w:sz w:val="28"/>
          <w:szCs w:val="28"/>
          <w14:ligatures w14:val="standardContextual"/>
        </w:rPr>
        <w:t>An application for Mutual Exchange will be approved if the applicants meet all requirements and there are no conditions to be fulfilled.</w:t>
      </w:r>
    </w:p>
    <w:p w14:paraId="32F81321" w14:textId="77777777" w:rsidR="00AB30A9" w:rsidRDefault="00AB30A9" w:rsidP="00E64852">
      <w:pPr>
        <w:pStyle w:val="ListParagraph"/>
        <w:rPr>
          <w:rFonts w:ascii="Arial" w:hAnsi="Arial" w:cs="Arial"/>
          <w:sz w:val="28"/>
          <w:szCs w:val="28"/>
        </w:rPr>
      </w:pPr>
    </w:p>
    <w:p w14:paraId="65A3287E" w14:textId="78D8C05E" w:rsidR="00AB30A9" w:rsidRDefault="00AB30A9" w:rsidP="00AB30A9">
      <w:pPr>
        <w:pStyle w:val="ListParagraph"/>
        <w:numPr>
          <w:ilvl w:val="1"/>
          <w:numId w:val="1"/>
        </w:numPr>
        <w:rPr>
          <w:rFonts w:ascii="Arial" w:hAnsi="Arial" w:cs="Arial"/>
          <w:b/>
          <w:bCs/>
          <w:sz w:val="28"/>
          <w:szCs w:val="28"/>
        </w:rPr>
      </w:pPr>
      <w:r>
        <w:rPr>
          <w:rFonts w:ascii="Arial" w:hAnsi="Arial" w:cs="Arial"/>
          <w:b/>
          <w:bCs/>
          <w:sz w:val="28"/>
          <w:szCs w:val="28"/>
        </w:rPr>
        <w:t>Approval</w:t>
      </w:r>
      <w:r w:rsidR="00CF630C">
        <w:rPr>
          <w:rFonts w:ascii="Arial" w:hAnsi="Arial" w:cs="Arial"/>
          <w:b/>
          <w:bCs/>
          <w:sz w:val="28"/>
          <w:szCs w:val="28"/>
        </w:rPr>
        <w:t xml:space="preserve"> with Conditions</w:t>
      </w:r>
    </w:p>
    <w:p w14:paraId="6B76AD7D" w14:textId="77777777" w:rsidR="00AB30A9" w:rsidRDefault="00AB30A9" w:rsidP="00E64852">
      <w:pPr>
        <w:pStyle w:val="ListParagraph"/>
        <w:rPr>
          <w:rFonts w:ascii="Arial" w:hAnsi="Arial" w:cs="Arial"/>
          <w:sz w:val="28"/>
          <w:szCs w:val="28"/>
        </w:rPr>
      </w:pPr>
    </w:p>
    <w:p w14:paraId="4EA7DFD9" w14:textId="307FEB54" w:rsidR="00722EC6" w:rsidRPr="00722EC6" w:rsidRDefault="00722EC6" w:rsidP="00722EC6">
      <w:pPr>
        <w:pStyle w:val="ListParagraph"/>
        <w:rPr>
          <w:rFonts w:ascii="Arial" w:hAnsi="Arial" w:cs="Arial"/>
          <w:sz w:val="28"/>
          <w:szCs w:val="28"/>
        </w:rPr>
      </w:pPr>
      <w:r w:rsidRPr="00722EC6">
        <w:rPr>
          <w:rFonts w:ascii="Arial" w:hAnsi="Arial" w:cs="Arial"/>
          <w:sz w:val="28"/>
          <w:szCs w:val="28"/>
        </w:rPr>
        <w:t>Approval will be granted with conditions that tenants must satisfy before the exchange can proceed. This typically applies when a tenant has rent arrears or is in breach of tenancy. Examples of conditions include:</w:t>
      </w:r>
    </w:p>
    <w:p w14:paraId="194366C5" w14:textId="77777777" w:rsidR="00722EC6" w:rsidRPr="00722EC6" w:rsidRDefault="00722EC6" w:rsidP="00722EC6">
      <w:pPr>
        <w:pStyle w:val="ListParagraph"/>
        <w:numPr>
          <w:ilvl w:val="0"/>
          <w:numId w:val="25"/>
        </w:numPr>
        <w:rPr>
          <w:rFonts w:ascii="Arial" w:hAnsi="Arial" w:cs="Arial"/>
          <w:sz w:val="28"/>
          <w:szCs w:val="28"/>
        </w:rPr>
      </w:pPr>
      <w:r w:rsidRPr="00722EC6">
        <w:rPr>
          <w:rFonts w:ascii="Arial" w:hAnsi="Arial" w:cs="Arial"/>
          <w:sz w:val="28"/>
          <w:szCs w:val="28"/>
        </w:rPr>
        <w:t>Clearing any outstanding rent arrears</w:t>
      </w:r>
    </w:p>
    <w:p w14:paraId="49CA4C5D" w14:textId="77777777" w:rsidR="00722EC6" w:rsidRPr="00722EC6" w:rsidRDefault="00722EC6" w:rsidP="00722EC6">
      <w:pPr>
        <w:pStyle w:val="ListParagraph"/>
        <w:numPr>
          <w:ilvl w:val="0"/>
          <w:numId w:val="25"/>
        </w:numPr>
        <w:rPr>
          <w:rFonts w:ascii="Arial" w:hAnsi="Arial" w:cs="Arial"/>
          <w:sz w:val="28"/>
          <w:szCs w:val="28"/>
        </w:rPr>
      </w:pPr>
      <w:r w:rsidRPr="00722EC6">
        <w:rPr>
          <w:rFonts w:ascii="Arial" w:hAnsi="Arial" w:cs="Arial"/>
          <w:sz w:val="28"/>
          <w:szCs w:val="28"/>
        </w:rPr>
        <w:t>Completing repairs that are the tenant’s responsibility</w:t>
      </w:r>
    </w:p>
    <w:p w14:paraId="70E0597C" w14:textId="77777777" w:rsidR="00722EC6" w:rsidRPr="00722EC6" w:rsidRDefault="00722EC6" w:rsidP="00722EC6">
      <w:pPr>
        <w:pStyle w:val="ListParagraph"/>
        <w:numPr>
          <w:ilvl w:val="0"/>
          <w:numId w:val="25"/>
        </w:numPr>
        <w:rPr>
          <w:rFonts w:ascii="Arial" w:hAnsi="Arial" w:cs="Arial"/>
          <w:sz w:val="28"/>
          <w:szCs w:val="28"/>
        </w:rPr>
      </w:pPr>
      <w:r w:rsidRPr="00722EC6">
        <w:rPr>
          <w:rFonts w:ascii="Arial" w:hAnsi="Arial" w:cs="Arial"/>
          <w:sz w:val="28"/>
          <w:szCs w:val="28"/>
        </w:rPr>
        <w:t>Addressing any unauthorised home improvements</w:t>
      </w:r>
    </w:p>
    <w:p w14:paraId="69D5D1BF" w14:textId="77777777" w:rsidR="00722EC6" w:rsidRPr="00722EC6" w:rsidRDefault="00722EC6" w:rsidP="00722EC6">
      <w:pPr>
        <w:pStyle w:val="ListParagraph"/>
        <w:numPr>
          <w:ilvl w:val="0"/>
          <w:numId w:val="25"/>
        </w:numPr>
        <w:rPr>
          <w:rFonts w:ascii="Arial" w:hAnsi="Arial" w:cs="Arial"/>
          <w:sz w:val="28"/>
          <w:szCs w:val="28"/>
        </w:rPr>
      </w:pPr>
      <w:r w:rsidRPr="00722EC6">
        <w:rPr>
          <w:rFonts w:ascii="Arial" w:hAnsi="Arial" w:cs="Arial"/>
          <w:sz w:val="28"/>
          <w:szCs w:val="28"/>
        </w:rPr>
        <w:t>Restoring the property to an acceptable condition</w:t>
      </w:r>
    </w:p>
    <w:p w14:paraId="4ADC7536" w14:textId="77777777" w:rsidR="00722EC6" w:rsidRPr="00722EC6" w:rsidRDefault="00722EC6" w:rsidP="00722EC6">
      <w:pPr>
        <w:pStyle w:val="ListParagraph"/>
        <w:numPr>
          <w:ilvl w:val="0"/>
          <w:numId w:val="25"/>
        </w:numPr>
        <w:rPr>
          <w:rFonts w:ascii="Arial" w:hAnsi="Arial" w:cs="Arial"/>
          <w:sz w:val="28"/>
          <w:szCs w:val="28"/>
        </w:rPr>
      </w:pPr>
      <w:r w:rsidRPr="00722EC6">
        <w:rPr>
          <w:rFonts w:ascii="Arial" w:hAnsi="Arial" w:cs="Arial"/>
          <w:sz w:val="28"/>
          <w:szCs w:val="28"/>
        </w:rPr>
        <w:t>Fulfilling obligations under the tenancy agreement, such as removing and disposing of rubbish from the garden</w:t>
      </w:r>
    </w:p>
    <w:p w14:paraId="068976E1" w14:textId="77777777" w:rsidR="00722EC6" w:rsidRPr="00722EC6" w:rsidRDefault="00722EC6" w:rsidP="00722EC6">
      <w:pPr>
        <w:pStyle w:val="ListParagraph"/>
        <w:numPr>
          <w:ilvl w:val="0"/>
          <w:numId w:val="25"/>
        </w:numPr>
        <w:rPr>
          <w:rFonts w:ascii="Arial" w:hAnsi="Arial" w:cs="Arial"/>
          <w:sz w:val="28"/>
          <w:szCs w:val="28"/>
        </w:rPr>
      </w:pPr>
      <w:r w:rsidRPr="00722EC6">
        <w:rPr>
          <w:rFonts w:ascii="Arial" w:hAnsi="Arial" w:cs="Arial"/>
          <w:sz w:val="28"/>
          <w:szCs w:val="28"/>
        </w:rPr>
        <w:t>Paying for any rechargeable repairs</w:t>
      </w:r>
    </w:p>
    <w:p w14:paraId="62A25C8B" w14:textId="77777777" w:rsidR="00722EC6" w:rsidRPr="00722EC6" w:rsidRDefault="00722EC6" w:rsidP="00722EC6">
      <w:pPr>
        <w:pStyle w:val="ListParagraph"/>
        <w:rPr>
          <w:rFonts w:ascii="Arial" w:hAnsi="Arial" w:cs="Arial"/>
          <w:sz w:val="28"/>
          <w:szCs w:val="28"/>
        </w:rPr>
      </w:pPr>
    </w:p>
    <w:p w14:paraId="09C5334A" w14:textId="25032273" w:rsidR="00722EC6" w:rsidRDefault="00722EC6" w:rsidP="00722EC6">
      <w:pPr>
        <w:pStyle w:val="ListParagraph"/>
        <w:rPr>
          <w:rFonts w:ascii="Arial" w:hAnsi="Arial" w:cs="Arial"/>
          <w:sz w:val="28"/>
          <w:szCs w:val="28"/>
        </w:rPr>
      </w:pPr>
      <w:r w:rsidRPr="00722EC6">
        <w:rPr>
          <w:rFonts w:ascii="Arial" w:hAnsi="Arial" w:cs="Arial"/>
          <w:sz w:val="28"/>
          <w:szCs w:val="28"/>
        </w:rPr>
        <w:t>In the event of a refusal, tenants will be notified of the reasons for the decision.</w:t>
      </w:r>
    </w:p>
    <w:p w14:paraId="7C50D48C" w14:textId="77777777" w:rsidR="00E27B71" w:rsidRPr="00722EC6" w:rsidRDefault="00E27B71" w:rsidP="00722EC6">
      <w:pPr>
        <w:pStyle w:val="ListParagraph"/>
        <w:rPr>
          <w:rFonts w:ascii="Arial" w:hAnsi="Arial" w:cs="Arial"/>
          <w:sz w:val="28"/>
          <w:szCs w:val="28"/>
        </w:rPr>
      </w:pPr>
    </w:p>
    <w:p w14:paraId="6D4D5BD9" w14:textId="77777777" w:rsidR="00722EC6" w:rsidRDefault="00722EC6" w:rsidP="00722EC6">
      <w:pPr>
        <w:pStyle w:val="ListParagraph"/>
        <w:rPr>
          <w:rFonts w:ascii="Arial" w:hAnsi="Arial" w:cs="Arial"/>
          <w:sz w:val="28"/>
          <w:szCs w:val="28"/>
        </w:rPr>
      </w:pPr>
      <w:r w:rsidRPr="00722EC6">
        <w:rPr>
          <w:rFonts w:ascii="Arial" w:hAnsi="Arial" w:cs="Arial"/>
          <w:sz w:val="28"/>
          <w:szCs w:val="28"/>
        </w:rPr>
        <w:t xml:space="preserve"> </w:t>
      </w:r>
      <w:r w:rsidRPr="00722EC6">
        <w:rPr>
          <w:rFonts w:ascii="Arial" w:hAnsi="Arial" w:cs="Arial"/>
          <w:sz w:val="28"/>
          <w:szCs w:val="28"/>
        </w:rPr>
        <w:tab/>
      </w:r>
    </w:p>
    <w:p w14:paraId="315E4E5F" w14:textId="398FED50" w:rsidR="00EC0DE3" w:rsidRDefault="00EC0DE3" w:rsidP="00EC0DE3">
      <w:pPr>
        <w:pStyle w:val="ListParagraph"/>
        <w:numPr>
          <w:ilvl w:val="1"/>
          <w:numId w:val="1"/>
        </w:numPr>
        <w:rPr>
          <w:rFonts w:ascii="Arial" w:hAnsi="Arial" w:cs="Arial"/>
          <w:b/>
          <w:bCs/>
          <w:sz w:val="28"/>
          <w:szCs w:val="28"/>
        </w:rPr>
      </w:pPr>
      <w:r>
        <w:rPr>
          <w:rFonts w:ascii="Arial" w:hAnsi="Arial" w:cs="Arial"/>
          <w:b/>
          <w:bCs/>
          <w:sz w:val="28"/>
          <w:szCs w:val="28"/>
        </w:rPr>
        <w:t>Unauthorised Exchanges</w:t>
      </w:r>
    </w:p>
    <w:p w14:paraId="68EACE7C" w14:textId="77777777" w:rsidR="00EC0DE3" w:rsidRDefault="00EC0DE3" w:rsidP="00EC0DE3">
      <w:pPr>
        <w:pStyle w:val="ListParagraph"/>
        <w:rPr>
          <w:rFonts w:ascii="Arial" w:hAnsi="Arial" w:cs="Arial"/>
          <w:b/>
          <w:bCs/>
          <w:sz w:val="28"/>
          <w:szCs w:val="28"/>
        </w:rPr>
      </w:pPr>
    </w:p>
    <w:p w14:paraId="42695F97" w14:textId="77777777" w:rsidR="00E27B71" w:rsidRPr="00E27B71" w:rsidRDefault="00E27B71" w:rsidP="00E27B71">
      <w:pPr>
        <w:pStyle w:val="ListParagraph"/>
        <w:rPr>
          <w:rFonts w:ascii="Arial" w:hAnsi="Arial" w:cs="Arial"/>
          <w:sz w:val="28"/>
          <w:szCs w:val="28"/>
        </w:rPr>
      </w:pPr>
      <w:r w:rsidRPr="00E27B71">
        <w:rPr>
          <w:rFonts w:ascii="Arial" w:hAnsi="Arial" w:cs="Arial"/>
          <w:sz w:val="28"/>
          <w:szCs w:val="28"/>
        </w:rPr>
        <w:t>Tenants must not exchange properties without first obtaining written permission from the Council (and any other landlord involved). Unauthorised exchanges are unlawful and may result in tenants being required to leave the property.</w:t>
      </w:r>
    </w:p>
    <w:p w14:paraId="61347E40" w14:textId="77777777" w:rsidR="00E27B71" w:rsidRPr="00E27B71" w:rsidRDefault="00E27B71" w:rsidP="00E27B71">
      <w:pPr>
        <w:pStyle w:val="ListParagraph"/>
        <w:rPr>
          <w:rFonts w:ascii="Arial" w:hAnsi="Arial" w:cs="Arial"/>
          <w:sz w:val="28"/>
          <w:szCs w:val="28"/>
        </w:rPr>
      </w:pPr>
    </w:p>
    <w:p w14:paraId="5F84F680" w14:textId="0855DE0E" w:rsidR="00E27B71" w:rsidRPr="00E27B71" w:rsidRDefault="00E27B71" w:rsidP="00E27B71">
      <w:pPr>
        <w:pStyle w:val="ListParagraph"/>
        <w:rPr>
          <w:rFonts w:ascii="Arial" w:hAnsi="Arial" w:cs="Arial"/>
          <w:sz w:val="28"/>
          <w:szCs w:val="28"/>
        </w:rPr>
      </w:pPr>
      <w:r w:rsidRPr="00E27B71">
        <w:rPr>
          <w:rFonts w:ascii="Arial" w:hAnsi="Arial" w:cs="Arial"/>
          <w:sz w:val="28"/>
          <w:szCs w:val="28"/>
        </w:rPr>
        <w:t>Following the correct process ensures tenants are legally protected, that rent accounts are accurate, and that the condition of the property is clearly understood.</w:t>
      </w:r>
    </w:p>
    <w:p w14:paraId="2A1B77D7" w14:textId="77777777" w:rsidR="00EF36D4" w:rsidRDefault="00EF36D4" w:rsidP="00E27B71">
      <w:pPr>
        <w:autoSpaceDE w:val="0"/>
        <w:autoSpaceDN w:val="0"/>
        <w:adjustRightInd w:val="0"/>
        <w:spacing w:after="0" w:line="240" w:lineRule="auto"/>
        <w:rPr>
          <w:rFonts w:ascii="Arial" w:eastAsia="Aptos" w:hAnsi="Arial" w:cs="Arial"/>
          <w:color w:val="000000"/>
          <w:sz w:val="28"/>
          <w:szCs w:val="28"/>
          <w14:ligatures w14:val="standardContextual"/>
        </w:rPr>
      </w:pPr>
    </w:p>
    <w:p w14:paraId="6A3E1631" w14:textId="64F5E35D" w:rsidR="00EF36D4" w:rsidRPr="00FB6179" w:rsidRDefault="00EF36D4" w:rsidP="00FB6179">
      <w:pPr>
        <w:pStyle w:val="ListParagraph"/>
        <w:numPr>
          <w:ilvl w:val="1"/>
          <w:numId w:val="1"/>
        </w:numPr>
        <w:ind w:left="426" w:hanging="502"/>
        <w:rPr>
          <w:rFonts w:ascii="Arial" w:hAnsi="Arial" w:cs="Arial"/>
          <w:b/>
          <w:bCs/>
          <w:sz w:val="28"/>
          <w:szCs w:val="28"/>
        </w:rPr>
      </w:pPr>
      <w:r>
        <w:rPr>
          <w:rFonts w:ascii="Arial" w:hAnsi="Arial" w:cs="Arial"/>
          <w:b/>
          <w:bCs/>
          <w:sz w:val="28"/>
          <w:szCs w:val="28"/>
        </w:rPr>
        <w:t>Grounds for Refusal</w:t>
      </w:r>
    </w:p>
    <w:p w14:paraId="2B862530" w14:textId="77777777" w:rsidR="00E810AE" w:rsidRDefault="00E810AE" w:rsidP="00E810AE">
      <w:pPr>
        <w:pStyle w:val="ListParagraph"/>
        <w:rPr>
          <w:rFonts w:ascii="Arial" w:hAnsi="Arial" w:cs="Arial"/>
          <w:b/>
          <w:bCs/>
          <w:sz w:val="28"/>
          <w:szCs w:val="28"/>
        </w:rPr>
      </w:pPr>
    </w:p>
    <w:p w14:paraId="477A1D80" w14:textId="0CE79685" w:rsidR="00E810AE" w:rsidRPr="00E810AE" w:rsidRDefault="00E810AE" w:rsidP="00E810AE">
      <w:pPr>
        <w:pStyle w:val="ListParagraph"/>
        <w:rPr>
          <w:rFonts w:ascii="Arial" w:hAnsi="Arial" w:cs="Arial"/>
          <w:sz w:val="28"/>
          <w:szCs w:val="28"/>
        </w:rPr>
      </w:pPr>
      <w:r w:rsidRPr="00E810AE">
        <w:rPr>
          <w:rFonts w:ascii="Arial" w:hAnsi="Arial" w:cs="Arial"/>
          <w:sz w:val="28"/>
          <w:szCs w:val="28"/>
        </w:rPr>
        <w:t>Mutual exchange applications are carefully assessed, and may be refused for several reasons, including:</w:t>
      </w:r>
    </w:p>
    <w:p w14:paraId="32CA9F47" w14:textId="77777777" w:rsidR="00E810AE" w:rsidRPr="00E810AE" w:rsidRDefault="00E810AE" w:rsidP="00E810AE">
      <w:pPr>
        <w:pStyle w:val="ListParagraph"/>
        <w:rPr>
          <w:rFonts w:ascii="Arial" w:hAnsi="Arial" w:cs="Arial"/>
          <w:b/>
          <w:bCs/>
          <w:sz w:val="28"/>
          <w:szCs w:val="28"/>
        </w:rPr>
      </w:pPr>
    </w:p>
    <w:p w14:paraId="063FD4DA" w14:textId="1D79E2AF" w:rsidR="00E810AE" w:rsidRPr="00BD2A36"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t>Rent Arrears:</w:t>
      </w:r>
      <w:r w:rsidRPr="00E810AE">
        <w:rPr>
          <w:rFonts w:ascii="Arial" w:hAnsi="Arial" w:cs="Arial"/>
          <w:sz w:val="28"/>
          <w:szCs w:val="28"/>
        </w:rPr>
        <w:t xml:space="preserve"> Exchanges may be refused until arrears are cleared or a repayment plan is in place.</w:t>
      </w:r>
    </w:p>
    <w:p w14:paraId="676B725B" w14:textId="4C8BC6DA" w:rsidR="00E810AE" w:rsidRPr="00BD2A36"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lastRenderedPageBreak/>
        <w:t>Breach of Tenancy:</w:t>
      </w:r>
      <w:r w:rsidRPr="00E810AE">
        <w:rPr>
          <w:rFonts w:ascii="Arial" w:hAnsi="Arial" w:cs="Arial"/>
          <w:sz w:val="28"/>
          <w:szCs w:val="28"/>
        </w:rPr>
        <w:t xml:space="preserve"> Tenants in breach of their tenancy (e.g., due to anti-social behaviour or serious misconduct) may be denied an exchange.</w:t>
      </w:r>
    </w:p>
    <w:p w14:paraId="7AF88678" w14:textId="1E5755AD" w:rsidR="00E810AE" w:rsidRPr="00BD2A36"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t>Property Size:</w:t>
      </w:r>
      <w:r w:rsidRPr="00E810AE">
        <w:rPr>
          <w:rFonts w:ascii="Arial" w:hAnsi="Arial" w:cs="Arial"/>
          <w:sz w:val="28"/>
          <w:szCs w:val="28"/>
        </w:rPr>
        <w:t xml:space="preserve"> Exchanges may be refused if the move would result in overcrowding or under-occupation by more than one bedroom.</w:t>
      </w:r>
    </w:p>
    <w:p w14:paraId="0DCF8AB0" w14:textId="78FB85C3" w:rsidR="00E810AE" w:rsidRPr="00BD2A36"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t>Legal Proceedings:</w:t>
      </w:r>
      <w:r w:rsidRPr="00E810AE">
        <w:rPr>
          <w:rFonts w:ascii="Arial" w:hAnsi="Arial" w:cs="Arial"/>
          <w:sz w:val="28"/>
          <w:szCs w:val="28"/>
        </w:rPr>
        <w:t xml:space="preserve"> Tenants involved in legal actions, such as possession orders or eviction notices, may be refused.</w:t>
      </w:r>
    </w:p>
    <w:p w14:paraId="4E31FB71" w14:textId="63998801" w:rsidR="00E810AE" w:rsidRPr="00BD2A36"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t>Specially Adapted Properties:</w:t>
      </w:r>
      <w:r w:rsidRPr="00E810AE">
        <w:rPr>
          <w:rFonts w:ascii="Arial" w:hAnsi="Arial" w:cs="Arial"/>
          <w:sz w:val="28"/>
          <w:szCs w:val="28"/>
        </w:rPr>
        <w:t xml:space="preserve"> Exchanges may be denied if the incoming tenant does not need adaptations made for a previous tenant.</w:t>
      </w:r>
    </w:p>
    <w:p w14:paraId="74C44EE4" w14:textId="347A5675" w:rsidR="00E810AE" w:rsidRPr="00BD2A36"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t>Sheltered or Supported Housing:</w:t>
      </w:r>
      <w:r w:rsidRPr="00E810AE">
        <w:rPr>
          <w:rFonts w:ascii="Arial" w:hAnsi="Arial" w:cs="Arial"/>
          <w:sz w:val="28"/>
          <w:szCs w:val="28"/>
        </w:rPr>
        <w:t xml:space="preserve"> Exchanges may be refused if the incoming tenant does not meet eligibility criteria.</w:t>
      </w:r>
    </w:p>
    <w:p w14:paraId="2A13648F" w14:textId="77777777" w:rsidR="00E810AE" w:rsidRPr="00E810AE" w:rsidRDefault="00E810AE" w:rsidP="00BD2A36">
      <w:pPr>
        <w:pStyle w:val="ListParagraph"/>
        <w:numPr>
          <w:ilvl w:val="0"/>
          <w:numId w:val="32"/>
        </w:numPr>
        <w:spacing w:after="0"/>
        <w:ind w:left="1080"/>
        <w:rPr>
          <w:rFonts w:ascii="Arial" w:hAnsi="Arial" w:cs="Arial"/>
          <w:sz w:val="28"/>
          <w:szCs w:val="28"/>
        </w:rPr>
      </w:pPr>
      <w:r w:rsidRPr="00BD2A36">
        <w:rPr>
          <w:rFonts w:ascii="Arial" w:hAnsi="Arial" w:cs="Arial"/>
          <w:b/>
          <w:bCs/>
          <w:sz w:val="28"/>
          <w:szCs w:val="28"/>
        </w:rPr>
        <w:t>False Information:</w:t>
      </w:r>
      <w:r w:rsidRPr="00E810AE">
        <w:rPr>
          <w:rFonts w:ascii="Arial" w:hAnsi="Arial" w:cs="Arial"/>
          <w:sz w:val="28"/>
          <w:szCs w:val="28"/>
        </w:rPr>
        <w:t xml:space="preserve"> Providing false or misleading information will result in refusal.</w:t>
      </w:r>
    </w:p>
    <w:p w14:paraId="450592CC" w14:textId="77777777" w:rsidR="00E810AE" w:rsidRPr="00E810AE" w:rsidRDefault="00E810AE" w:rsidP="00E810AE">
      <w:pPr>
        <w:pStyle w:val="ListParagraph"/>
        <w:rPr>
          <w:rFonts w:ascii="Arial" w:hAnsi="Arial" w:cs="Arial"/>
          <w:b/>
          <w:bCs/>
          <w:sz w:val="28"/>
          <w:szCs w:val="28"/>
        </w:rPr>
      </w:pPr>
    </w:p>
    <w:p w14:paraId="1CF4EA49" w14:textId="01DD7594" w:rsidR="00EF36D4" w:rsidRPr="00E810AE" w:rsidRDefault="00E810AE" w:rsidP="00E810AE">
      <w:pPr>
        <w:pStyle w:val="ListParagraph"/>
        <w:rPr>
          <w:rFonts w:ascii="Arial" w:hAnsi="Arial" w:cs="Arial"/>
          <w:sz w:val="28"/>
          <w:szCs w:val="28"/>
        </w:rPr>
      </w:pPr>
      <w:r w:rsidRPr="00E810AE">
        <w:rPr>
          <w:rFonts w:ascii="Arial" w:hAnsi="Arial" w:cs="Arial"/>
          <w:sz w:val="28"/>
          <w:szCs w:val="28"/>
        </w:rPr>
        <w:t>Additional grounds specific to flexible or fixed-term tenancies are set out in Schedule 14 of the Localism Act 2011. Further legal details are in Appendix 1A.</w:t>
      </w:r>
    </w:p>
    <w:p w14:paraId="4AFA5D4E" w14:textId="77777777" w:rsidR="00E810AE" w:rsidRDefault="00E810AE" w:rsidP="00EF36D4">
      <w:pPr>
        <w:pStyle w:val="ListParagraph"/>
        <w:ind w:left="360"/>
        <w:rPr>
          <w:rFonts w:ascii="Arial" w:hAnsi="Arial" w:cs="Arial"/>
          <w:b/>
          <w:bCs/>
          <w:sz w:val="28"/>
          <w:szCs w:val="28"/>
        </w:rPr>
      </w:pPr>
    </w:p>
    <w:p w14:paraId="79FB1ABF" w14:textId="77777777" w:rsidR="003A3F74" w:rsidRDefault="003A3F74" w:rsidP="00EF36D4">
      <w:pPr>
        <w:pStyle w:val="ListParagraph"/>
        <w:ind w:left="360"/>
        <w:rPr>
          <w:rFonts w:ascii="Arial" w:hAnsi="Arial" w:cs="Arial"/>
          <w:b/>
          <w:bCs/>
          <w:sz w:val="28"/>
          <w:szCs w:val="28"/>
        </w:rPr>
      </w:pPr>
    </w:p>
    <w:p w14:paraId="1C063AD8" w14:textId="355D0069" w:rsidR="008227E1" w:rsidRPr="006A75AC" w:rsidRDefault="008C13BF" w:rsidP="006A75AC">
      <w:pPr>
        <w:pStyle w:val="ListParagraph"/>
        <w:numPr>
          <w:ilvl w:val="1"/>
          <w:numId w:val="1"/>
        </w:numPr>
        <w:rPr>
          <w:rFonts w:ascii="Arial" w:hAnsi="Arial" w:cs="Arial"/>
          <w:b/>
          <w:bCs/>
          <w:sz w:val="28"/>
          <w:szCs w:val="28"/>
        </w:rPr>
      </w:pPr>
      <w:bookmarkStart w:id="14" w:name="_Hlk220938674"/>
      <w:r>
        <w:rPr>
          <w:rFonts w:ascii="Arial" w:hAnsi="Arial" w:cs="Arial"/>
          <w:b/>
          <w:bCs/>
          <w:sz w:val="28"/>
          <w:szCs w:val="28"/>
        </w:rPr>
        <w:t>Repairs</w:t>
      </w:r>
      <w:bookmarkEnd w:id="14"/>
    </w:p>
    <w:p w14:paraId="591D5B02" w14:textId="77777777" w:rsidR="007B3E7D" w:rsidRDefault="007B3E7D" w:rsidP="006A75AC">
      <w:pPr>
        <w:autoSpaceDE w:val="0"/>
        <w:autoSpaceDN w:val="0"/>
        <w:adjustRightInd w:val="0"/>
        <w:spacing w:after="0" w:line="240" w:lineRule="auto"/>
        <w:ind w:left="709"/>
        <w:rPr>
          <w:rFonts w:ascii="Arial" w:eastAsia="Aptos" w:hAnsi="Arial" w:cs="Arial"/>
          <w:color w:val="000000"/>
          <w:sz w:val="28"/>
          <w:szCs w:val="28"/>
          <w14:ligatures w14:val="standardContextual"/>
        </w:rPr>
      </w:pPr>
      <w:r w:rsidRPr="007B3E7D">
        <w:rPr>
          <w:rFonts w:ascii="Arial" w:eastAsia="Aptos" w:hAnsi="Arial" w:cs="Arial"/>
          <w:color w:val="000000"/>
          <w:sz w:val="28"/>
          <w:szCs w:val="28"/>
          <w14:ligatures w14:val="standardContextual"/>
        </w:rPr>
        <w:t>Tenants are responsible for resolving any damage or issues they have caused. In some cases, repairs may still be completed after approval, but more serious issues may delay the move.</w:t>
      </w:r>
    </w:p>
    <w:p w14:paraId="0547D842" w14:textId="77777777" w:rsidR="007B3E7D" w:rsidRPr="007B3E7D" w:rsidRDefault="007B3E7D" w:rsidP="007B3E7D">
      <w:pPr>
        <w:autoSpaceDE w:val="0"/>
        <w:autoSpaceDN w:val="0"/>
        <w:adjustRightInd w:val="0"/>
        <w:spacing w:after="0" w:line="240" w:lineRule="auto"/>
        <w:ind w:left="709" w:firstLine="11"/>
        <w:rPr>
          <w:rFonts w:ascii="Arial" w:eastAsia="Aptos" w:hAnsi="Arial" w:cs="Arial"/>
          <w:color w:val="000000"/>
          <w:sz w:val="28"/>
          <w:szCs w:val="28"/>
          <w14:ligatures w14:val="standardContextual"/>
        </w:rPr>
      </w:pPr>
    </w:p>
    <w:p w14:paraId="434A1F80" w14:textId="1F0A6E57" w:rsidR="00CC5D5B" w:rsidRPr="008227E1" w:rsidRDefault="007B3E7D" w:rsidP="006A75AC">
      <w:pPr>
        <w:autoSpaceDE w:val="0"/>
        <w:autoSpaceDN w:val="0"/>
        <w:adjustRightInd w:val="0"/>
        <w:spacing w:after="0" w:line="240" w:lineRule="auto"/>
        <w:ind w:left="709" w:firstLine="11"/>
        <w:rPr>
          <w:rFonts w:ascii="Arial" w:eastAsia="Aptos" w:hAnsi="Arial" w:cs="Arial"/>
          <w:color w:val="000000"/>
          <w:sz w:val="28"/>
          <w:szCs w:val="28"/>
          <w14:ligatures w14:val="standardContextual"/>
        </w:rPr>
      </w:pPr>
      <w:r w:rsidRPr="007B3E7D">
        <w:rPr>
          <w:rFonts w:ascii="Arial" w:eastAsia="Aptos" w:hAnsi="Arial" w:cs="Arial"/>
          <w:color w:val="000000"/>
          <w:sz w:val="28"/>
          <w:szCs w:val="28"/>
          <w14:ligatures w14:val="standardContextual"/>
        </w:rPr>
        <w:t>Incoming tenants are advised to fully satisfy themselves with the condition of the property before agreeing to the exchange, as responsibility for the property transfers once the exchange is completed.</w:t>
      </w:r>
    </w:p>
    <w:p w14:paraId="0F6C5EE4" w14:textId="77777777" w:rsidR="008227E1" w:rsidRDefault="008227E1" w:rsidP="00EF36D4">
      <w:pPr>
        <w:pStyle w:val="ListParagraph"/>
        <w:ind w:left="360"/>
        <w:rPr>
          <w:rFonts w:ascii="Arial" w:hAnsi="Arial" w:cs="Arial"/>
          <w:b/>
          <w:bCs/>
          <w:sz w:val="28"/>
          <w:szCs w:val="28"/>
        </w:rPr>
      </w:pPr>
    </w:p>
    <w:p w14:paraId="62F23244" w14:textId="016937E8" w:rsidR="00E403CC" w:rsidRPr="00CC5D5B" w:rsidRDefault="00E403CC" w:rsidP="00CC5D5B">
      <w:pPr>
        <w:pStyle w:val="ListParagraph"/>
        <w:numPr>
          <w:ilvl w:val="1"/>
          <w:numId w:val="1"/>
        </w:numPr>
        <w:rPr>
          <w:rFonts w:ascii="Arial" w:hAnsi="Arial" w:cs="Arial"/>
          <w:b/>
          <w:bCs/>
          <w:sz w:val="28"/>
          <w:szCs w:val="28"/>
        </w:rPr>
      </w:pPr>
      <w:r>
        <w:rPr>
          <w:rFonts w:ascii="Arial" w:hAnsi="Arial" w:cs="Arial"/>
          <w:b/>
          <w:bCs/>
          <w:sz w:val="28"/>
          <w:szCs w:val="28"/>
        </w:rPr>
        <w:t>Appeals</w:t>
      </w:r>
    </w:p>
    <w:p w14:paraId="0AB62CFB"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r w:rsidRPr="00A35FED">
        <w:rPr>
          <w:rFonts w:ascii="Arial" w:eastAsia="Aptos" w:hAnsi="Arial" w:cs="Arial"/>
          <w:color w:val="000000"/>
          <w:sz w:val="28"/>
          <w:szCs w:val="28"/>
          <w14:ligatures w14:val="standardContextual"/>
        </w:rPr>
        <w:t>If a mutual exchange application is refused, tenants have the right to appeal the decision.</w:t>
      </w:r>
    </w:p>
    <w:p w14:paraId="09E850EF"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p>
    <w:p w14:paraId="2A961656" w14:textId="0ACF40C6" w:rsidR="00A35FED" w:rsidRPr="00A35FED" w:rsidRDefault="00A35FED" w:rsidP="002100A6">
      <w:pPr>
        <w:autoSpaceDE w:val="0"/>
        <w:autoSpaceDN w:val="0"/>
        <w:adjustRightInd w:val="0"/>
        <w:spacing w:after="0" w:line="240" w:lineRule="auto"/>
        <w:ind w:left="720"/>
        <w:rPr>
          <w:rFonts w:ascii="Arial" w:eastAsia="Aptos" w:hAnsi="Arial" w:cs="Arial"/>
          <w:color w:val="000000"/>
          <w:sz w:val="28"/>
          <w:szCs w:val="28"/>
          <w14:ligatures w14:val="standardContextual"/>
        </w:rPr>
      </w:pPr>
      <w:r w:rsidRPr="00A35FED">
        <w:rPr>
          <w:rFonts w:ascii="Arial" w:eastAsia="Aptos" w:hAnsi="Arial" w:cs="Arial"/>
          <w:color w:val="000000"/>
          <w:sz w:val="28"/>
          <w:szCs w:val="28"/>
          <w14:ligatures w14:val="standardContextual"/>
        </w:rPr>
        <w:t>Appeals must be submitted in writing to the Head of Housing within 14 calendar days of receiving the refusal letter. Appeals can be submitted via the Housing Team:</w:t>
      </w:r>
    </w:p>
    <w:p w14:paraId="6942D7B3" w14:textId="47C0D9B8" w:rsidR="00A35FED" w:rsidRPr="002100A6" w:rsidRDefault="00A35FED" w:rsidP="002100A6">
      <w:pPr>
        <w:pStyle w:val="ListParagraph"/>
        <w:numPr>
          <w:ilvl w:val="0"/>
          <w:numId w:val="35"/>
        </w:numPr>
        <w:autoSpaceDE w:val="0"/>
        <w:autoSpaceDN w:val="0"/>
        <w:adjustRightInd w:val="0"/>
        <w:spacing w:after="0" w:line="240" w:lineRule="auto"/>
        <w:ind w:left="1080"/>
        <w:rPr>
          <w:rFonts w:ascii="Arial" w:eastAsia="Aptos" w:hAnsi="Arial" w:cs="Arial"/>
          <w:color w:val="000000"/>
          <w:sz w:val="28"/>
          <w:szCs w:val="28"/>
          <w14:ligatures w14:val="standardContextual"/>
        </w:rPr>
      </w:pPr>
      <w:r w:rsidRPr="002100A6">
        <w:rPr>
          <w:rFonts w:ascii="Arial" w:eastAsia="Aptos" w:hAnsi="Arial" w:cs="Arial"/>
          <w:b/>
          <w:bCs/>
          <w:color w:val="000000"/>
          <w:sz w:val="28"/>
          <w:szCs w:val="28"/>
          <w14:ligatures w14:val="standardContextual"/>
        </w:rPr>
        <w:t>Email:</w:t>
      </w:r>
      <w:r w:rsidRPr="00A35FED">
        <w:rPr>
          <w:rFonts w:ascii="Arial" w:eastAsia="Aptos" w:hAnsi="Arial" w:cs="Arial"/>
          <w:color w:val="000000"/>
          <w:sz w:val="28"/>
          <w:szCs w:val="28"/>
          <w14:ligatures w14:val="standardContextual"/>
        </w:rPr>
        <w:t xml:space="preserve"> </w:t>
      </w:r>
      <w:hyperlink r:id="rId14" w:history="1">
        <w:r w:rsidRPr="00A35FED">
          <w:rPr>
            <w:rStyle w:val="Hyperlink"/>
            <w:rFonts w:ascii="Arial" w:eastAsia="Aptos" w:hAnsi="Arial" w:cs="Arial"/>
            <w:sz w:val="28"/>
            <w:szCs w:val="28"/>
            <w14:ligatures w14:val="standardContextual"/>
          </w:rPr>
          <w:t>housingservices@smbc.gov.uk</w:t>
        </w:r>
      </w:hyperlink>
      <w:r w:rsidRPr="00A35FED">
        <w:rPr>
          <w:rFonts w:ascii="Arial" w:eastAsia="Aptos" w:hAnsi="Arial" w:cs="Arial"/>
          <w:color w:val="000000"/>
          <w:sz w:val="28"/>
          <w:szCs w:val="28"/>
          <w14:ligatures w14:val="standardContextual"/>
        </w:rPr>
        <w:t xml:space="preserve"> </w:t>
      </w:r>
    </w:p>
    <w:p w14:paraId="4459EF21" w14:textId="77777777" w:rsidR="00A35FED" w:rsidRPr="00A35FED" w:rsidRDefault="00A35FED" w:rsidP="00A35FED">
      <w:pPr>
        <w:pStyle w:val="ListParagraph"/>
        <w:numPr>
          <w:ilvl w:val="0"/>
          <w:numId w:val="35"/>
        </w:numPr>
        <w:autoSpaceDE w:val="0"/>
        <w:autoSpaceDN w:val="0"/>
        <w:adjustRightInd w:val="0"/>
        <w:spacing w:after="0" w:line="240" w:lineRule="auto"/>
        <w:ind w:left="1080"/>
        <w:rPr>
          <w:rFonts w:ascii="Arial" w:eastAsia="Aptos" w:hAnsi="Arial" w:cs="Arial"/>
          <w:color w:val="000000"/>
          <w:sz w:val="28"/>
          <w:szCs w:val="28"/>
          <w14:ligatures w14:val="standardContextual"/>
        </w:rPr>
      </w:pPr>
      <w:r w:rsidRPr="002100A6">
        <w:rPr>
          <w:rFonts w:ascii="Arial" w:eastAsia="Aptos" w:hAnsi="Arial" w:cs="Arial"/>
          <w:b/>
          <w:bCs/>
          <w:color w:val="000000"/>
          <w:sz w:val="28"/>
          <w:szCs w:val="28"/>
          <w14:ligatures w14:val="standardContextual"/>
        </w:rPr>
        <w:lastRenderedPageBreak/>
        <w:t>Post or in person:</w:t>
      </w:r>
      <w:r w:rsidRPr="00A35FED">
        <w:rPr>
          <w:rFonts w:ascii="Arial" w:eastAsia="Aptos" w:hAnsi="Arial" w:cs="Arial"/>
          <w:color w:val="000000"/>
          <w:sz w:val="28"/>
          <w:szCs w:val="28"/>
          <w14:ligatures w14:val="standardContextual"/>
        </w:rPr>
        <w:t xml:space="preserve"> Any SMBC Housing Office</w:t>
      </w:r>
    </w:p>
    <w:p w14:paraId="49379D8E"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p>
    <w:p w14:paraId="75A41EE2"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r w:rsidRPr="00A35FED">
        <w:rPr>
          <w:rFonts w:ascii="Arial" w:eastAsia="Aptos" w:hAnsi="Arial" w:cs="Arial"/>
          <w:color w:val="000000"/>
          <w:sz w:val="28"/>
          <w:szCs w:val="28"/>
          <w14:ligatures w14:val="standardContextual"/>
        </w:rPr>
        <w:t>The appeal should clearly explain why the decision is believed to be incorrect and include any relevant supporting evidence.</w:t>
      </w:r>
    </w:p>
    <w:p w14:paraId="3441BD30"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p>
    <w:p w14:paraId="5903A24B"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r w:rsidRPr="00A35FED">
        <w:rPr>
          <w:rFonts w:ascii="Arial" w:eastAsia="Aptos" w:hAnsi="Arial" w:cs="Arial"/>
          <w:color w:val="000000"/>
          <w:sz w:val="28"/>
          <w:szCs w:val="28"/>
          <w14:ligatures w14:val="standardContextual"/>
        </w:rPr>
        <w:t>Once received, the appeal will be reviewed, and a written response will be provided within 14 calendar days. The review will consider the reasons for refusal, the grounds for appeal, and any supporting information.</w:t>
      </w:r>
    </w:p>
    <w:p w14:paraId="7B75F880" w14:textId="77777777" w:rsidR="00A35FED" w:rsidRP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p>
    <w:p w14:paraId="55CDA537" w14:textId="77CB3DDC" w:rsidR="00B41016"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r w:rsidRPr="00A35FED">
        <w:rPr>
          <w:rFonts w:ascii="Arial" w:eastAsia="Aptos" w:hAnsi="Arial" w:cs="Arial"/>
          <w:color w:val="000000"/>
          <w:sz w:val="28"/>
          <w:szCs w:val="28"/>
          <w14:ligatures w14:val="standardContextual"/>
        </w:rPr>
        <w:t>If the appeal is successful, the exchange will proceed. If not, the original decision will be upheld, and the tenant will be provided with an explanation.</w:t>
      </w:r>
    </w:p>
    <w:p w14:paraId="2CE9AA12" w14:textId="77777777" w:rsidR="00A35FED"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p>
    <w:p w14:paraId="59D538AB" w14:textId="77777777" w:rsidR="00A35FED" w:rsidRPr="00B41016" w:rsidRDefault="00A35FED" w:rsidP="00A35FED">
      <w:pPr>
        <w:autoSpaceDE w:val="0"/>
        <w:autoSpaceDN w:val="0"/>
        <w:adjustRightInd w:val="0"/>
        <w:spacing w:after="0" w:line="240" w:lineRule="auto"/>
        <w:ind w:left="720"/>
        <w:rPr>
          <w:rFonts w:ascii="Arial" w:eastAsia="Aptos" w:hAnsi="Arial" w:cs="Arial"/>
          <w:color w:val="000000"/>
          <w:sz w:val="28"/>
          <w:szCs w:val="28"/>
          <w14:ligatures w14:val="standardContextual"/>
        </w:rPr>
      </w:pPr>
    </w:p>
    <w:p w14:paraId="0C598156" w14:textId="77777777" w:rsidR="002100A6" w:rsidRDefault="002100A6" w:rsidP="002100A6">
      <w:pPr>
        <w:pStyle w:val="ListParagraph"/>
        <w:ind w:left="360"/>
        <w:rPr>
          <w:rFonts w:ascii="Arial" w:hAnsi="Arial" w:cs="Arial"/>
          <w:b/>
          <w:bCs/>
          <w:sz w:val="28"/>
          <w:szCs w:val="28"/>
        </w:rPr>
      </w:pPr>
    </w:p>
    <w:p w14:paraId="4D4804C6" w14:textId="7955D235" w:rsidR="00B41016" w:rsidRPr="002100A6" w:rsidRDefault="00B41016" w:rsidP="002100A6">
      <w:pPr>
        <w:pStyle w:val="ListParagraph"/>
        <w:numPr>
          <w:ilvl w:val="1"/>
          <w:numId w:val="1"/>
        </w:numPr>
        <w:rPr>
          <w:rFonts w:ascii="Arial" w:hAnsi="Arial" w:cs="Arial"/>
          <w:b/>
          <w:bCs/>
          <w:sz w:val="28"/>
          <w:szCs w:val="28"/>
        </w:rPr>
      </w:pPr>
      <w:r w:rsidRPr="002100A6">
        <w:rPr>
          <w:rFonts w:ascii="Arial" w:eastAsia="Aptos" w:hAnsi="Arial" w:cs="Arial"/>
          <w:b/>
          <w:bCs/>
          <w:color w:val="000000"/>
          <w:sz w:val="28"/>
          <w:szCs w:val="28"/>
          <w14:ligatures w14:val="standardContextual"/>
        </w:rPr>
        <w:t>Complaints</w:t>
      </w:r>
    </w:p>
    <w:p w14:paraId="5EEBF8F1" w14:textId="77777777" w:rsidR="00B41016" w:rsidRPr="00B41016" w:rsidRDefault="00B41016" w:rsidP="00B41016">
      <w:pPr>
        <w:autoSpaceDE w:val="0"/>
        <w:autoSpaceDN w:val="0"/>
        <w:adjustRightInd w:val="0"/>
        <w:spacing w:after="0" w:line="240" w:lineRule="auto"/>
        <w:ind w:firstLine="720"/>
        <w:rPr>
          <w:rFonts w:ascii="Arial" w:eastAsia="Aptos" w:hAnsi="Arial" w:cs="Arial"/>
          <w:b/>
          <w:bCs/>
          <w:color w:val="000000"/>
          <w:sz w:val="28"/>
          <w:szCs w:val="28"/>
          <w14:ligatures w14:val="standardContextual"/>
        </w:rPr>
      </w:pPr>
    </w:p>
    <w:p w14:paraId="21A32435" w14:textId="21CA969A" w:rsidR="00EE63D7" w:rsidRDefault="00B41016" w:rsidP="00EE63D7">
      <w:pPr>
        <w:autoSpaceDE w:val="0"/>
        <w:autoSpaceDN w:val="0"/>
        <w:adjustRightInd w:val="0"/>
        <w:spacing w:after="0" w:line="240" w:lineRule="auto"/>
        <w:ind w:left="720" w:hanging="720"/>
        <w:rPr>
          <w:rFonts w:ascii="Arial" w:eastAsia="Aptos" w:hAnsi="Arial" w:cs="Arial"/>
          <w:color w:val="000000"/>
          <w:sz w:val="28"/>
          <w:szCs w:val="28"/>
          <w14:ligatures w14:val="standardContextual"/>
        </w:rPr>
      </w:pPr>
      <w:r w:rsidRPr="00B41016">
        <w:rPr>
          <w:rFonts w:ascii="Arial" w:eastAsia="Aptos" w:hAnsi="Arial" w:cs="Arial"/>
          <w:color w:val="000000"/>
          <w:sz w:val="28"/>
          <w:szCs w:val="28"/>
          <w14:ligatures w14:val="standardContextual"/>
        </w:rPr>
        <w:tab/>
        <w:t>If a tenant has concerns about how their case was handled (e.g., delays, inadequate service, or staff conduct), they can submit a complaint</w:t>
      </w:r>
      <w:r w:rsidR="00EE63D7">
        <w:rPr>
          <w:rFonts w:ascii="Arial" w:eastAsia="Aptos" w:hAnsi="Arial" w:cs="Arial"/>
          <w:color w:val="000000"/>
          <w:sz w:val="28"/>
          <w:szCs w:val="28"/>
          <w14:ligatures w14:val="standardContextual"/>
        </w:rPr>
        <w:t xml:space="preserve"> in the following ways:</w:t>
      </w:r>
    </w:p>
    <w:p w14:paraId="100F5E24" w14:textId="77777777" w:rsidR="00EE63D7" w:rsidRDefault="00EE63D7" w:rsidP="00EE63D7">
      <w:pPr>
        <w:autoSpaceDE w:val="0"/>
        <w:autoSpaceDN w:val="0"/>
        <w:adjustRightInd w:val="0"/>
        <w:spacing w:after="0" w:line="240" w:lineRule="auto"/>
        <w:ind w:left="720" w:hanging="720"/>
        <w:rPr>
          <w:rFonts w:ascii="Arial" w:eastAsia="Aptos" w:hAnsi="Arial" w:cs="Arial"/>
          <w:color w:val="000000"/>
          <w:sz w:val="28"/>
          <w:szCs w:val="28"/>
          <w14:ligatures w14:val="standardContextual"/>
        </w:rPr>
      </w:pPr>
    </w:p>
    <w:p w14:paraId="1A628F10" w14:textId="77777777" w:rsidR="00EE63D7" w:rsidRDefault="00EE63D7" w:rsidP="00EE63D7">
      <w:pPr>
        <w:pStyle w:val="ListParagraph"/>
        <w:numPr>
          <w:ilvl w:val="0"/>
          <w:numId w:val="29"/>
        </w:numPr>
        <w:autoSpaceDE w:val="0"/>
        <w:autoSpaceDN w:val="0"/>
        <w:adjustRightInd w:val="0"/>
        <w:spacing w:after="0" w:line="240" w:lineRule="auto"/>
        <w:rPr>
          <w:rFonts w:ascii="Arial" w:eastAsia="Aptos" w:hAnsi="Arial" w:cs="Arial"/>
          <w:color w:val="000000"/>
          <w:sz w:val="28"/>
          <w:szCs w:val="28"/>
          <w14:ligatures w14:val="standardContextual"/>
        </w:rPr>
      </w:pPr>
      <w:r w:rsidRPr="00EE63D7">
        <w:rPr>
          <w:rFonts w:ascii="Arial" w:eastAsia="Aptos" w:hAnsi="Arial" w:cs="Arial"/>
          <w:b/>
          <w:bCs/>
          <w:color w:val="000000"/>
          <w:sz w:val="28"/>
          <w:szCs w:val="28"/>
          <w14:ligatures w14:val="standardContextual"/>
        </w:rPr>
        <w:t>Online</w:t>
      </w:r>
      <w:r w:rsidRPr="00EE63D7">
        <w:rPr>
          <w:rFonts w:ascii="Arial" w:eastAsia="Aptos" w:hAnsi="Arial" w:cs="Arial"/>
          <w:color w:val="000000"/>
          <w:sz w:val="28"/>
          <w:szCs w:val="28"/>
          <w14:ligatures w14:val="standardContextual"/>
        </w:rPr>
        <w:t>: </w:t>
      </w:r>
      <w:hyperlink r:id="rId15" w:history="1">
        <w:r w:rsidRPr="00EE63D7">
          <w:rPr>
            <w:rStyle w:val="Hyperlink"/>
            <w:rFonts w:ascii="Arial" w:eastAsia="Aptos" w:hAnsi="Arial" w:cs="Arial"/>
            <w:b/>
            <w:bCs/>
            <w:sz w:val="28"/>
            <w:szCs w:val="28"/>
            <w14:ligatures w14:val="standardContextual"/>
          </w:rPr>
          <w:t xml:space="preserve">Contact us online via </w:t>
        </w:r>
        <w:proofErr w:type="spellStart"/>
        <w:r w:rsidRPr="00EE63D7">
          <w:rPr>
            <w:rStyle w:val="Hyperlink"/>
            <w:rFonts w:ascii="Arial" w:eastAsia="Aptos" w:hAnsi="Arial" w:cs="Arial"/>
            <w:b/>
            <w:bCs/>
            <w:sz w:val="28"/>
            <w:szCs w:val="28"/>
            <w14:ligatures w14:val="standardContextual"/>
          </w:rPr>
          <w:t>MySandwell</w:t>
        </w:r>
        <w:proofErr w:type="spellEnd"/>
      </w:hyperlink>
    </w:p>
    <w:p w14:paraId="35E9F58B" w14:textId="77777777" w:rsidR="00EE63D7" w:rsidRDefault="00EE63D7" w:rsidP="00EE63D7">
      <w:pPr>
        <w:pStyle w:val="ListParagraph"/>
        <w:numPr>
          <w:ilvl w:val="0"/>
          <w:numId w:val="29"/>
        </w:numPr>
        <w:autoSpaceDE w:val="0"/>
        <w:autoSpaceDN w:val="0"/>
        <w:adjustRightInd w:val="0"/>
        <w:spacing w:after="0" w:line="240" w:lineRule="auto"/>
        <w:rPr>
          <w:rFonts w:ascii="Arial" w:eastAsia="Aptos" w:hAnsi="Arial" w:cs="Arial"/>
          <w:color w:val="000000"/>
          <w:sz w:val="28"/>
          <w:szCs w:val="28"/>
          <w14:ligatures w14:val="standardContextual"/>
        </w:rPr>
      </w:pPr>
      <w:r w:rsidRPr="00EE63D7">
        <w:rPr>
          <w:rFonts w:ascii="Arial" w:eastAsia="Aptos" w:hAnsi="Arial" w:cs="Arial"/>
          <w:b/>
          <w:bCs/>
          <w:color w:val="000000"/>
          <w:sz w:val="28"/>
          <w:szCs w:val="28"/>
          <w14:ligatures w14:val="standardContextual"/>
        </w:rPr>
        <w:t>Email</w:t>
      </w:r>
      <w:r w:rsidRPr="00EE63D7">
        <w:rPr>
          <w:rFonts w:ascii="Arial" w:eastAsia="Aptos" w:hAnsi="Arial" w:cs="Arial"/>
          <w:color w:val="000000"/>
          <w:sz w:val="28"/>
          <w:szCs w:val="28"/>
          <w14:ligatures w14:val="standardContextual"/>
        </w:rPr>
        <w:t>: </w:t>
      </w:r>
      <w:hyperlink r:id="rId16" w:history="1">
        <w:r w:rsidRPr="00EE63D7">
          <w:rPr>
            <w:rStyle w:val="Hyperlink"/>
            <w:rFonts w:ascii="Arial" w:eastAsia="Aptos" w:hAnsi="Arial" w:cs="Arial"/>
            <w:b/>
            <w:bCs/>
            <w:sz w:val="28"/>
            <w:szCs w:val="28"/>
            <w14:ligatures w14:val="standardContextual"/>
          </w:rPr>
          <w:t>customer_services@sandwell.gov.uk</w:t>
        </w:r>
      </w:hyperlink>
    </w:p>
    <w:p w14:paraId="292E733A" w14:textId="77777777" w:rsidR="00EE63D7" w:rsidRDefault="00EE63D7" w:rsidP="00EE63D7">
      <w:pPr>
        <w:pStyle w:val="ListParagraph"/>
        <w:numPr>
          <w:ilvl w:val="0"/>
          <w:numId w:val="29"/>
        </w:numPr>
        <w:autoSpaceDE w:val="0"/>
        <w:autoSpaceDN w:val="0"/>
        <w:adjustRightInd w:val="0"/>
        <w:spacing w:after="0" w:line="240" w:lineRule="auto"/>
        <w:rPr>
          <w:rFonts w:ascii="Arial" w:eastAsia="Aptos" w:hAnsi="Arial" w:cs="Arial"/>
          <w:color w:val="000000"/>
          <w:sz w:val="28"/>
          <w:szCs w:val="28"/>
          <w14:ligatures w14:val="standardContextual"/>
        </w:rPr>
      </w:pPr>
      <w:r w:rsidRPr="00EE63D7">
        <w:rPr>
          <w:rFonts w:ascii="Arial" w:eastAsia="Aptos" w:hAnsi="Arial" w:cs="Arial"/>
          <w:b/>
          <w:bCs/>
          <w:color w:val="000000"/>
          <w:sz w:val="28"/>
          <w:szCs w:val="28"/>
          <w14:ligatures w14:val="standardContextual"/>
        </w:rPr>
        <w:t>Phone</w:t>
      </w:r>
      <w:r w:rsidRPr="00EE63D7">
        <w:rPr>
          <w:rFonts w:ascii="Arial" w:eastAsia="Aptos" w:hAnsi="Arial" w:cs="Arial"/>
          <w:color w:val="000000"/>
          <w:sz w:val="28"/>
          <w:szCs w:val="28"/>
          <w14:ligatures w14:val="standardContextual"/>
        </w:rPr>
        <w:t>: 0121 569 7867</w:t>
      </w:r>
    </w:p>
    <w:p w14:paraId="01029239" w14:textId="6EF873F1" w:rsidR="00B41016" w:rsidRPr="007A11F5" w:rsidRDefault="00EE63D7" w:rsidP="007A11F5">
      <w:pPr>
        <w:pStyle w:val="ListParagraph"/>
        <w:numPr>
          <w:ilvl w:val="0"/>
          <w:numId w:val="29"/>
        </w:numPr>
        <w:autoSpaceDE w:val="0"/>
        <w:autoSpaceDN w:val="0"/>
        <w:adjustRightInd w:val="0"/>
        <w:spacing w:after="0" w:line="240" w:lineRule="auto"/>
        <w:rPr>
          <w:rFonts w:ascii="Arial" w:eastAsia="Aptos" w:hAnsi="Arial" w:cs="Arial"/>
          <w:color w:val="000000"/>
          <w:sz w:val="28"/>
          <w:szCs w:val="28"/>
          <w14:ligatures w14:val="standardContextual"/>
        </w:rPr>
      </w:pPr>
      <w:r w:rsidRPr="00EE63D7">
        <w:rPr>
          <w:rFonts w:ascii="Arial" w:eastAsia="Aptos" w:hAnsi="Arial" w:cs="Arial"/>
          <w:b/>
          <w:bCs/>
          <w:color w:val="000000"/>
          <w:sz w:val="28"/>
          <w:szCs w:val="28"/>
          <w14:ligatures w14:val="standardContextual"/>
        </w:rPr>
        <w:t>Write in</w:t>
      </w:r>
      <w:r w:rsidRPr="00EE63D7">
        <w:rPr>
          <w:rFonts w:ascii="Arial" w:eastAsia="Aptos" w:hAnsi="Arial" w:cs="Arial"/>
          <w:color w:val="000000"/>
          <w:sz w:val="28"/>
          <w:szCs w:val="28"/>
          <w14:ligatures w14:val="standardContextual"/>
        </w:rPr>
        <w:t>: Customer Feedback Team, Sandwell Council, Roway Lane, Oldbury, B69 3ES.</w:t>
      </w:r>
    </w:p>
    <w:p w14:paraId="693E9967" w14:textId="77777777" w:rsidR="00FD71FB" w:rsidRPr="00D76427" w:rsidRDefault="00FD71FB" w:rsidP="00B41016">
      <w:pPr>
        <w:rPr>
          <w:rFonts w:ascii="Arial" w:hAnsi="Arial" w:cs="Arial"/>
          <w:sz w:val="28"/>
          <w:szCs w:val="28"/>
        </w:rPr>
      </w:pPr>
    </w:p>
    <w:p w14:paraId="4D6B868B"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221176229"/>
      <w:r w:rsidRPr="00D76427">
        <w:rPr>
          <w:rFonts w:ascii="Arial" w:eastAsiaTheme="majorEastAsia" w:hAnsi="Arial" w:cs="Arial"/>
          <w:b/>
          <w:bCs/>
          <w:color w:val="2F5496" w:themeColor="accent1" w:themeShade="BF"/>
          <w:sz w:val="28"/>
          <w:szCs w:val="28"/>
        </w:rPr>
        <w:t>Development of Policy</w:t>
      </w:r>
      <w:bookmarkEnd w:id="15"/>
    </w:p>
    <w:p w14:paraId="311550DF" w14:textId="77777777" w:rsidR="0045700D" w:rsidRPr="00D76427" w:rsidRDefault="0045700D" w:rsidP="0045700D">
      <w:pPr>
        <w:pStyle w:val="ListParagraph"/>
        <w:ind w:left="567"/>
        <w:rPr>
          <w:rFonts w:ascii="Arial" w:hAnsi="Arial" w:cs="Arial"/>
          <w:sz w:val="28"/>
          <w:szCs w:val="28"/>
        </w:rPr>
      </w:pPr>
    </w:p>
    <w:p w14:paraId="19CC54B4" w14:textId="2C255864" w:rsidR="0045700D" w:rsidRPr="00D76427" w:rsidRDefault="00C94EEE" w:rsidP="0045700D">
      <w:pPr>
        <w:pStyle w:val="ListParagraph"/>
        <w:numPr>
          <w:ilvl w:val="1"/>
          <w:numId w:val="1"/>
        </w:numPr>
        <w:ind w:left="567" w:hanging="567"/>
        <w:rPr>
          <w:rFonts w:ascii="Arial" w:hAnsi="Arial" w:cs="Arial"/>
          <w:sz w:val="28"/>
          <w:szCs w:val="28"/>
        </w:rPr>
      </w:pPr>
      <w:r w:rsidRPr="00D76427">
        <w:rPr>
          <w:rFonts w:ascii="Arial" w:hAnsi="Arial" w:cs="Arial"/>
          <w:sz w:val="28"/>
          <w:szCs w:val="28"/>
        </w:rPr>
        <w:t>Sandwell Council recognises the importance of clear and effective communication to ensure that tenants are fully informed and supported throughout the mutual exchange process. To support this, the Council consulted residents on a draft version of this Mutual Exchange Policy, giving tenants the opportunity to provide feedback both online and in person.</w:t>
      </w:r>
    </w:p>
    <w:p w14:paraId="4EDA4120" w14:textId="77777777" w:rsidR="0045700D" w:rsidRPr="00D76427" w:rsidRDefault="0045700D" w:rsidP="0045700D">
      <w:pPr>
        <w:pStyle w:val="ListParagraph"/>
        <w:ind w:left="567"/>
        <w:rPr>
          <w:rFonts w:ascii="Arial" w:hAnsi="Arial" w:cs="Arial"/>
          <w:sz w:val="28"/>
          <w:szCs w:val="28"/>
        </w:rPr>
      </w:pPr>
    </w:p>
    <w:p w14:paraId="26014A42" w14:textId="2D7CC71E" w:rsidR="0045700D" w:rsidRPr="00D76427" w:rsidRDefault="00EC4247" w:rsidP="0045700D">
      <w:pPr>
        <w:pStyle w:val="ListParagraph"/>
        <w:numPr>
          <w:ilvl w:val="1"/>
          <w:numId w:val="1"/>
        </w:numPr>
        <w:ind w:left="567" w:hanging="567"/>
        <w:rPr>
          <w:rFonts w:ascii="Arial" w:hAnsi="Arial" w:cs="Arial"/>
          <w:sz w:val="28"/>
          <w:szCs w:val="28"/>
        </w:rPr>
      </w:pPr>
      <w:r w:rsidRPr="00D76427">
        <w:rPr>
          <w:rFonts w:ascii="Arial" w:hAnsi="Arial" w:cs="Arial"/>
          <w:sz w:val="28"/>
          <w:szCs w:val="28"/>
        </w:rPr>
        <w:t xml:space="preserve">By taking residents’ views into account, the Council has been able to shape this policy to ensure the mutual exchange process is fair, </w:t>
      </w:r>
      <w:r w:rsidRPr="00D76427">
        <w:rPr>
          <w:rFonts w:ascii="Arial" w:hAnsi="Arial" w:cs="Arial"/>
          <w:sz w:val="28"/>
          <w:szCs w:val="28"/>
        </w:rPr>
        <w:lastRenderedPageBreak/>
        <w:t>transparent, and easy to understand, and that it meets the needs of tenants wishing to exchange their homes.</w:t>
      </w:r>
    </w:p>
    <w:p w14:paraId="1A8A9374" w14:textId="77777777" w:rsidR="0045700D" w:rsidRPr="00D76427" w:rsidRDefault="0045700D" w:rsidP="0045700D">
      <w:pPr>
        <w:rPr>
          <w:rFonts w:ascii="Arial" w:hAnsi="Arial" w:cs="Arial"/>
          <w:sz w:val="28"/>
          <w:szCs w:val="28"/>
        </w:rPr>
      </w:pPr>
    </w:p>
    <w:p w14:paraId="51479BF0"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6" w:name="_Toc221176230"/>
      <w:r w:rsidRPr="00D76427">
        <w:rPr>
          <w:rFonts w:ascii="Arial" w:eastAsiaTheme="majorEastAsia" w:hAnsi="Arial" w:cs="Arial"/>
          <w:b/>
          <w:bCs/>
          <w:color w:val="2F5496" w:themeColor="accent1" w:themeShade="BF"/>
          <w:sz w:val="28"/>
          <w:szCs w:val="28"/>
        </w:rPr>
        <w:t>Related Documents</w:t>
      </w:r>
      <w:bookmarkEnd w:id="16"/>
      <w:r w:rsidRPr="00D76427">
        <w:rPr>
          <w:rFonts w:ascii="Arial" w:eastAsiaTheme="majorEastAsia" w:hAnsi="Arial" w:cs="Arial"/>
          <w:b/>
          <w:bCs/>
          <w:color w:val="2F5496" w:themeColor="accent1" w:themeShade="BF"/>
          <w:sz w:val="28"/>
          <w:szCs w:val="28"/>
        </w:rPr>
        <w:t xml:space="preserve"> </w:t>
      </w:r>
    </w:p>
    <w:p w14:paraId="43361503" w14:textId="77777777" w:rsidR="0045700D" w:rsidRPr="00D76427"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246B9A2C" w14:textId="72D689BC" w:rsidR="0045700D" w:rsidRPr="00D76427" w:rsidRDefault="0045700D" w:rsidP="009D1289">
      <w:pPr>
        <w:pStyle w:val="ListParagraph"/>
        <w:numPr>
          <w:ilvl w:val="1"/>
          <w:numId w:val="1"/>
        </w:numPr>
        <w:ind w:left="567" w:hanging="567"/>
        <w:rPr>
          <w:rFonts w:ascii="Arial" w:hAnsi="Arial" w:cs="Arial"/>
          <w:sz w:val="28"/>
          <w:szCs w:val="28"/>
        </w:rPr>
      </w:pPr>
      <w:r w:rsidRPr="00D76427">
        <w:rPr>
          <w:rFonts w:ascii="Arial" w:hAnsi="Arial" w:cs="Arial"/>
          <w:sz w:val="28"/>
          <w:szCs w:val="28"/>
        </w:rPr>
        <w:t>This section should reference other key documents that must be read in conjunction with this policy.</w:t>
      </w:r>
      <w:r w:rsidR="009D1289" w:rsidRPr="00D76427">
        <w:rPr>
          <w:rFonts w:ascii="Arial" w:hAnsi="Arial" w:cs="Arial"/>
          <w:sz w:val="28"/>
          <w:szCs w:val="28"/>
        </w:rPr>
        <w:t xml:space="preserve"> </w:t>
      </w:r>
    </w:p>
    <w:p w14:paraId="5970160A" w14:textId="196BA5C3" w:rsidR="009D1289" w:rsidRPr="00D76427" w:rsidRDefault="00BD342A" w:rsidP="009D1289">
      <w:pPr>
        <w:pStyle w:val="ListParagraph"/>
        <w:numPr>
          <w:ilvl w:val="0"/>
          <w:numId w:val="8"/>
        </w:numPr>
        <w:rPr>
          <w:rFonts w:ascii="Arial" w:hAnsi="Arial" w:cs="Arial"/>
          <w:sz w:val="28"/>
          <w:szCs w:val="28"/>
        </w:rPr>
      </w:pPr>
      <w:hyperlink r:id="rId17" w:history="1">
        <w:r w:rsidRPr="00D76427">
          <w:rPr>
            <w:rStyle w:val="Hyperlink"/>
            <w:rFonts w:ascii="Arial" w:hAnsi="Arial" w:cs="Arial"/>
            <w:sz w:val="28"/>
            <w:szCs w:val="28"/>
          </w:rPr>
          <w:t>Housing Allocations Policy</w:t>
        </w:r>
      </w:hyperlink>
    </w:p>
    <w:p w14:paraId="69582FC0" w14:textId="186985B3" w:rsidR="00BD342A" w:rsidRPr="00D76427" w:rsidRDefault="00BD342A" w:rsidP="009D1289">
      <w:pPr>
        <w:pStyle w:val="ListParagraph"/>
        <w:numPr>
          <w:ilvl w:val="0"/>
          <w:numId w:val="8"/>
        </w:numPr>
        <w:rPr>
          <w:rFonts w:ascii="Arial" w:hAnsi="Arial" w:cs="Arial"/>
          <w:sz w:val="28"/>
          <w:szCs w:val="28"/>
        </w:rPr>
      </w:pPr>
      <w:hyperlink r:id="rId18" w:history="1">
        <w:r w:rsidRPr="00D76427">
          <w:rPr>
            <w:rStyle w:val="Hyperlink"/>
            <w:rFonts w:ascii="Arial" w:hAnsi="Arial" w:cs="Arial"/>
            <w:sz w:val="28"/>
            <w:szCs w:val="28"/>
          </w:rPr>
          <w:t>Tenant Handbook</w:t>
        </w:r>
      </w:hyperlink>
    </w:p>
    <w:p w14:paraId="6F84B75A" w14:textId="68634019" w:rsidR="00BD342A" w:rsidRPr="00134DA4" w:rsidRDefault="00BD342A" w:rsidP="009D1289">
      <w:pPr>
        <w:pStyle w:val="ListParagraph"/>
        <w:numPr>
          <w:ilvl w:val="0"/>
          <w:numId w:val="8"/>
        </w:numPr>
        <w:rPr>
          <w:rFonts w:ascii="Arial" w:hAnsi="Arial" w:cs="Arial"/>
          <w:sz w:val="28"/>
          <w:szCs w:val="28"/>
        </w:rPr>
      </w:pPr>
      <w:hyperlink r:id="rId19" w:history="1">
        <w:r w:rsidRPr="00D76427">
          <w:rPr>
            <w:rStyle w:val="Hyperlink"/>
            <w:rFonts w:ascii="Arial" w:hAnsi="Arial" w:cs="Arial"/>
            <w:sz w:val="28"/>
            <w:szCs w:val="28"/>
          </w:rPr>
          <w:t>Housing Repairs and Maintenance Policy</w:t>
        </w:r>
      </w:hyperlink>
    </w:p>
    <w:p w14:paraId="03DAA95B" w14:textId="1FD6CD29" w:rsidR="00134DA4" w:rsidRDefault="00134DA4" w:rsidP="009D1289">
      <w:pPr>
        <w:pStyle w:val="ListParagraph"/>
        <w:numPr>
          <w:ilvl w:val="0"/>
          <w:numId w:val="8"/>
        </w:numPr>
        <w:rPr>
          <w:rFonts w:ascii="Arial" w:hAnsi="Arial" w:cs="Arial"/>
          <w:sz w:val="28"/>
          <w:szCs w:val="28"/>
        </w:rPr>
      </w:pPr>
      <w:hyperlink r:id="rId20" w:history="1">
        <w:r w:rsidRPr="0069711B">
          <w:rPr>
            <w:rStyle w:val="Hyperlink"/>
            <w:rFonts w:ascii="Arial" w:hAnsi="Arial" w:cs="Arial"/>
            <w:sz w:val="28"/>
            <w:szCs w:val="28"/>
          </w:rPr>
          <w:t>Tenancy Fraud Policy</w:t>
        </w:r>
      </w:hyperlink>
    </w:p>
    <w:p w14:paraId="0D0DEDC4" w14:textId="7B0608C1" w:rsidR="00134DA4" w:rsidRPr="00D76427" w:rsidRDefault="00134DA4" w:rsidP="009D1289">
      <w:pPr>
        <w:pStyle w:val="ListParagraph"/>
        <w:numPr>
          <w:ilvl w:val="0"/>
          <w:numId w:val="8"/>
        </w:numPr>
        <w:rPr>
          <w:rFonts w:ascii="Arial" w:hAnsi="Arial" w:cs="Arial"/>
          <w:sz w:val="28"/>
          <w:szCs w:val="28"/>
        </w:rPr>
      </w:pPr>
      <w:hyperlink r:id="rId21" w:history="1">
        <w:r w:rsidRPr="00723A09">
          <w:rPr>
            <w:rStyle w:val="Hyperlink"/>
            <w:rFonts w:ascii="Arial" w:hAnsi="Arial" w:cs="Arial"/>
            <w:sz w:val="28"/>
            <w:szCs w:val="28"/>
          </w:rPr>
          <w:t>Tenancy Sustainment Policy</w:t>
        </w:r>
      </w:hyperlink>
    </w:p>
    <w:p w14:paraId="26591169" w14:textId="036AB082" w:rsidR="00BD342A" w:rsidRPr="00D76427" w:rsidRDefault="00BD342A" w:rsidP="009D1289">
      <w:pPr>
        <w:pStyle w:val="ListParagraph"/>
        <w:numPr>
          <w:ilvl w:val="0"/>
          <w:numId w:val="8"/>
        </w:numPr>
        <w:rPr>
          <w:rFonts w:ascii="Arial" w:hAnsi="Arial" w:cs="Arial"/>
          <w:sz w:val="28"/>
          <w:szCs w:val="28"/>
        </w:rPr>
      </w:pPr>
      <w:r w:rsidRPr="00D76427">
        <w:rPr>
          <w:rFonts w:ascii="Arial" w:hAnsi="Arial" w:cs="Arial"/>
          <w:sz w:val="28"/>
          <w:szCs w:val="28"/>
        </w:rPr>
        <w:t>Succession Policy</w:t>
      </w:r>
    </w:p>
    <w:p w14:paraId="04EA1828" w14:textId="259920E9" w:rsidR="00B06ABA" w:rsidRPr="00D76427" w:rsidRDefault="00B06ABA" w:rsidP="009D1289">
      <w:pPr>
        <w:pStyle w:val="ListParagraph"/>
        <w:numPr>
          <w:ilvl w:val="0"/>
          <w:numId w:val="8"/>
        </w:numPr>
        <w:rPr>
          <w:rFonts w:ascii="Arial" w:hAnsi="Arial" w:cs="Arial"/>
          <w:sz w:val="28"/>
          <w:szCs w:val="28"/>
        </w:rPr>
      </w:pPr>
      <w:hyperlink r:id="rId22" w:history="1">
        <w:r w:rsidRPr="00D76427">
          <w:rPr>
            <w:rStyle w:val="Hyperlink"/>
            <w:rFonts w:ascii="Arial" w:hAnsi="Arial" w:cs="Arial"/>
            <w:sz w:val="28"/>
            <w:szCs w:val="28"/>
          </w:rPr>
          <w:t xml:space="preserve">Regulator </w:t>
        </w:r>
        <w:r w:rsidR="00344D8D" w:rsidRPr="00D76427">
          <w:rPr>
            <w:rStyle w:val="Hyperlink"/>
            <w:rFonts w:ascii="Arial" w:hAnsi="Arial" w:cs="Arial"/>
            <w:sz w:val="28"/>
            <w:szCs w:val="28"/>
          </w:rPr>
          <w:t>of Social Housing Consumer Standards</w:t>
        </w:r>
      </w:hyperlink>
      <w:r w:rsidR="00344D8D" w:rsidRPr="00D76427">
        <w:rPr>
          <w:rFonts w:ascii="Arial" w:hAnsi="Arial" w:cs="Arial"/>
          <w:sz w:val="28"/>
          <w:szCs w:val="28"/>
        </w:rPr>
        <w:t xml:space="preserve"> </w:t>
      </w:r>
    </w:p>
    <w:p w14:paraId="40DA8239" w14:textId="77777777" w:rsidR="0045700D" w:rsidRPr="00D76427" w:rsidRDefault="0045700D" w:rsidP="0045700D">
      <w:pPr>
        <w:rPr>
          <w:rFonts w:ascii="Arial" w:hAnsi="Arial" w:cs="Arial"/>
          <w:sz w:val="28"/>
          <w:szCs w:val="28"/>
        </w:rPr>
      </w:pPr>
    </w:p>
    <w:p w14:paraId="19C2AB49"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7" w:name="_Toc221176231"/>
      <w:bookmarkStart w:id="18" w:name="_Hlk164765064"/>
      <w:r w:rsidRPr="00D76427">
        <w:rPr>
          <w:rFonts w:ascii="Arial" w:eastAsiaTheme="majorEastAsia" w:hAnsi="Arial" w:cs="Arial"/>
          <w:b/>
          <w:bCs/>
          <w:color w:val="2F5496" w:themeColor="accent1" w:themeShade="BF"/>
          <w:sz w:val="28"/>
          <w:szCs w:val="28"/>
        </w:rPr>
        <w:t>Legal Framework</w:t>
      </w:r>
      <w:bookmarkEnd w:id="17"/>
      <w:r w:rsidRPr="00D76427">
        <w:rPr>
          <w:rFonts w:ascii="Arial" w:eastAsiaTheme="majorEastAsia" w:hAnsi="Arial" w:cs="Arial"/>
          <w:b/>
          <w:bCs/>
          <w:color w:val="2F5496" w:themeColor="accent1" w:themeShade="BF"/>
          <w:sz w:val="28"/>
          <w:szCs w:val="28"/>
        </w:rPr>
        <w:t xml:space="preserve"> </w:t>
      </w:r>
    </w:p>
    <w:bookmarkEnd w:id="18"/>
    <w:p w14:paraId="5C31DC8B" w14:textId="77777777" w:rsidR="0045700D" w:rsidRPr="00D76427"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1B41F075" w14:textId="1DB750B2" w:rsidR="00BC2C1C" w:rsidRPr="00D76427" w:rsidRDefault="00BC2C1C" w:rsidP="00BC2C1C">
      <w:pPr>
        <w:pStyle w:val="ListParagraph"/>
        <w:numPr>
          <w:ilvl w:val="1"/>
          <w:numId w:val="1"/>
        </w:numPr>
        <w:ind w:left="567" w:hanging="567"/>
        <w:rPr>
          <w:rFonts w:ascii="Arial" w:hAnsi="Arial" w:cs="Arial"/>
          <w:sz w:val="28"/>
          <w:szCs w:val="28"/>
        </w:rPr>
      </w:pPr>
      <w:r w:rsidRPr="00D76427">
        <w:rPr>
          <w:rFonts w:ascii="Arial" w:hAnsi="Arial" w:cs="Arial"/>
          <w:sz w:val="28"/>
          <w:szCs w:val="28"/>
        </w:rPr>
        <w:t xml:space="preserve">The Housing Act 1985, which grants secure tenants the right to exchange, subject to landlord consent, and outlines specific grounds under which a mutual exchange may be refused. </w:t>
      </w:r>
    </w:p>
    <w:p w14:paraId="2BA3A67E" w14:textId="77777777" w:rsidR="00BC2C1C" w:rsidRPr="00D76427" w:rsidRDefault="00BC2C1C" w:rsidP="00BC2C1C">
      <w:pPr>
        <w:pStyle w:val="ListParagraph"/>
        <w:ind w:left="567"/>
        <w:rPr>
          <w:rFonts w:ascii="Arial" w:hAnsi="Arial" w:cs="Arial"/>
          <w:sz w:val="28"/>
          <w:szCs w:val="28"/>
        </w:rPr>
      </w:pPr>
    </w:p>
    <w:p w14:paraId="50E8F6CE" w14:textId="092EC96A" w:rsidR="0045700D" w:rsidRPr="00D76427" w:rsidRDefault="00BC2C1C" w:rsidP="00BC2C1C">
      <w:pPr>
        <w:pStyle w:val="ListParagraph"/>
        <w:numPr>
          <w:ilvl w:val="1"/>
          <w:numId w:val="1"/>
        </w:numPr>
        <w:ind w:left="567" w:hanging="567"/>
        <w:rPr>
          <w:rFonts w:ascii="Arial" w:hAnsi="Arial" w:cs="Arial"/>
          <w:sz w:val="28"/>
          <w:szCs w:val="28"/>
        </w:rPr>
      </w:pPr>
      <w:r w:rsidRPr="00BC2C1C">
        <w:rPr>
          <w:rFonts w:ascii="Arial" w:hAnsi="Arial" w:cs="Arial"/>
          <w:sz w:val="28"/>
          <w:szCs w:val="28"/>
        </w:rPr>
        <w:t>Assignments - Secure tenants have the right to assign their tenancy by way of exchange under Section of Section 92 of the Housing Act 1985 as amended.</w:t>
      </w:r>
    </w:p>
    <w:p w14:paraId="5FEBE691" w14:textId="77777777" w:rsidR="00BC2C1C" w:rsidRPr="00D76427" w:rsidRDefault="00BC2C1C" w:rsidP="00BC2C1C">
      <w:pPr>
        <w:pStyle w:val="ListParagraph"/>
        <w:ind w:left="567"/>
        <w:rPr>
          <w:rFonts w:ascii="Arial" w:hAnsi="Arial" w:cs="Arial"/>
          <w:sz w:val="28"/>
          <w:szCs w:val="28"/>
        </w:rPr>
      </w:pPr>
      <w:bookmarkStart w:id="19" w:name="_Hlk164767531"/>
    </w:p>
    <w:p w14:paraId="145117E0" w14:textId="56E13CE2" w:rsidR="0045700D" w:rsidRPr="00D76427" w:rsidRDefault="00286E2A" w:rsidP="0045700D">
      <w:pPr>
        <w:pStyle w:val="ListParagraph"/>
        <w:numPr>
          <w:ilvl w:val="1"/>
          <w:numId w:val="1"/>
        </w:numPr>
        <w:ind w:left="567" w:hanging="567"/>
        <w:rPr>
          <w:rFonts w:ascii="Arial" w:hAnsi="Arial" w:cs="Arial"/>
          <w:sz w:val="28"/>
          <w:szCs w:val="28"/>
        </w:rPr>
      </w:pPr>
      <w:bookmarkStart w:id="20" w:name="_Hlk164767606"/>
      <w:r w:rsidRPr="00D76427">
        <w:rPr>
          <w:rFonts w:ascii="Arial" w:hAnsi="Arial" w:cs="Arial"/>
          <w:sz w:val="28"/>
          <w:szCs w:val="28"/>
        </w:rPr>
        <w:t>The Localism Act 2011, which sets out provisions for tenants on secure, flexible or fixed-term tenancies, and sets out additional grounds for refusing exchanges in these cases.</w:t>
      </w:r>
    </w:p>
    <w:bookmarkEnd w:id="19"/>
    <w:bookmarkEnd w:id="20"/>
    <w:p w14:paraId="060DBA74" w14:textId="77777777" w:rsidR="0045700D" w:rsidRPr="00D76427" w:rsidRDefault="0045700D" w:rsidP="0045700D">
      <w:pPr>
        <w:pStyle w:val="ListParagraph"/>
        <w:rPr>
          <w:rFonts w:ascii="Arial" w:hAnsi="Arial" w:cs="Arial"/>
          <w:sz w:val="28"/>
          <w:szCs w:val="28"/>
        </w:rPr>
      </w:pPr>
    </w:p>
    <w:p w14:paraId="57B6B1F5" w14:textId="67A194B4" w:rsidR="0045700D" w:rsidRPr="00D76427" w:rsidRDefault="003A6724" w:rsidP="0045700D">
      <w:pPr>
        <w:pStyle w:val="ListParagraph"/>
        <w:numPr>
          <w:ilvl w:val="1"/>
          <w:numId w:val="1"/>
        </w:numPr>
        <w:ind w:left="567" w:hanging="567"/>
        <w:rPr>
          <w:rFonts w:ascii="Arial" w:hAnsi="Arial" w:cs="Arial"/>
          <w:sz w:val="28"/>
          <w:szCs w:val="28"/>
        </w:rPr>
      </w:pPr>
      <w:r w:rsidRPr="00D76427">
        <w:rPr>
          <w:rFonts w:ascii="Arial" w:hAnsi="Arial" w:cs="Arial"/>
          <w:sz w:val="28"/>
          <w:szCs w:val="28"/>
        </w:rPr>
        <w:t>Surrender and Re-Grant - Section 158 of the Localism Act creates a new mechanism for mutual exchanges based on the granting of new tenancies. The section introduces a protection for assured lifetime tenants who were granted their tenancy prior to 1 April 2012. 3.2.2. If Tenant A (a lifetime tenant whose tenancy was granted prior to 1 April 2012) wishes to exchange with Tenant B (a fixed term tenant) then a new tenancy is issued to each Tenant and Tenant A is granted another assured tenancy</w:t>
      </w:r>
    </w:p>
    <w:p w14:paraId="16D5D83A" w14:textId="77777777" w:rsidR="0045700D" w:rsidRPr="00D76427" w:rsidRDefault="0045700D" w:rsidP="0045700D">
      <w:pPr>
        <w:pStyle w:val="ListParagraph"/>
        <w:rPr>
          <w:rFonts w:ascii="Arial" w:hAnsi="Arial" w:cs="Arial"/>
          <w:sz w:val="28"/>
          <w:szCs w:val="28"/>
        </w:rPr>
      </w:pPr>
    </w:p>
    <w:p w14:paraId="1246D765" w14:textId="2FA7C3DB" w:rsidR="007A6153" w:rsidRPr="00D76427" w:rsidRDefault="007A6153">
      <w:pPr>
        <w:pStyle w:val="ListParagraph"/>
        <w:numPr>
          <w:ilvl w:val="1"/>
          <w:numId w:val="1"/>
        </w:numPr>
        <w:ind w:left="567" w:hanging="567"/>
        <w:rPr>
          <w:rFonts w:ascii="Arial" w:hAnsi="Arial" w:cs="Arial"/>
          <w:sz w:val="28"/>
          <w:szCs w:val="28"/>
        </w:rPr>
      </w:pPr>
      <w:r w:rsidRPr="00D76427">
        <w:rPr>
          <w:rFonts w:ascii="Arial" w:hAnsi="Arial" w:cs="Arial"/>
          <w:sz w:val="28"/>
          <w:szCs w:val="28"/>
        </w:rPr>
        <w:lastRenderedPageBreak/>
        <w:t>The Housing and Regeneration Act 2008, which provides the statutory basis for regulating housing providers and ensures that all mutual exchanges conform to the standards set by the Regulator of Social Housing.</w:t>
      </w:r>
    </w:p>
    <w:p w14:paraId="7CC0D8BD" w14:textId="77777777" w:rsidR="007A6153" w:rsidRPr="00D76427" w:rsidRDefault="007A6153" w:rsidP="007A6153">
      <w:pPr>
        <w:pStyle w:val="ListParagraph"/>
        <w:ind w:left="567"/>
        <w:rPr>
          <w:rFonts w:ascii="Arial" w:hAnsi="Arial" w:cs="Arial"/>
          <w:sz w:val="28"/>
          <w:szCs w:val="28"/>
        </w:rPr>
      </w:pPr>
    </w:p>
    <w:p w14:paraId="522C8DC0" w14:textId="013099FC" w:rsidR="007A6153" w:rsidRPr="00D76427" w:rsidRDefault="007A6153" w:rsidP="0045700D">
      <w:pPr>
        <w:pStyle w:val="ListParagraph"/>
        <w:numPr>
          <w:ilvl w:val="1"/>
          <w:numId w:val="1"/>
        </w:numPr>
        <w:ind w:left="567" w:hanging="567"/>
        <w:rPr>
          <w:rFonts w:ascii="Arial" w:hAnsi="Arial" w:cs="Arial"/>
          <w:sz w:val="28"/>
          <w:szCs w:val="28"/>
        </w:rPr>
      </w:pPr>
      <w:r w:rsidRPr="00D76427">
        <w:rPr>
          <w:rFonts w:ascii="Arial" w:hAnsi="Arial" w:cs="Arial"/>
          <w:sz w:val="28"/>
          <w:szCs w:val="28"/>
        </w:rPr>
        <w:t xml:space="preserve">In addition, the following policies </w:t>
      </w:r>
      <w:r w:rsidR="00AF7A80" w:rsidRPr="00D76427">
        <w:rPr>
          <w:rFonts w:ascii="Arial" w:hAnsi="Arial" w:cs="Arial"/>
          <w:sz w:val="28"/>
          <w:szCs w:val="28"/>
        </w:rPr>
        <w:t>are also applicable:</w:t>
      </w:r>
    </w:p>
    <w:p w14:paraId="5A349725" w14:textId="77777777" w:rsidR="00AF7A80" w:rsidRPr="00D76427" w:rsidRDefault="00AF7A80" w:rsidP="00AF7A80">
      <w:pPr>
        <w:pStyle w:val="ListParagraph"/>
        <w:numPr>
          <w:ilvl w:val="0"/>
          <w:numId w:val="9"/>
        </w:numPr>
        <w:rPr>
          <w:rFonts w:ascii="Arial" w:hAnsi="Arial" w:cs="Arial"/>
          <w:sz w:val="28"/>
          <w:szCs w:val="28"/>
        </w:rPr>
      </w:pPr>
      <w:r w:rsidRPr="00D76427">
        <w:rPr>
          <w:rFonts w:ascii="Arial" w:hAnsi="Arial" w:cs="Arial"/>
          <w:sz w:val="28"/>
          <w:szCs w:val="28"/>
        </w:rPr>
        <w:t>Data Protection Act 2018 and GDPR.</w:t>
      </w:r>
    </w:p>
    <w:p w14:paraId="2E9759FC" w14:textId="77777777" w:rsidR="00AF7A80" w:rsidRPr="00D76427" w:rsidRDefault="00AF7A80" w:rsidP="00AF7A80">
      <w:pPr>
        <w:pStyle w:val="ListParagraph"/>
        <w:numPr>
          <w:ilvl w:val="0"/>
          <w:numId w:val="9"/>
        </w:numPr>
        <w:rPr>
          <w:rFonts w:ascii="Arial" w:hAnsi="Arial" w:cs="Arial"/>
          <w:sz w:val="28"/>
          <w:szCs w:val="28"/>
        </w:rPr>
      </w:pPr>
      <w:r w:rsidRPr="00D76427">
        <w:rPr>
          <w:rFonts w:ascii="Arial" w:hAnsi="Arial" w:cs="Arial"/>
          <w:sz w:val="28"/>
          <w:szCs w:val="28"/>
        </w:rPr>
        <w:t>The Landlord and Tenant Act 1985</w:t>
      </w:r>
    </w:p>
    <w:p w14:paraId="7F63DAEE" w14:textId="77777777" w:rsidR="00AF7A80" w:rsidRPr="00D76427" w:rsidRDefault="00AF7A80" w:rsidP="00AF7A80">
      <w:pPr>
        <w:pStyle w:val="ListParagraph"/>
        <w:numPr>
          <w:ilvl w:val="0"/>
          <w:numId w:val="9"/>
        </w:numPr>
        <w:rPr>
          <w:rFonts w:ascii="Arial" w:hAnsi="Arial" w:cs="Arial"/>
          <w:sz w:val="28"/>
          <w:szCs w:val="28"/>
        </w:rPr>
      </w:pPr>
      <w:r w:rsidRPr="00D76427">
        <w:rPr>
          <w:rFonts w:ascii="Arial" w:hAnsi="Arial" w:cs="Arial"/>
          <w:sz w:val="28"/>
          <w:szCs w:val="28"/>
        </w:rPr>
        <w:t>The Housing Act 2004</w:t>
      </w:r>
    </w:p>
    <w:p w14:paraId="34D2DA1E" w14:textId="77777777" w:rsidR="00AF7A80" w:rsidRPr="00D76427" w:rsidRDefault="00AF7A80" w:rsidP="00AF7A80">
      <w:pPr>
        <w:pStyle w:val="ListParagraph"/>
        <w:numPr>
          <w:ilvl w:val="0"/>
          <w:numId w:val="9"/>
        </w:numPr>
        <w:rPr>
          <w:rFonts w:ascii="Arial" w:hAnsi="Arial" w:cs="Arial"/>
          <w:sz w:val="28"/>
          <w:szCs w:val="28"/>
        </w:rPr>
      </w:pPr>
      <w:r w:rsidRPr="00D76427">
        <w:rPr>
          <w:rFonts w:ascii="Arial" w:hAnsi="Arial" w:cs="Arial"/>
          <w:sz w:val="28"/>
          <w:szCs w:val="28"/>
        </w:rPr>
        <w:t>Regulator for Social Housing: Consumer Standards</w:t>
      </w:r>
    </w:p>
    <w:p w14:paraId="6FF9618F" w14:textId="18067BE8" w:rsidR="00AF7A80" w:rsidRPr="00D76427" w:rsidRDefault="00AF7A80" w:rsidP="00AF7A80">
      <w:pPr>
        <w:pStyle w:val="ListParagraph"/>
        <w:numPr>
          <w:ilvl w:val="0"/>
          <w:numId w:val="9"/>
        </w:numPr>
        <w:rPr>
          <w:rFonts w:ascii="Arial" w:hAnsi="Arial" w:cs="Arial"/>
          <w:sz w:val="28"/>
          <w:szCs w:val="28"/>
        </w:rPr>
      </w:pPr>
      <w:r w:rsidRPr="00D76427">
        <w:rPr>
          <w:rFonts w:ascii="Arial" w:hAnsi="Arial" w:cs="Arial"/>
          <w:sz w:val="28"/>
          <w:szCs w:val="28"/>
        </w:rPr>
        <w:t>Equalities Act 2010</w:t>
      </w:r>
    </w:p>
    <w:p w14:paraId="09E8C71D" w14:textId="77777777" w:rsidR="00160C8E" w:rsidRPr="00D76427" w:rsidRDefault="00160C8E" w:rsidP="00160C8E">
      <w:pPr>
        <w:pStyle w:val="ListParagraph"/>
        <w:ind w:left="927"/>
        <w:rPr>
          <w:rFonts w:ascii="Arial" w:hAnsi="Arial" w:cs="Arial"/>
          <w:sz w:val="28"/>
          <w:szCs w:val="28"/>
        </w:rPr>
      </w:pPr>
    </w:p>
    <w:p w14:paraId="5F57D19C" w14:textId="77777777" w:rsidR="0045700D" w:rsidRPr="00D76427"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1" w:name="_Toc221176232"/>
      <w:r w:rsidRPr="00D76427">
        <w:rPr>
          <w:rFonts w:ascii="Arial" w:eastAsiaTheme="majorEastAsia" w:hAnsi="Arial" w:cs="Arial"/>
          <w:b/>
          <w:bCs/>
          <w:color w:val="2F5496" w:themeColor="accent1" w:themeShade="BF"/>
          <w:sz w:val="28"/>
          <w:szCs w:val="28"/>
        </w:rPr>
        <w:t>Equality and Diversity</w:t>
      </w:r>
      <w:bookmarkEnd w:id="21"/>
      <w:r w:rsidRPr="00D76427">
        <w:rPr>
          <w:rFonts w:ascii="Arial" w:eastAsiaTheme="majorEastAsia" w:hAnsi="Arial" w:cs="Arial"/>
          <w:b/>
          <w:bCs/>
          <w:color w:val="2F5496" w:themeColor="accent1" w:themeShade="BF"/>
          <w:sz w:val="28"/>
          <w:szCs w:val="28"/>
        </w:rPr>
        <w:t xml:space="preserve"> </w:t>
      </w:r>
    </w:p>
    <w:p w14:paraId="47113B5E" w14:textId="77777777" w:rsidR="0045700D" w:rsidRPr="00D76427" w:rsidRDefault="0045700D" w:rsidP="0045700D">
      <w:pPr>
        <w:rPr>
          <w:rFonts w:ascii="Arial" w:hAnsi="Arial" w:cs="Arial"/>
          <w:sz w:val="28"/>
          <w:szCs w:val="28"/>
        </w:rPr>
      </w:pPr>
    </w:p>
    <w:p w14:paraId="7B1F5BFD" w14:textId="1887FB1E" w:rsidR="0045700D" w:rsidRPr="00D76427" w:rsidRDefault="00A51757" w:rsidP="0045700D">
      <w:pPr>
        <w:pStyle w:val="ListParagraph"/>
        <w:numPr>
          <w:ilvl w:val="1"/>
          <w:numId w:val="1"/>
        </w:numPr>
        <w:ind w:left="567" w:hanging="567"/>
        <w:rPr>
          <w:rFonts w:ascii="Arial" w:hAnsi="Arial" w:cs="Arial"/>
          <w:sz w:val="28"/>
          <w:szCs w:val="28"/>
        </w:rPr>
      </w:pPr>
      <w:r w:rsidRPr="002229B7">
        <w:rPr>
          <w:rFonts w:ascii="Arial" w:hAnsi="Arial" w:cs="Arial"/>
          <w:sz w:val="28"/>
          <w:szCs w:val="28"/>
        </w:rPr>
        <w:t>Sandwell Council is committed to ensuring that all tenants have equal and fair access to the mutual exchange process. We will take into account the individual needs of tenants, their families, or anyone living with them, and make reasonable adjustments where necessary to support a successful exchange.</w:t>
      </w:r>
    </w:p>
    <w:p w14:paraId="7D18E6C0" w14:textId="77777777" w:rsidR="0045700D" w:rsidRPr="00D76427" w:rsidRDefault="0045700D" w:rsidP="0045700D">
      <w:pPr>
        <w:pStyle w:val="ListParagraph"/>
        <w:ind w:left="567"/>
        <w:rPr>
          <w:rFonts w:ascii="Arial" w:hAnsi="Arial" w:cs="Arial"/>
          <w:sz w:val="28"/>
          <w:szCs w:val="28"/>
        </w:rPr>
      </w:pPr>
    </w:p>
    <w:p w14:paraId="3F595F0B" w14:textId="051F30AD" w:rsidR="0045700D" w:rsidRPr="00D76427" w:rsidRDefault="00024D50" w:rsidP="0045700D">
      <w:pPr>
        <w:pStyle w:val="ListParagraph"/>
        <w:numPr>
          <w:ilvl w:val="1"/>
          <w:numId w:val="1"/>
        </w:numPr>
        <w:ind w:left="567" w:hanging="567"/>
        <w:rPr>
          <w:rFonts w:ascii="Arial" w:hAnsi="Arial" w:cs="Arial"/>
          <w:sz w:val="28"/>
          <w:szCs w:val="28"/>
        </w:rPr>
      </w:pPr>
      <w:r w:rsidRPr="00D76427">
        <w:rPr>
          <w:rFonts w:ascii="Arial" w:hAnsi="Arial" w:cs="Arial"/>
          <w:sz w:val="28"/>
          <w:szCs w:val="28"/>
        </w:rPr>
        <w:t>The Council will treat all tenants fairly, with dignity and respect, throughout the mutual exchange process.</w:t>
      </w:r>
    </w:p>
    <w:p w14:paraId="629FF63F" w14:textId="77777777" w:rsidR="0045700D" w:rsidRPr="00D76427" w:rsidRDefault="0045700D" w:rsidP="0045700D">
      <w:pPr>
        <w:pStyle w:val="ListParagraph"/>
        <w:rPr>
          <w:rFonts w:ascii="Arial" w:hAnsi="Arial" w:cs="Arial"/>
          <w:sz w:val="28"/>
          <w:szCs w:val="28"/>
        </w:rPr>
      </w:pPr>
    </w:p>
    <w:p w14:paraId="024D636C" w14:textId="3DF90D60" w:rsidR="0045700D" w:rsidRDefault="00111F04" w:rsidP="00111F04">
      <w:pPr>
        <w:pStyle w:val="ListParagraph"/>
        <w:numPr>
          <w:ilvl w:val="1"/>
          <w:numId w:val="1"/>
        </w:numPr>
        <w:ind w:left="567" w:hanging="567"/>
        <w:rPr>
          <w:rFonts w:ascii="Arial" w:hAnsi="Arial" w:cs="Arial"/>
          <w:sz w:val="28"/>
          <w:szCs w:val="28"/>
        </w:rPr>
      </w:pPr>
      <w:r w:rsidRPr="002229B7">
        <w:rPr>
          <w:rFonts w:ascii="Arial" w:hAnsi="Arial" w:cs="Arial"/>
          <w:sz w:val="28"/>
          <w:szCs w:val="28"/>
        </w:rPr>
        <w:t>All Council staff involved in mutual exchanges receive training in Equality, Diversity, and Inclusion. This ensures they understand when and how to adapt policies, procedures, and ways of working to meet tenants’ individual needs. This training is mandatory and monitored by our Learning and Development Team. Our approach also ensures the Council meets its responsibilities under the Equality Act 2010.</w:t>
      </w:r>
    </w:p>
    <w:p w14:paraId="0339D793" w14:textId="77777777" w:rsidR="00350FE0" w:rsidRPr="00350FE0" w:rsidRDefault="00350FE0" w:rsidP="00350FE0">
      <w:pPr>
        <w:pStyle w:val="ListParagraph"/>
        <w:rPr>
          <w:rFonts w:ascii="Arial" w:hAnsi="Arial" w:cs="Arial"/>
          <w:sz w:val="28"/>
          <w:szCs w:val="28"/>
        </w:rPr>
      </w:pPr>
    </w:p>
    <w:p w14:paraId="3323E5F6" w14:textId="77777777" w:rsidR="00350FE0" w:rsidRDefault="00350FE0" w:rsidP="00350FE0">
      <w:pPr>
        <w:pStyle w:val="ListParagraph"/>
        <w:ind w:left="567"/>
        <w:rPr>
          <w:rFonts w:ascii="Arial" w:hAnsi="Arial" w:cs="Arial"/>
          <w:sz w:val="28"/>
          <w:szCs w:val="28"/>
        </w:rPr>
      </w:pPr>
    </w:p>
    <w:p w14:paraId="1D5C3E4F" w14:textId="77777777" w:rsidR="00350FE0" w:rsidRPr="00D76427" w:rsidRDefault="00350FE0" w:rsidP="00350FE0">
      <w:pPr>
        <w:pStyle w:val="ListParagraph"/>
        <w:ind w:left="567"/>
        <w:rPr>
          <w:rFonts w:ascii="Arial" w:hAnsi="Arial" w:cs="Arial"/>
          <w:sz w:val="28"/>
          <w:szCs w:val="28"/>
        </w:rPr>
      </w:pPr>
    </w:p>
    <w:p w14:paraId="1B1899E1" w14:textId="77777777" w:rsidR="00111F04" w:rsidRPr="00D76427" w:rsidRDefault="00111F04" w:rsidP="00111F04">
      <w:pPr>
        <w:pStyle w:val="ListParagraph"/>
        <w:rPr>
          <w:rFonts w:ascii="Arial" w:hAnsi="Arial" w:cs="Arial"/>
          <w:sz w:val="28"/>
          <w:szCs w:val="28"/>
        </w:rPr>
      </w:pPr>
    </w:p>
    <w:p w14:paraId="5925BAF2" w14:textId="77777777" w:rsidR="00054DA2" w:rsidRPr="00D76427" w:rsidRDefault="00054DA2" w:rsidP="002F66CF">
      <w:pPr>
        <w:pStyle w:val="ListParagraph"/>
        <w:numPr>
          <w:ilvl w:val="1"/>
          <w:numId w:val="1"/>
        </w:numPr>
        <w:ind w:left="426"/>
        <w:rPr>
          <w:rFonts w:ascii="Arial" w:hAnsi="Arial" w:cs="Arial"/>
          <w:b/>
          <w:bCs/>
          <w:sz w:val="28"/>
          <w:szCs w:val="28"/>
        </w:rPr>
      </w:pPr>
      <w:r w:rsidRPr="00D76427">
        <w:rPr>
          <w:rFonts w:ascii="Arial" w:hAnsi="Arial" w:cs="Arial"/>
          <w:b/>
          <w:bCs/>
          <w:sz w:val="28"/>
          <w:szCs w:val="28"/>
        </w:rPr>
        <w:t>ST*R Model</w:t>
      </w:r>
    </w:p>
    <w:p w14:paraId="1781BA8C" w14:textId="77777777" w:rsidR="00054DA2" w:rsidRPr="00D76427" w:rsidRDefault="00054DA2" w:rsidP="00054DA2">
      <w:pPr>
        <w:pStyle w:val="ListParagraph"/>
        <w:rPr>
          <w:rFonts w:ascii="Arial" w:hAnsi="Arial" w:cs="Arial"/>
          <w:sz w:val="28"/>
          <w:szCs w:val="28"/>
        </w:rPr>
      </w:pPr>
    </w:p>
    <w:p w14:paraId="2B830D52" w14:textId="4251DA05" w:rsidR="00054DA2" w:rsidRPr="00D76427" w:rsidRDefault="00054DA2" w:rsidP="00054DA2">
      <w:pPr>
        <w:pStyle w:val="ListParagraph"/>
        <w:ind w:left="567"/>
        <w:rPr>
          <w:rFonts w:ascii="Arial" w:hAnsi="Arial" w:cs="Arial"/>
          <w:b/>
          <w:bCs/>
          <w:sz w:val="28"/>
          <w:szCs w:val="28"/>
        </w:rPr>
      </w:pPr>
      <w:r w:rsidRPr="00D76427">
        <w:rPr>
          <w:rFonts w:ascii="Arial" w:hAnsi="Arial" w:cs="Arial"/>
          <w:sz w:val="28"/>
          <w:szCs w:val="28"/>
        </w:rPr>
        <w:t xml:space="preserve">Sandwell Council is committed to providing a safe, supportive, and inclusive environment for tenants throughout the mutual exchange </w:t>
      </w:r>
      <w:r w:rsidRPr="00D76427">
        <w:rPr>
          <w:rFonts w:ascii="Arial" w:hAnsi="Arial" w:cs="Arial"/>
          <w:sz w:val="28"/>
          <w:szCs w:val="28"/>
        </w:rPr>
        <w:lastRenderedPageBreak/>
        <w:t>process. To guide this approach, the Council uses the ST*R practice model, which is based on three key principles:</w:t>
      </w:r>
    </w:p>
    <w:p w14:paraId="36926404" w14:textId="5213FFD2" w:rsidR="00054DA2" w:rsidRPr="00D76427" w:rsidRDefault="00054DA2" w:rsidP="00054DA2">
      <w:pPr>
        <w:pStyle w:val="ListParagraph"/>
        <w:numPr>
          <w:ilvl w:val="0"/>
          <w:numId w:val="13"/>
        </w:numPr>
        <w:rPr>
          <w:rFonts w:ascii="Arial" w:hAnsi="Arial" w:cs="Arial"/>
          <w:sz w:val="28"/>
          <w:szCs w:val="28"/>
        </w:rPr>
      </w:pPr>
      <w:r w:rsidRPr="00D76427">
        <w:rPr>
          <w:rFonts w:ascii="Arial" w:hAnsi="Arial" w:cs="Arial"/>
          <w:b/>
          <w:bCs/>
          <w:sz w:val="28"/>
          <w:szCs w:val="28"/>
        </w:rPr>
        <w:t>Strengths-Based Approach</w:t>
      </w:r>
      <w:r w:rsidRPr="00D76427">
        <w:rPr>
          <w:rFonts w:ascii="Arial" w:hAnsi="Arial" w:cs="Arial"/>
          <w:sz w:val="28"/>
          <w:szCs w:val="28"/>
        </w:rPr>
        <w:t xml:space="preserve"> - The Council recognises that every tenant has unique strengths, skills, and resilience. Staff work with tenants to build on these strengths, empowering them to take control of the exchange process and make decisions that work for them.</w:t>
      </w:r>
    </w:p>
    <w:p w14:paraId="2913AC52" w14:textId="0741C2A7" w:rsidR="00054DA2" w:rsidRPr="00D76427" w:rsidRDefault="00054DA2" w:rsidP="00054DA2">
      <w:pPr>
        <w:pStyle w:val="ListParagraph"/>
        <w:numPr>
          <w:ilvl w:val="0"/>
          <w:numId w:val="13"/>
        </w:numPr>
        <w:rPr>
          <w:rFonts w:ascii="Arial" w:hAnsi="Arial" w:cs="Arial"/>
          <w:sz w:val="28"/>
          <w:szCs w:val="28"/>
        </w:rPr>
      </w:pPr>
      <w:r w:rsidRPr="00D76427">
        <w:rPr>
          <w:rFonts w:ascii="Arial" w:hAnsi="Arial" w:cs="Arial"/>
          <w:b/>
          <w:bCs/>
          <w:sz w:val="28"/>
          <w:szCs w:val="28"/>
        </w:rPr>
        <w:t>Trauma-Informed Approach</w:t>
      </w:r>
      <w:r w:rsidRPr="00D76427">
        <w:rPr>
          <w:rFonts w:ascii="Arial" w:hAnsi="Arial" w:cs="Arial"/>
          <w:sz w:val="28"/>
          <w:szCs w:val="28"/>
        </w:rPr>
        <w:t xml:space="preserve"> - The Council understands that tenants may face personal challenges or difficult experiences that can affect their housing choices. Support is provided in a sensitive, safe, and respectful way so tenants feel understood and able to make informed decisions about a mutual exchange.</w:t>
      </w:r>
    </w:p>
    <w:p w14:paraId="72C68879" w14:textId="0CBA3293" w:rsidR="00054DA2" w:rsidRPr="00D76427" w:rsidRDefault="00054DA2" w:rsidP="00054DA2">
      <w:pPr>
        <w:pStyle w:val="ListParagraph"/>
        <w:numPr>
          <w:ilvl w:val="0"/>
          <w:numId w:val="13"/>
        </w:numPr>
        <w:rPr>
          <w:rFonts w:ascii="Arial" w:hAnsi="Arial" w:cs="Arial"/>
          <w:sz w:val="28"/>
          <w:szCs w:val="28"/>
        </w:rPr>
      </w:pPr>
      <w:r w:rsidRPr="00D76427">
        <w:rPr>
          <w:rFonts w:ascii="Arial" w:hAnsi="Arial" w:cs="Arial"/>
          <w:b/>
          <w:bCs/>
          <w:sz w:val="28"/>
          <w:szCs w:val="28"/>
        </w:rPr>
        <w:t>Relationship-Based Approach</w:t>
      </w:r>
      <w:r w:rsidRPr="00D76427">
        <w:rPr>
          <w:rFonts w:ascii="Arial" w:hAnsi="Arial" w:cs="Arial"/>
          <w:sz w:val="28"/>
          <w:szCs w:val="28"/>
        </w:rPr>
        <w:t xml:space="preserve"> - Trusting, respectful, and supportive relationships are at the heart of the Council’s approach. Staff aim to treat every tenant with empathy and understanding, ensuring that tenants feel valued, confident, and supported throughout the exchange process.</w:t>
      </w:r>
    </w:p>
    <w:p w14:paraId="55156770" w14:textId="77777777" w:rsidR="00054DA2" w:rsidRPr="00D76427" w:rsidRDefault="00054DA2" w:rsidP="00054DA2">
      <w:pPr>
        <w:pStyle w:val="ListParagraph"/>
        <w:ind w:left="360"/>
        <w:rPr>
          <w:rFonts w:ascii="Arial" w:hAnsi="Arial" w:cs="Arial"/>
          <w:sz w:val="28"/>
          <w:szCs w:val="28"/>
        </w:rPr>
      </w:pPr>
    </w:p>
    <w:p w14:paraId="58D06EDF" w14:textId="32C1EFB3" w:rsidR="00D07884" w:rsidRPr="00D76427" w:rsidRDefault="00054DA2" w:rsidP="002F66CF">
      <w:pPr>
        <w:pStyle w:val="ListParagraph"/>
        <w:ind w:left="567"/>
        <w:rPr>
          <w:rFonts w:ascii="Arial" w:hAnsi="Arial" w:cs="Arial"/>
          <w:sz w:val="28"/>
          <w:szCs w:val="28"/>
        </w:rPr>
      </w:pPr>
      <w:r w:rsidRPr="00D76427">
        <w:rPr>
          <w:rFonts w:ascii="Arial" w:hAnsi="Arial" w:cs="Arial"/>
          <w:sz w:val="28"/>
          <w:szCs w:val="28"/>
        </w:rPr>
        <w:t>By applying the ST*R model, the Council ensures that tenants taking part in a mutual exchange receive care, respect, and practical support, helping them navigate the process confidently and successfully.</w:t>
      </w:r>
    </w:p>
    <w:p w14:paraId="4F3A3648" w14:textId="77777777" w:rsidR="00D07884" w:rsidRPr="00D76427" w:rsidRDefault="00D07884" w:rsidP="00D07884">
      <w:pPr>
        <w:pStyle w:val="ListParagraph"/>
        <w:rPr>
          <w:rFonts w:ascii="Arial" w:hAnsi="Arial" w:cs="Arial"/>
          <w:b/>
          <w:bCs/>
          <w:sz w:val="28"/>
          <w:szCs w:val="28"/>
        </w:rPr>
      </w:pPr>
    </w:p>
    <w:p w14:paraId="6DEBD4EA" w14:textId="1FBAB578" w:rsidR="0045700D" w:rsidRPr="00D76427" w:rsidRDefault="0045700D" w:rsidP="0045700D">
      <w:pPr>
        <w:pStyle w:val="ListParagraph"/>
        <w:numPr>
          <w:ilvl w:val="1"/>
          <w:numId w:val="1"/>
        </w:numPr>
        <w:ind w:left="567" w:hanging="567"/>
        <w:rPr>
          <w:rFonts w:ascii="Arial" w:hAnsi="Arial" w:cs="Arial"/>
          <w:b/>
          <w:bCs/>
          <w:sz w:val="28"/>
          <w:szCs w:val="28"/>
        </w:rPr>
      </w:pPr>
      <w:r w:rsidRPr="00D76427">
        <w:rPr>
          <w:rFonts w:ascii="Arial" w:hAnsi="Arial" w:cs="Arial"/>
          <w:b/>
          <w:bCs/>
          <w:sz w:val="28"/>
          <w:szCs w:val="28"/>
        </w:rPr>
        <w:t>Reasonable Adjustments</w:t>
      </w:r>
    </w:p>
    <w:p w14:paraId="2EED78D9" w14:textId="77777777" w:rsidR="0045700D" w:rsidRPr="000D1A1E" w:rsidRDefault="0045700D" w:rsidP="0045700D">
      <w:pPr>
        <w:ind w:left="567"/>
        <w:rPr>
          <w:rFonts w:ascii="Arial" w:hAnsi="Arial" w:cs="Arial"/>
          <w:sz w:val="28"/>
          <w:szCs w:val="28"/>
        </w:rPr>
      </w:pPr>
      <w:r w:rsidRPr="000D1A1E">
        <w:rPr>
          <w:rFonts w:ascii="Arial" w:hAnsi="Arial" w:cs="Arial"/>
          <w:sz w:val="28"/>
          <w:szCs w:val="28"/>
        </w:rPr>
        <w:t>We are committed to ensuring that disabled people are not disadvantaged in accessing all our services and we carry out Equality Impact Assessments to ensure this does not happen.</w:t>
      </w:r>
    </w:p>
    <w:p w14:paraId="6741F758" w14:textId="77777777" w:rsidR="0045700D" w:rsidRPr="000D1A1E" w:rsidRDefault="0045700D" w:rsidP="0045700D">
      <w:pPr>
        <w:ind w:left="567"/>
        <w:rPr>
          <w:rFonts w:ascii="Arial" w:hAnsi="Arial" w:cs="Arial"/>
          <w:sz w:val="28"/>
          <w:szCs w:val="28"/>
        </w:rPr>
      </w:pPr>
      <w:r w:rsidRPr="000D1A1E">
        <w:rPr>
          <w:rFonts w:ascii="Arial" w:hAnsi="Arial" w:cs="Arial"/>
          <w:sz w:val="28"/>
          <w:szCs w:val="28"/>
        </w:rPr>
        <w:t>There is no prescribed list of reasonable adjustments; the adjustment will depend on the individual’s needs. We will discuss the requirements with the person concerned and seek to reach agreement on what may be reasonable in the circumstances. We will not make assumptions about whether a disabled person requires any reasonable adjustments or about what those adjustments should be.</w:t>
      </w:r>
    </w:p>
    <w:p w14:paraId="68BAD4FD" w14:textId="77777777" w:rsidR="0045700D" w:rsidRPr="000D1A1E" w:rsidRDefault="0045700D" w:rsidP="0045700D">
      <w:pPr>
        <w:ind w:left="567"/>
        <w:rPr>
          <w:rFonts w:ascii="Arial" w:hAnsi="Arial" w:cs="Arial"/>
          <w:sz w:val="28"/>
          <w:szCs w:val="28"/>
        </w:rPr>
      </w:pPr>
      <w:r w:rsidRPr="000D1A1E">
        <w:rPr>
          <w:rFonts w:ascii="Arial" w:hAnsi="Arial" w:cs="Arial"/>
          <w:sz w:val="28"/>
          <w:szCs w:val="28"/>
        </w:rPr>
        <w:t>Customers can request that we make reasonable adjustments in the following ways:</w:t>
      </w:r>
    </w:p>
    <w:p w14:paraId="6289EEEF" w14:textId="77777777" w:rsidR="0045700D" w:rsidRPr="000D1A1E" w:rsidRDefault="0045700D" w:rsidP="0045700D">
      <w:pPr>
        <w:pStyle w:val="ListParagraph"/>
        <w:numPr>
          <w:ilvl w:val="0"/>
          <w:numId w:val="7"/>
        </w:numPr>
        <w:rPr>
          <w:rFonts w:ascii="Arial" w:hAnsi="Arial" w:cs="Arial"/>
          <w:sz w:val="28"/>
          <w:szCs w:val="28"/>
        </w:rPr>
      </w:pPr>
      <w:r w:rsidRPr="000D1A1E">
        <w:rPr>
          <w:rFonts w:ascii="Arial" w:hAnsi="Arial" w:cs="Arial"/>
          <w:sz w:val="28"/>
          <w:szCs w:val="28"/>
        </w:rPr>
        <w:t>in person</w:t>
      </w:r>
    </w:p>
    <w:p w14:paraId="60A03EC8" w14:textId="77777777" w:rsidR="0045700D" w:rsidRPr="000D1A1E" w:rsidRDefault="0045700D" w:rsidP="0045700D">
      <w:pPr>
        <w:pStyle w:val="ListParagraph"/>
        <w:numPr>
          <w:ilvl w:val="0"/>
          <w:numId w:val="7"/>
        </w:numPr>
        <w:rPr>
          <w:rFonts w:ascii="Arial" w:hAnsi="Arial" w:cs="Arial"/>
          <w:sz w:val="28"/>
          <w:szCs w:val="28"/>
        </w:rPr>
      </w:pPr>
      <w:r w:rsidRPr="000D1A1E">
        <w:rPr>
          <w:rFonts w:ascii="Arial" w:hAnsi="Arial" w:cs="Arial"/>
          <w:sz w:val="28"/>
          <w:szCs w:val="28"/>
        </w:rPr>
        <w:t>in writing for example by email, by post, text</w:t>
      </w:r>
    </w:p>
    <w:p w14:paraId="7E957770" w14:textId="77777777" w:rsidR="0045700D" w:rsidRPr="000D1A1E" w:rsidRDefault="0045700D" w:rsidP="0045700D">
      <w:pPr>
        <w:pStyle w:val="ListParagraph"/>
        <w:numPr>
          <w:ilvl w:val="0"/>
          <w:numId w:val="7"/>
        </w:numPr>
        <w:rPr>
          <w:rFonts w:ascii="Arial" w:hAnsi="Arial" w:cs="Arial"/>
          <w:sz w:val="28"/>
          <w:szCs w:val="28"/>
        </w:rPr>
      </w:pPr>
      <w:r w:rsidRPr="000D1A1E">
        <w:rPr>
          <w:rFonts w:ascii="Arial" w:hAnsi="Arial" w:cs="Arial"/>
          <w:sz w:val="28"/>
          <w:szCs w:val="28"/>
        </w:rPr>
        <w:lastRenderedPageBreak/>
        <w:t>by telephone</w:t>
      </w:r>
    </w:p>
    <w:p w14:paraId="4713FC66" w14:textId="77777777" w:rsidR="0045700D" w:rsidRPr="000D1A1E" w:rsidRDefault="0045700D" w:rsidP="0045700D">
      <w:pPr>
        <w:pStyle w:val="ListParagraph"/>
        <w:numPr>
          <w:ilvl w:val="0"/>
          <w:numId w:val="7"/>
        </w:numPr>
        <w:rPr>
          <w:rFonts w:ascii="Arial" w:hAnsi="Arial" w:cs="Arial"/>
          <w:sz w:val="28"/>
          <w:szCs w:val="28"/>
        </w:rPr>
      </w:pPr>
      <w:r w:rsidRPr="000D1A1E">
        <w:rPr>
          <w:rFonts w:ascii="Arial" w:hAnsi="Arial" w:cs="Arial"/>
          <w:sz w:val="28"/>
          <w:szCs w:val="28"/>
        </w:rPr>
        <w:t>by a family member when we have been given permission to do so; and or</w:t>
      </w:r>
    </w:p>
    <w:p w14:paraId="64C6A081" w14:textId="77777777" w:rsidR="0045700D" w:rsidRPr="000D1A1E" w:rsidRDefault="0045700D" w:rsidP="0045700D">
      <w:pPr>
        <w:pStyle w:val="ListParagraph"/>
        <w:numPr>
          <w:ilvl w:val="0"/>
          <w:numId w:val="7"/>
        </w:numPr>
        <w:rPr>
          <w:rFonts w:ascii="Arial" w:hAnsi="Arial" w:cs="Arial"/>
          <w:sz w:val="28"/>
          <w:szCs w:val="28"/>
        </w:rPr>
      </w:pPr>
      <w:r w:rsidRPr="000D1A1E">
        <w:rPr>
          <w:rFonts w:ascii="Arial" w:hAnsi="Arial" w:cs="Arial"/>
          <w:sz w:val="28"/>
          <w:szCs w:val="28"/>
        </w:rPr>
        <w:t>a member of staff may suggest for one to be made, when they are aware it will support the customer needs.</w:t>
      </w:r>
    </w:p>
    <w:p w14:paraId="330871B2" w14:textId="77777777" w:rsidR="0045700D" w:rsidRPr="000D1A1E" w:rsidRDefault="0045700D" w:rsidP="0045700D">
      <w:pPr>
        <w:ind w:left="567"/>
        <w:rPr>
          <w:rFonts w:ascii="Arial" w:hAnsi="Arial" w:cs="Arial"/>
          <w:sz w:val="28"/>
          <w:szCs w:val="28"/>
        </w:rPr>
      </w:pPr>
      <w:r w:rsidRPr="000D1A1E">
        <w:rPr>
          <w:rFonts w:ascii="Arial" w:hAnsi="Arial" w:cs="Arial"/>
          <w:sz w:val="28"/>
          <w:szCs w:val="28"/>
        </w:rPr>
        <w:t>We will treat all conversations with sensitivity, confidentiality and on a case-by-case basis. We will listen to a customer’s needs and make every effort to meet requests for adjustments when it’s reasonable to do so. Where we are unable to meet a request, we will explain why.</w:t>
      </w:r>
    </w:p>
    <w:p w14:paraId="65FE84AA" w14:textId="6DEAAB57" w:rsidR="0045700D" w:rsidRPr="000D1A1E" w:rsidRDefault="0045700D" w:rsidP="0045700D">
      <w:pPr>
        <w:ind w:left="567"/>
        <w:rPr>
          <w:rFonts w:ascii="Arial" w:hAnsi="Arial" w:cs="Arial"/>
          <w:sz w:val="28"/>
          <w:szCs w:val="28"/>
        </w:rPr>
      </w:pPr>
      <w:r w:rsidRPr="000D1A1E">
        <w:rPr>
          <w:rFonts w:ascii="Arial" w:hAnsi="Arial" w:cs="Arial"/>
          <w:sz w:val="28"/>
          <w:szCs w:val="28"/>
        </w:rPr>
        <w:t xml:space="preserve">In the majority of </w:t>
      </w:r>
      <w:r w:rsidR="00F270BD" w:rsidRPr="000D1A1E">
        <w:rPr>
          <w:rFonts w:ascii="Arial" w:hAnsi="Arial" w:cs="Arial"/>
          <w:sz w:val="28"/>
          <w:szCs w:val="28"/>
        </w:rPr>
        <w:t>cases,</w:t>
      </w:r>
      <w:r w:rsidRPr="000D1A1E">
        <w:rPr>
          <w:rFonts w:ascii="Arial" w:hAnsi="Arial" w:cs="Arial"/>
          <w:sz w:val="28"/>
          <w:szCs w:val="28"/>
        </w:rPr>
        <w:t xml:space="preserve"> we will be able to agree and deliver the required reasonable adjustment with a minimum of delay. </w:t>
      </w:r>
    </w:p>
    <w:p w14:paraId="6F800BBD" w14:textId="76CF2E71" w:rsidR="00B246C8" w:rsidRPr="00350FE0" w:rsidRDefault="0045700D" w:rsidP="00350FE0">
      <w:pPr>
        <w:ind w:left="567"/>
      </w:pPr>
      <w:r w:rsidRPr="000D1A1E">
        <w:rPr>
          <w:rFonts w:ascii="Arial" w:hAnsi="Arial" w:cs="Arial"/>
          <w:sz w:val="28"/>
          <w:szCs w:val="28"/>
        </w:rPr>
        <w:t xml:space="preserve">For more information, please refer to Sandwell’s </w:t>
      </w:r>
      <w:hyperlink r:id="rId23" w:history="1">
        <w:r w:rsidRPr="000D1A1E">
          <w:rPr>
            <w:rStyle w:val="Hyperlink"/>
            <w:rFonts w:ascii="Arial" w:hAnsi="Arial" w:cs="Arial"/>
            <w:sz w:val="28"/>
            <w:szCs w:val="28"/>
          </w:rPr>
          <w:t>Reasonable Adjustments Policy.</w:t>
        </w:r>
      </w:hyperlink>
    </w:p>
    <w:p w14:paraId="309D4F5B" w14:textId="77777777" w:rsidR="00DE104F" w:rsidRDefault="00DE104F" w:rsidP="00DE104F">
      <w:pPr>
        <w:keepNext/>
        <w:keepLines/>
        <w:spacing w:after="0"/>
        <w:ind w:left="360"/>
        <w:outlineLvl w:val="0"/>
        <w:rPr>
          <w:rFonts w:ascii="Arial" w:eastAsiaTheme="majorEastAsia" w:hAnsi="Arial" w:cs="Arial"/>
          <w:b/>
          <w:bCs/>
          <w:color w:val="2F5496" w:themeColor="accent1" w:themeShade="BF"/>
          <w:sz w:val="28"/>
          <w:szCs w:val="28"/>
        </w:rPr>
      </w:pPr>
    </w:p>
    <w:p w14:paraId="19576790" w14:textId="0E1401FF" w:rsidR="00574EA2" w:rsidRPr="00D76427"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2" w:name="_Toc221176233"/>
      <w:r w:rsidRPr="00D76427">
        <w:rPr>
          <w:rFonts w:ascii="Arial" w:eastAsiaTheme="majorEastAsia" w:hAnsi="Arial" w:cs="Arial"/>
          <w:b/>
          <w:bCs/>
          <w:color w:val="2F5496" w:themeColor="accent1" w:themeShade="BF"/>
          <w:sz w:val="28"/>
          <w:szCs w:val="28"/>
        </w:rPr>
        <w:t>Monitoring and Review</w:t>
      </w:r>
      <w:bookmarkEnd w:id="22"/>
      <w:r w:rsidRPr="00D76427">
        <w:rPr>
          <w:rFonts w:ascii="Arial" w:eastAsiaTheme="majorEastAsia" w:hAnsi="Arial" w:cs="Arial"/>
          <w:b/>
          <w:bCs/>
          <w:color w:val="2F5496" w:themeColor="accent1" w:themeShade="BF"/>
          <w:sz w:val="28"/>
          <w:szCs w:val="28"/>
        </w:rPr>
        <w:t xml:space="preserve"> </w:t>
      </w:r>
    </w:p>
    <w:p w14:paraId="3EF81854" w14:textId="77777777" w:rsidR="003A2A3E" w:rsidRPr="00D76427" w:rsidRDefault="003A2A3E" w:rsidP="003A2A3E">
      <w:pPr>
        <w:rPr>
          <w:rFonts w:ascii="Arial" w:hAnsi="Arial" w:cs="Arial"/>
          <w:sz w:val="28"/>
          <w:szCs w:val="28"/>
        </w:rPr>
      </w:pPr>
    </w:p>
    <w:p w14:paraId="29FA15BA" w14:textId="0278822A" w:rsidR="003B76F7" w:rsidRDefault="00CB25AC" w:rsidP="00CB25AC">
      <w:pPr>
        <w:pStyle w:val="ListParagraph"/>
        <w:numPr>
          <w:ilvl w:val="1"/>
          <w:numId w:val="1"/>
        </w:numPr>
        <w:ind w:left="567" w:hanging="567"/>
        <w:rPr>
          <w:rFonts w:ascii="Arial" w:hAnsi="Arial" w:cs="Arial"/>
          <w:sz w:val="28"/>
          <w:szCs w:val="28"/>
        </w:rPr>
      </w:pPr>
      <w:r w:rsidRPr="00CB25AC">
        <w:rPr>
          <w:rFonts w:ascii="Arial" w:hAnsi="Arial" w:cs="Arial"/>
          <w:sz w:val="28"/>
          <w:szCs w:val="28"/>
        </w:rPr>
        <w:t xml:space="preserve">This Policy will be reviewed periodically or sooner if there are significant changes in legislation, management, a major incident or if it is no longer suitable. </w:t>
      </w:r>
    </w:p>
    <w:p w14:paraId="28B77D58" w14:textId="77777777" w:rsidR="00CB25AC" w:rsidRPr="00CB25AC" w:rsidRDefault="00CB25AC" w:rsidP="00CB25AC">
      <w:pPr>
        <w:pStyle w:val="ListParagraph"/>
        <w:ind w:left="567"/>
        <w:rPr>
          <w:rFonts w:ascii="Arial" w:hAnsi="Arial" w:cs="Arial"/>
          <w:sz w:val="28"/>
          <w:szCs w:val="28"/>
        </w:rPr>
      </w:pPr>
    </w:p>
    <w:p w14:paraId="6FD3179A" w14:textId="6D6848C7" w:rsidR="00574EA2" w:rsidRPr="00D76427"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3" w:name="_Toc221176234"/>
      <w:r w:rsidRPr="00D76427">
        <w:rPr>
          <w:rFonts w:ascii="Arial" w:eastAsiaTheme="majorEastAsia" w:hAnsi="Arial" w:cs="Arial"/>
          <w:b/>
          <w:bCs/>
          <w:color w:val="2F5496" w:themeColor="accent1" w:themeShade="BF"/>
          <w:sz w:val="28"/>
          <w:szCs w:val="28"/>
        </w:rPr>
        <w:t xml:space="preserve">Policy </w:t>
      </w:r>
      <w:r w:rsidR="00FD71FB" w:rsidRPr="00D76427">
        <w:rPr>
          <w:rFonts w:ascii="Arial" w:eastAsiaTheme="majorEastAsia" w:hAnsi="Arial" w:cs="Arial"/>
          <w:b/>
          <w:bCs/>
          <w:color w:val="2F5496" w:themeColor="accent1" w:themeShade="BF"/>
          <w:sz w:val="28"/>
          <w:szCs w:val="28"/>
        </w:rPr>
        <w:t>Document Version Control</w:t>
      </w:r>
      <w:bookmarkEnd w:id="23"/>
      <w:r w:rsidRPr="00D76427">
        <w:rPr>
          <w:rFonts w:ascii="Arial" w:eastAsiaTheme="majorEastAsia" w:hAnsi="Arial" w:cs="Arial"/>
          <w:b/>
          <w:bCs/>
          <w:color w:val="2F5496" w:themeColor="accent1" w:themeShade="BF"/>
          <w:sz w:val="28"/>
          <w:szCs w:val="28"/>
        </w:rPr>
        <w:t xml:space="preserve"> </w:t>
      </w:r>
    </w:p>
    <w:p w14:paraId="5429745A" w14:textId="73BC45C0" w:rsidR="0044074A" w:rsidRPr="00CB25AC" w:rsidRDefault="0044074A" w:rsidP="00CB25AC">
      <w:pPr>
        <w:rPr>
          <w:rFonts w:ascii="Arial" w:hAnsi="Arial" w:cs="Arial"/>
          <w:sz w:val="28"/>
          <w:szCs w:val="28"/>
        </w:rPr>
      </w:pPr>
    </w:p>
    <w:tbl>
      <w:tblPr>
        <w:tblStyle w:val="TableGrid"/>
        <w:tblW w:w="9237" w:type="dxa"/>
        <w:tblLook w:val="04A0" w:firstRow="1" w:lastRow="0" w:firstColumn="1" w:lastColumn="0" w:noHBand="0" w:noVBand="1"/>
      </w:tblPr>
      <w:tblGrid>
        <w:gridCol w:w="1399"/>
        <w:gridCol w:w="1618"/>
        <w:gridCol w:w="2858"/>
        <w:gridCol w:w="1547"/>
        <w:gridCol w:w="1815"/>
      </w:tblGrid>
      <w:tr w:rsidR="0044074A" w:rsidRPr="00D76427" w14:paraId="5734343F" w14:textId="77777777" w:rsidTr="0018734D">
        <w:trPr>
          <w:trHeight w:val="748"/>
        </w:trPr>
        <w:tc>
          <w:tcPr>
            <w:tcW w:w="1399" w:type="dxa"/>
          </w:tcPr>
          <w:p w14:paraId="2DEFD950"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Version</w:t>
            </w:r>
          </w:p>
        </w:tc>
        <w:tc>
          <w:tcPr>
            <w:tcW w:w="1618" w:type="dxa"/>
          </w:tcPr>
          <w:p w14:paraId="65708BFB"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Date</w:t>
            </w:r>
          </w:p>
        </w:tc>
        <w:tc>
          <w:tcPr>
            <w:tcW w:w="2858" w:type="dxa"/>
          </w:tcPr>
          <w:p w14:paraId="29B705AF"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Description</w:t>
            </w:r>
          </w:p>
        </w:tc>
        <w:tc>
          <w:tcPr>
            <w:tcW w:w="1547" w:type="dxa"/>
          </w:tcPr>
          <w:p w14:paraId="6D61DAD2"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Updated By</w:t>
            </w:r>
          </w:p>
        </w:tc>
        <w:tc>
          <w:tcPr>
            <w:tcW w:w="1815" w:type="dxa"/>
          </w:tcPr>
          <w:p w14:paraId="5E1498BB" w14:textId="77777777" w:rsidR="0044074A" w:rsidRPr="00D76427" w:rsidRDefault="0044074A" w:rsidP="0044074A">
            <w:pPr>
              <w:spacing w:after="160" w:line="259" w:lineRule="auto"/>
              <w:rPr>
                <w:rFonts w:ascii="Arial" w:hAnsi="Arial" w:cs="Arial"/>
                <w:b/>
                <w:bCs/>
                <w:sz w:val="28"/>
                <w:szCs w:val="28"/>
              </w:rPr>
            </w:pPr>
            <w:r w:rsidRPr="00D76427">
              <w:rPr>
                <w:rFonts w:ascii="Arial" w:hAnsi="Arial" w:cs="Arial"/>
                <w:b/>
                <w:bCs/>
                <w:sz w:val="28"/>
                <w:szCs w:val="28"/>
              </w:rPr>
              <w:t>Approved By</w:t>
            </w:r>
          </w:p>
        </w:tc>
      </w:tr>
      <w:tr w:rsidR="0044074A" w:rsidRPr="00D76427" w14:paraId="57E58C45" w14:textId="77777777" w:rsidTr="0018734D">
        <w:trPr>
          <w:trHeight w:val="748"/>
        </w:trPr>
        <w:tc>
          <w:tcPr>
            <w:tcW w:w="1399" w:type="dxa"/>
          </w:tcPr>
          <w:p w14:paraId="08C52776" w14:textId="3F6BE9B7" w:rsidR="0044074A" w:rsidRPr="00D76427" w:rsidRDefault="00CB25AC" w:rsidP="0044074A">
            <w:pPr>
              <w:spacing w:after="160" w:line="259" w:lineRule="auto"/>
              <w:rPr>
                <w:rFonts w:ascii="Arial" w:hAnsi="Arial" w:cs="Arial"/>
                <w:sz w:val="28"/>
                <w:szCs w:val="28"/>
              </w:rPr>
            </w:pPr>
            <w:r>
              <w:rPr>
                <w:rFonts w:ascii="Arial" w:hAnsi="Arial" w:cs="Arial"/>
                <w:sz w:val="28"/>
                <w:szCs w:val="28"/>
              </w:rPr>
              <w:t>0.1</w:t>
            </w:r>
          </w:p>
        </w:tc>
        <w:tc>
          <w:tcPr>
            <w:tcW w:w="1618" w:type="dxa"/>
          </w:tcPr>
          <w:p w14:paraId="0E8793CA" w14:textId="00F41216" w:rsidR="0044074A" w:rsidRPr="00D76427" w:rsidRDefault="0018734D" w:rsidP="0044074A">
            <w:pPr>
              <w:spacing w:after="160" w:line="259" w:lineRule="auto"/>
              <w:rPr>
                <w:rFonts w:ascii="Arial" w:hAnsi="Arial" w:cs="Arial"/>
                <w:sz w:val="28"/>
                <w:szCs w:val="28"/>
              </w:rPr>
            </w:pPr>
            <w:r>
              <w:rPr>
                <w:rFonts w:ascii="Arial" w:hAnsi="Arial" w:cs="Arial"/>
                <w:sz w:val="28"/>
                <w:szCs w:val="28"/>
              </w:rPr>
              <w:t>20/01/2026</w:t>
            </w:r>
          </w:p>
        </w:tc>
        <w:tc>
          <w:tcPr>
            <w:tcW w:w="2858" w:type="dxa"/>
          </w:tcPr>
          <w:p w14:paraId="023D6F86" w14:textId="120E21A6" w:rsidR="0044074A" w:rsidRPr="00D76427" w:rsidRDefault="0018734D" w:rsidP="0044074A">
            <w:pPr>
              <w:spacing w:after="160" w:line="259" w:lineRule="auto"/>
              <w:rPr>
                <w:rFonts w:ascii="Arial" w:hAnsi="Arial" w:cs="Arial"/>
                <w:sz w:val="28"/>
                <w:szCs w:val="28"/>
              </w:rPr>
            </w:pPr>
            <w:r>
              <w:rPr>
                <w:rFonts w:ascii="Arial" w:hAnsi="Arial" w:cs="Arial"/>
                <w:sz w:val="28"/>
                <w:szCs w:val="28"/>
              </w:rPr>
              <w:t>Initial draft produced by Karl</w:t>
            </w:r>
          </w:p>
        </w:tc>
        <w:tc>
          <w:tcPr>
            <w:tcW w:w="1547" w:type="dxa"/>
          </w:tcPr>
          <w:p w14:paraId="09EC1191" w14:textId="5C65211C" w:rsidR="0044074A" w:rsidRPr="00D76427" w:rsidRDefault="0018734D" w:rsidP="0044074A">
            <w:pPr>
              <w:spacing w:after="160" w:line="259" w:lineRule="auto"/>
              <w:rPr>
                <w:rFonts w:ascii="Arial" w:hAnsi="Arial" w:cs="Arial"/>
                <w:sz w:val="28"/>
                <w:szCs w:val="28"/>
              </w:rPr>
            </w:pPr>
            <w:r>
              <w:rPr>
                <w:rFonts w:ascii="Arial" w:hAnsi="Arial" w:cs="Arial"/>
                <w:sz w:val="28"/>
                <w:szCs w:val="28"/>
              </w:rPr>
              <w:t>Karl Robinson</w:t>
            </w:r>
          </w:p>
        </w:tc>
        <w:tc>
          <w:tcPr>
            <w:tcW w:w="1815" w:type="dxa"/>
          </w:tcPr>
          <w:p w14:paraId="406AAFC2" w14:textId="76E6EB56" w:rsidR="0044074A" w:rsidRPr="00D76427" w:rsidRDefault="0018734D" w:rsidP="0044074A">
            <w:pPr>
              <w:spacing w:after="160" w:line="259" w:lineRule="auto"/>
              <w:rPr>
                <w:rFonts w:ascii="Arial" w:hAnsi="Arial" w:cs="Arial"/>
                <w:sz w:val="28"/>
                <w:szCs w:val="28"/>
              </w:rPr>
            </w:pPr>
            <w:r>
              <w:rPr>
                <w:rFonts w:ascii="Arial" w:hAnsi="Arial" w:cs="Arial"/>
                <w:sz w:val="28"/>
                <w:szCs w:val="28"/>
              </w:rPr>
              <w:t>N/A</w:t>
            </w:r>
          </w:p>
        </w:tc>
      </w:tr>
      <w:tr w:rsidR="0044074A" w:rsidRPr="00D76427" w14:paraId="4C4030C4" w14:textId="77777777" w:rsidTr="0018734D">
        <w:trPr>
          <w:trHeight w:val="237"/>
        </w:trPr>
        <w:tc>
          <w:tcPr>
            <w:tcW w:w="1399" w:type="dxa"/>
          </w:tcPr>
          <w:p w14:paraId="1C4305B7" w14:textId="39259972" w:rsidR="0044074A" w:rsidRPr="00D76427" w:rsidRDefault="005F1603" w:rsidP="0044074A">
            <w:pPr>
              <w:spacing w:after="160" w:line="259" w:lineRule="auto"/>
              <w:rPr>
                <w:rFonts w:ascii="Arial" w:hAnsi="Arial" w:cs="Arial"/>
                <w:sz w:val="28"/>
                <w:szCs w:val="28"/>
              </w:rPr>
            </w:pPr>
            <w:r>
              <w:rPr>
                <w:rFonts w:ascii="Arial" w:hAnsi="Arial" w:cs="Arial"/>
                <w:sz w:val="28"/>
                <w:szCs w:val="28"/>
              </w:rPr>
              <w:t>0.2</w:t>
            </w:r>
          </w:p>
        </w:tc>
        <w:tc>
          <w:tcPr>
            <w:tcW w:w="1618" w:type="dxa"/>
          </w:tcPr>
          <w:p w14:paraId="523EFE5E" w14:textId="4E7E0DF7" w:rsidR="0044074A" w:rsidRPr="00D76427" w:rsidRDefault="00E53A7A" w:rsidP="0044074A">
            <w:pPr>
              <w:spacing w:after="160" w:line="259" w:lineRule="auto"/>
              <w:rPr>
                <w:rFonts w:ascii="Arial" w:hAnsi="Arial" w:cs="Arial"/>
                <w:sz w:val="28"/>
                <w:szCs w:val="28"/>
              </w:rPr>
            </w:pPr>
            <w:r>
              <w:rPr>
                <w:rFonts w:ascii="Arial" w:hAnsi="Arial" w:cs="Arial"/>
                <w:sz w:val="28"/>
                <w:szCs w:val="28"/>
              </w:rPr>
              <w:t>02/02/2026</w:t>
            </w:r>
          </w:p>
        </w:tc>
        <w:tc>
          <w:tcPr>
            <w:tcW w:w="2858" w:type="dxa"/>
          </w:tcPr>
          <w:p w14:paraId="55B14187" w14:textId="50230513" w:rsidR="0044074A" w:rsidRPr="00D76427" w:rsidRDefault="0018734D" w:rsidP="0044074A">
            <w:pPr>
              <w:spacing w:after="160" w:line="259" w:lineRule="auto"/>
              <w:rPr>
                <w:rFonts w:ascii="Arial" w:hAnsi="Arial" w:cs="Arial"/>
                <w:sz w:val="28"/>
                <w:szCs w:val="28"/>
              </w:rPr>
            </w:pPr>
            <w:r>
              <w:rPr>
                <w:rFonts w:ascii="Arial" w:hAnsi="Arial" w:cs="Arial"/>
                <w:sz w:val="28"/>
                <w:szCs w:val="28"/>
              </w:rPr>
              <w:t>Second draft produced by Louis using the Housing Policy Template.</w:t>
            </w:r>
          </w:p>
        </w:tc>
        <w:tc>
          <w:tcPr>
            <w:tcW w:w="1547" w:type="dxa"/>
          </w:tcPr>
          <w:p w14:paraId="0C2BA8AB" w14:textId="26E9C70A" w:rsidR="0044074A" w:rsidRPr="00D76427" w:rsidRDefault="0018734D" w:rsidP="0044074A">
            <w:pPr>
              <w:spacing w:after="160" w:line="259" w:lineRule="auto"/>
              <w:rPr>
                <w:rFonts w:ascii="Arial" w:hAnsi="Arial" w:cs="Arial"/>
                <w:sz w:val="28"/>
                <w:szCs w:val="28"/>
              </w:rPr>
            </w:pPr>
            <w:r>
              <w:rPr>
                <w:rFonts w:ascii="Arial" w:hAnsi="Arial" w:cs="Arial"/>
                <w:sz w:val="28"/>
                <w:szCs w:val="28"/>
              </w:rPr>
              <w:t>Louis Bebb</w:t>
            </w:r>
          </w:p>
        </w:tc>
        <w:tc>
          <w:tcPr>
            <w:tcW w:w="1815" w:type="dxa"/>
          </w:tcPr>
          <w:p w14:paraId="01F26CAF" w14:textId="2D769569" w:rsidR="0044074A" w:rsidRPr="00D76427" w:rsidRDefault="0018734D" w:rsidP="0044074A">
            <w:pPr>
              <w:spacing w:after="160" w:line="259" w:lineRule="auto"/>
              <w:rPr>
                <w:rFonts w:ascii="Arial" w:hAnsi="Arial" w:cs="Arial"/>
                <w:sz w:val="28"/>
                <w:szCs w:val="28"/>
              </w:rPr>
            </w:pPr>
            <w:r>
              <w:rPr>
                <w:rFonts w:ascii="Arial" w:hAnsi="Arial" w:cs="Arial"/>
                <w:sz w:val="28"/>
                <w:szCs w:val="28"/>
              </w:rPr>
              <w:t>N/A</w:t>
            </w:r>
          </w:p>
        </w:tc>
      </w:tr>
      <w:tr w:rsidR="0018734D" w:rsidRPr="00D76427" w14:paraId="3897598B" w14:textId="77777777" w:rsidTr="0018734D">
        <w:trPr>
          <w:trHeight w:val="237"/>
        </w:trPr>
        <w:tc>
          <w:tcPr>
            <w:tcW w:w="1399" w:type="dxa"/>
          </w:tcPr>
          <w:p w14:paraId="685384B8" w14:textId="61022F39" w:rsidR="0018734D" w:rsidRDefault="0018734D" w:rsidP="0044074A">
            <w:pPr>
              <w:rPr>
                <w:rFonts w:ascii="Arial" w:hAnsi="Arial" w:cs="Arial"/>
                <w:sz w:val="28"/>
                <w:szCs w:val="28"/>
              </w:rPr>
            </w:pPr>
            <w:r>
              <w:rPr>
                <w:rFonts w:ascii="Arial" w:hAnsi="Arial" w:cs="Arial"/>
                <w:sz w:val="28"/>
                <w:szCs w:val="28"/>
              </w:rPr>
              <w:t>0.3</w:t>
            </w:r>
          </w:p>
        </w:tc>
        <w:tc>
          <w:tcPr>
            <w:tcW w:w="1618" w:type="dxa"/>
          </w:tcPr>
          <w:p w14:paraId="67176421" w14:textId="21EB3ACF" w:rsidR="0018734D" w:rsidRDefault="00D90314" w:rsidP="0044074A">
            <w:pPr>
              <w:rPr>
                <w:rFonts w:ascii="Arial" w:hAnsi="Arial" w:cs="Arial"/>
                <w:sz w:val="28"/>
                <w:szCs w:val="28"/>
              </w:rPr>
            </w:pPr>
            <w:r>
              <w:rPr>
                <w:rFonts w:ascii="Arial" w:hAnsi="Arial" w:cs="Arial"/>
                <w:sz w:val="28"/>
                <w:szCs w:val="28"/>
              </w:rPr>
              <w:t>20/03/2026</w:t>
            </w:r>
          </w:p>
        </w:tc>
        <w:tc>
          <w:tcPr>
            <w:tcW w:w="2858" w:type="dxa"/>
          </w:tcPr>
          <w:p w14:paraId="0769254D" w14:textId="5213A489" w:rsidR="0018734D" w:rsidRDefault="00D90314" w:rsidP="0044074A">
            <w:pPr>
              <w:rPr>
                <w:rFonts w:ascii="Arial" w:hAnsi="Arial" w:cs="Arial"/>
                <w:sz w:val="28"/>
                <w:szCs w:val="28"/>
              </w:rPr>
            </w:pPr>
            <w:r>
              <w:rPr>
                <w:rFonts w:ascii="Arial" w:hAnsi="Arial" w:cs="Arial"/>
                <w:sz w:val="28"/>
                <w:szCs w:val="28"/>
              </w:rPr>
              <w:t>Third</w:t>
            </w:r>
            <w:r w:rsidRPr="00D90314">
              <w:rPr>
                <w:rFonts w:ascii="Arial" w:hAnsi="Arial" w:cs="Arial"/>
                <w:sz w:val="28"/>
                <w:szCs w:val="28"/>
              </w:rPr>
              <w:t xml:space="preserve"> draft produced </w:t>
            </w:r>
            <w:r>
              <w:rPr>
                <w:rFonts w:ascii="Arial" w:hAnsi="Arial" w:cs="Arial"/>
                <w:sz w:val="28"/>
                <w:szCs w:val="28"/>
              </w:rPr>
              <w:t xml:space="preserve">following feedback from Joint Housing and Asset </w:t>
            </w:r>
            <w:r>
              <w:rPr>
                <w:rFonts w:ascii="Arial" w:hAnsi="Arial" w:cs="Arial"/>
                <w:sz w:val="28"/>
                <w:szCs w:val="28"/>
              </w:rPr>
              <w:lastRenderedPageBreak/>
              <w:t>Management Team members</w:t>
            </w:r>
            <w:r w:rsidRPr="00D90314">
              <w:rPr>
                <w:rFonts w:ascii="Arial" w:hAnsi="Arial" w:cs="Arial"/>
                <w:sz w:val="28"/>
                <w:szCs w:val="28"/>
              </w:rPr>
              <w:t>.</w:t>
            </w:r>
          </w:p>
        </w:tc>
        <w:tc>
          <w:tcPr>
            <w:tcW w:w="1547" w:type="dxa"/>
          </w:tcPr>
          <w:p w14:paraId="67C8B03F" w14:textId="023419B5" w:rsidR="0018734D" w:rsidRDefault="00D90314" w:rsidP="0044074A">
            <w:pPr>
              <w:rPr>
                <w:rFonts w:ascii="Arial" w:hAnsi="Arial" w:cs="Arial"/>
                <w:sz w:val="28"/>
                <w:szCs w:val="28"/>
              </w:rPr>
            </w:pPr>
            <w:r>
              <w:rPr>
                <w:rFonts w:ascii="Arial" w:hAnsi="Arial" w:cs="Arial"/>
                <w:sz w:val="28"/>
                <w:szCs w:val="28"/>
              </w:rPr>
              <w:lastRenderedPageBreak/>
              <w:t>Louis Bebb</w:t>
            </w:r>
          </w:p>
        </w:tc>
        <w:tc>
          <w:tcPr>
            <w:tcW w:w="1815" w:type="dxa"/>
          </w:tcPr>
          <w:p w14:paraId="191E4059" w14:textId="50264EE3" w:rsidR="0018734D" w:rsidRDefault="007A11F5" w:rsidP="0044074A">
            <w:pPr>
              <w:rPr>
                <w:rFonts w:ascii="Arial" w:hAnsi="Arial" w:cs="Arial"/>
                <w:sz w:val="28"/>
                <w:szCs w:val="28"/>
              </w:rPr>
            </w:pPr>
            <w:r>
              <w:rPr>
                <w:rFonts w:ascii="Arial" w:hAnsi="Arial" w:cs="Arial"/>
                <w:sz w:val="28"/>
                <w:szCs w:val="28"/>
              </w:rPr>
              <w:t>N/A</w:t>
            </w:r>
          </w:p>
        </w:tc>
      </w:tr>
      <w:tr w:rsidR="007A11F5" w:rsidRPr="00D76427" w14:paraId="3808355C" w14:textId="77777777" w:rsidTr="0018734D">
        <w:trPr>
          <w:trHeight w:val="237"/>
        </w:trPr>
        <w:tc>
          <w:tcPr>
            <w:tcW w:w="1399" w:type="dxa"/>
          </w:tcPr>
          <w:p w14:paraId="4894A926" w14:textId="6BC16DD1" w:rsidR="007A11F5" w:rsidRDefault="007A11F5" w:rsidP="0044074A">
            <w:pPr>
              <w:rPr>
                <w:rFonts w:ascii="Arial" w:hAnsi="Arial" w:cs="Arial"/>
                <w:sz w:val="28"/>
                <w:szCs w:val="28"/>
              </w:rPr>
            </w:pPr>
            <w:r>
              <w:rPr>
                <w:rFonts w:ascii="Arial" w:hAnsi="Arial" w:cs="Arial"/>
                <w:sz w:val="28"/>
                <w:szCs w:val="28"/>
              </w:rPr>
              <w:t>0.4</w:t>
            </w:r>
          </w:p>
        </w:tc>
        <w:tc>
          <w:tcPr>
            <w:tcW w:w="1618" w:type="dxa"/>
          </w:tcPr>
          <w:p w14:paraId="0A29FF42" w14:textId="077119FC" w:rsidR="007A11F5" w:rsidRDefault="007A11F5" w:rsidP="0044074A">
            <w:pPr>
              <w:rPr>
                <w:rFonts w:ascii="Arial" w:hAnsi="Arial" w:cs="Arial"/>
                <w:sz w:val="28"/>
                <w:szCs w:val="28"/>
              </w:rPr>
            </w:pPr>
            <w:r>
              <w:rPr>
                <w:rFonts w:ascii="Arial" w:hAnsi="Arial" w:cs="Arial"/>
                <w:sz w:val="28"/>
                <w:szCs w:val="28"/>
              </w:rPr>
              <w:t>15/04/2026</w:t>
            </w:r>
          </w:p>
        </w:tc>
        <w:tc>
          <w:tcPr>
            <w:tcW w:w="2858" w:type="dxa"/>
          </w:tcPr>
          <w:p w14:paraId="08324266" w14:textId="57403222" w:rsidR="007A11F5" w:rsidRDefault="007A11F5" w:rsidP="0044074A">
            <w:pPr>
              <w:rPr>
                <w:rFonts w:ascii="Arial" w:hAnsi="Arial" w:cs="Arial"/>
                <w:sz w:val="28"/>
                <w:szCs w:val="28"/>
              </w:rPr>
            </w:pPr>
            <w:r>
              <w:rPr>
                <w:rFonts w:ascii="Arial" w:hAnsi="Arial" w:cs="Arial"/>
                <w:sz w:val="28"/>
                <w:szCs w:val="28"/>
              </w:rPr>
              <w:t>Final amendments have been made to the policy before going out for consultation.</w:t>
            </w:r>
          </w:p>
        </w:tc>
        <w:tc>
          <w:tcPr>
            <w:tcW w:w="1547" w:type="dxa"/>
          </w:tcPr>
          <w:p w14:paraId="0B29F81C" w14:textId="25BDF5E8" w:rsidR="007A11F5" w:rsidRDefault="007A11F5" w:rsidP="0044074A">
            <w:pPr>
              <w:rPr>
                <w:rFonts w:ascii="Arial" w:hAnsi="Arial" w:cs="Arial"/>
                <w:sz w:val="28"/>
                <w:szCs w:val="28"/>
              </w:rPr>
            </w:pPr>
            <w:r>
              <w:rPr>
                <w:rFonts w:ascii="Arial" w:hAnsi="Arial" w:cs="Arial"/>
                <w:sz w:val="28"/>
                <w:szCs w:val="28"/>
              </w:rPr>
              <w:t>Louis Bebb</w:t>
            </w:r>
          </w:p>
        </w:tc>
        <w:tc>
          <w:tcPr>
            <w:tcW w:w="1815" w:type="dxa"/>
          </w:tcPr>
          <w:p w14:paraId="641FEE5C" w14:textId="1DD5312E" w:rsidR="007A11F5" w:rsidRDefault="007A11F5" w:rsidP="0044074A">
            <w:pPr>
              <w:rPr>
                <w:rFonts w:ascii="Arial" w:hAnsi="Arial" w:cs="Arial"/>
                <w:sz w:val="28"/>
                <w:szCs w:val="28"/>
              </w:rPr>
            </w:pPr>
            <w:r>
              <w:rPr>
                <w:rFonts w:ascii="Arial" w:hAnsi="Arial" w:cs="Arial"/>
                <w:sz w:val="28"/>
                <w:szCs w:val="28"/>
              </w:rPr>
              <w:t>N/A</w:t>
            </w:r>
          </w:p>
        </w:tc>
      </w:tr>
    </w:tbl>
    <w:p w14:paraId="72FDE1F3" w14:textId="77777777" w:rsidR="00483D6B" w:rsidRDefault="00483D6B" w:rsidP="009B57FA"/>
    <w:sectPr w:rsidR="00483D6B" w:rsidSect="00722EC6">
      <w:footerReference w:type="default" r:id="rId24"/>
      <w:pgSz w:w="11906" w:h="16838"/>
      <w:pgMar w:top="1440" w:right="1440"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0F7D" w14:textId="77777777" w:rsidR="00ED2AA8" w:rsidRDefault="00ED2AA8" w:rsidP="00BD3B65">
      <w:pPr>
        <w:spacing w:after="0" w:line="240" w:lineRule="auto"/>
      </w:pPr>
      <w:r>
        <w:separator/>
      </w:r>
    </w:p>
  </w:endnote>
  <w:endnote w:type="continuationSeparator" w:id="0">
    <w:p w14:paraId="0569F8D1" w14:textId="77777777" w:rsidR="00ED2AA8" w:rsidRDefault="00ED2AA8"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19E54" w14:textId="77777777" w:rsidR="00ED2AA8" w:rsidRDefault="00ED2AA8" w:rsidP="00BD3B65">
      <w:pPr>
        <w:spacing w:after="0" w:line="240" w:lineRule="auto"/>
      </w:pPr>
      <w:r>
        <w:separator/>
      </w:r>
    </w:p>
  </w:footnote>
  <w:footnote w:type="continuationSeparator" w:id="0">
    <w:p w14:paraId="1E3669A0" w14:textId="77777777" w:rsidR="00ED2AA8" w:rsidRDefault="00ED2AA8"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9E7"/>
    <w:multiLevelType w:val="multilevel"/>
    <w:tmpl w:val="B356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D245C"/>
    <w:multiLevelType w:val="hybridMultilevel"/>
    <w:tmpl w:val="E23CC2A4"/>
    <w:lvl w:ilvl="0" w:tplc="C032B61C">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D844292"/>
    <w:multiLevelType w:val="hybridMultilevel"/>
    <w:tmpl w:val="50867F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254516"/>
    <w:multiLevelType w:val="hybridMultilevel"/>
    <w:tmpl w:val="3724BA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2B4E29"/>
    <w:multiLevelType w:val="multilevel"/>
    <w:tmpl w:val="765A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FB7547B"/>
    <w:multiLevelType w:val="hybridMultilevel"/>
    <w:tmpl w:val="957C264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0D66421"/>
    <w:multiLevelType w:val="hybridMultilevel"/>
    <w:tmpl w:val="8C6A252C"/>
    <w:lvl w:ilvl="0" w:tplc="C032B61C">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46568A"/>
    <w:multiLevelType w:val="hybridMultilevel"/>
    <w:tmpl w:val="5BA0A58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46D31F5"/>
    <w:multiLevelType w:val="hybridMultilevel"/>
    <w:tmpl w:val="88C6B6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197EE8"/>
    <w:multiLevelType w:val="hybridMultilevel"/>
    <w:tmpl w:val="976CAF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8829E4"/>
    <w:multiLevelType w:val="hybridMultilevel"/>
    <w:tmpl w:val="A29E1F10"/>
    <w:lvl w:ilvl="0" w:tplc="C032B61C">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CD23BD4"/>
    <w:multiLevelType w:val="hybridMultilevel"/>
    <w:tmpl w:val="9AF07C58"/>
    <w:lvl w:ilvl="0" w:tplc="C032B61C">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338C4DC4"/>
    <w:multiLevelType w:val="hybridMultilevel"/>
    <w:tmpl w:val="4A1458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FF443B"/>
    <w:multiLevelType w:val="hybridMultilevel"/>
    <w:tmpl w:val="1EA055F6"/>
    <w:lvl w:ilvl="0" w:tplc="C032B61C">
      <w:numFmt w:val="bullet"/>
      <w:lvlText w:val="•"/>
      <w:lvlJc w:val="left"/>
      <w:pPr>
        <w:ind w:left="1800" w:hanging="72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9360B92"/>
    <w:multiLevelType w:val="multilevel"/>
    <w:tmpl w:val="098ED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230741"/>
    <w:multiLevelType w:val="hybridMultilevel"/>
    <w:tmpl w:val="FA04F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4596602E"/>
    <w:multiLevelType w:val="hybridMultilevel"/>
    <w:tmpl w:val="FE34A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22" w15:restartNumberingAfterBreak="0">
    <w:nsid w:val="49212F84"/>
    <w:multiLevelType w:val="hybridMultilevel"/>
    <w:tmpl w:val="57C4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1437B4"/>
    <w:multiLevelType w:val="hybridMultilevel"/>
    <w:tmpl w:val="69845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D28DA"/>
    <w:multiLevelType w:val="hybridMultilevel"/>
    <w:tmpl w:val="FAD8D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6CB0315"/>
    <w:multiLevelType w:val="hybridMultilevel"/>
    <w:tmpl w:val="ED8E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0C7148"/>
    <w:multiLevelType w:val="hybridMultilevel"/>
    <w:tmpl w:val="EC1CB226"/>
    <w:lvl w:ilvl="0" w:tplc="08090001">
      <w:start w:val="1"/>
      <w:numFmt w:val="bullet"/>
      <w:lvlText w:val=""/>
      <w:lvlJc w:val="left"/>
      <w:pPr>
        <w:ind w:left="1080" w:hanging="360"/>
      </w:pPr>
      <w:rPr>
        <w:rFonts w:ascii="Symbol" w:hAnsi="Symbol" w:hint="default"/>
      </w:rPr>
    </w:lvl>
    <w:lvl w:ilvl="1" w:tplc="E988A18A">
      <w:start w:val="4"/>
      <w:numFmt w:val="bullet"/>
      <w:lvlText w:val="•"/>
      <w:lvlJc w:val="left"/>
      <w:pPr>
        <w:ind w:left="2160" w:hanging="72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FA57DE1"/>
    <w:multiLevelType w:val="hybridMultilevel"/>
    <w:tmpl w:val="0C2081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6139111E"/>
    <w:multiLevelType w:val="hybridMultilevel"/>
    <w:tmpl w:val="BD2E0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1844ACB"/>
    <w:multiLevelType w:val="hybridMultilevel"/>
    <w:tmpl w:val="00EA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3089F"/>
    <w:multiLevelType w:val="hybridMultilevel"/>
    <w:tmpl w:val="EB0832F6"/>
    <w:lvl w:ilvl="0" w:tplc="A6BADA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951046"/>
    <w:multiLevelType w:val="multilevel"/>
    <w:tmpl w:val="E13C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C70BDF"/>
    <w:multiLevelType w:val="multilevel"/>
    <w:tmpl w:val="22AC9D3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A8539CD"/>
    <w:multiLevelType w:val="hybridMultilevel"/>
    <w:tmpl w:val="A6824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F21271D"/>
    <w:multiLevelType w:val="hybridMultilevel"/>
    <w:tmpl w:val="7D1C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202E6"/>
    <w:multiLevelType w:val="hybridMultilevel"/>
    <w:tmpl w:val="A1967C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DAD3AE6"/>
    <w:multiLevelType w:val="hybridMultilevel"/>
    <w:tmpl w:val="B4F22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4924342">
    <w:abstractNumId w:val="32"/>
  </w:num>
  <w:num w:numId="2" w16cid:durableId="1662345125">
    <w:abstractNumId w:val="2"/>
  </w:num>
  <w:num w:numId="3" w16cid:durableId="502009116">
    <w:abstractNumId w:val="19"/>
  </w:num>
  <w:num w:numId="4" w16cid:durableId="1060327139">
    <w:abstractNumId w:val="6"/>
  </w:num>
  <w:num w:numId="5" w16cid:durableId="1830632842">
    <w:abstractNumId w:val="21"/>
  </w:num>
  <w:num w:numId="6" w16cid:durableId="1268000838">
    <w:abstractNumId w:val="30"/>
  </w:num>
  <w:num w:numId="7" w16cid:durableId="349265136">
    <w:abstractNumId w:val="14"/>
  </w:num>
  <w:num w:numId="8" w16cid:durableId="246618949">
    <w:abstractNumId w:val="24"/>
  </w:num>
  <w:num w:numId="9" w16cid:durableId="879702506">
    <w:abstractNumId w:val="7"/>
  </w:num>
  <w:num w:numId="10" w16cid:durableId="1010641157">
    <w:abstractNumId w:val="27"/>
  </w:num>
  <w:num w:numId="11" w16cid:durableId="39787217">
    <w:abstractNumId w:val="33"/>
  </w:num>
  <w:num w:numId="12" w16cid:durableId="9645557">
    <w:abstractNumId w:val="17"/>
  </w:num>
  <w:num w:numId="13" w16cid:durableId="524447608">
    <w:abstractNumId w:val="9"/>
  </w:num>
  <w:num w:numId="14" w16cid:durableId="420564097">
    <w:abstractNumId w:val="13"/>
  </w:num>
  <w:num w:numId="15" w16cid:durableId="1234045311">
    <w:abstractNumId w:val="1"/>
  </w:num>
  <w:num w:numId="16" w16cid:durableId="1378507603">
    <w:abstractNumId w:val="16"/>
  </w:num>
  <w:num w:numId="17" w16cid:durableId="1076779420">
    <w:abstractNumId w:val="36"/>
  </w:num>
  <w:num w:numId="18" w16cid:durableId="57747957">
    <w:abstractNumId w:val="20"/>
  </w:num>
  <w:num w:numId="19" w16cid:durableId="547574093">
    <w:abstractNumId w:val="15"/>
  </w:num>
  <w:num w:numId="20" w16cid:durableId="208421863">
    <w:abstractNumId w:val="12"/>
  </w:num>
  <w:num w:numId="21" w16cid:durableId="1711497304">
    <w:abstractNumId w:val="26"/>
  </w:num>
  <w:num w:numId="22" w16cid:durableId="1526557022">
    <w:abstractNumId w:val="3"/>
  </w:num>
  <w:num w:numId="23" w16cid:durableId="618028312">
    <w:abstractNumId w:val="4"/>
  </w:num>
  <w:num w:numId="24" w16cid:durableId="1497114420">
    <w:abstractNumId w:val="8"/>
  </w:num>
  <w:num w:numId="25" w16cid:durableId="607584379">
    <w:abstractNumId w:val="10"/>
  </w:num>
  <w:num w:numId="26" w16cid:durableId="886599205">
    <w:abstractNumId w:val="22"/>
  </w:num>
  <w:num w:numId="27" w16cid:durableId="2007704803">
    <w:abstractNumId w:val="29"/>
  </w:num>
  <w:num w:numId="28" w16cid:durableId="1433823063">
    <w:abstractNumId w:val="23"/>
  </w:num>
  <w:num w:numId="29" w16cid:durableId="385419104">
    <w:abstractNumId w:val="11"/>
  </w:num>
  <w:num w:numId="30" w16cid:durableId="1825075657">
    <w:abstractNumId w:val="34"/>
  </w:num>
  <w:num w:numId="31" w16cid:durableId="146097485">
    <w:abstractNumId w:val="25"/>
  </w:num>
  <w:num w:numId="32" w16cid:durableId="1108964048">
    <w:abstractNumId w:val="28"/>
  </w:num>
  <w:num w:numId="33" w16cid:durableId="860318397">
    <w:abstractNumId w:val="5"/>
  </w:num>
  <w:num w:numId="34" w16cid:durableId="33387419">
    <w:abstractNumId w:val="18"/>
  </w:num>
  <w:num w:numId="35" w16cid:durableId="179129521">
    <w:abstractNumId w:val="35"/>
  </w:num>
  <w:num w:numId="36" w16cid:durableId="1143349226">
    <w:abstractNumId w:val="31"/>
  </w:num>
  <w:num w:numId="37" w16cid:durableId="1657607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3A8E"/>
    <w:rsid w:val="00005407"/>
    <w:rsid w:val="00024D50"/>
    <w:rsid w:val="00026AEB"/>
    <w:rsid w:val="00027272"/>
    <w:rsid w:val="0005210B"/>
    <w:rsid w:val="00054DA2"/>
    <w:rsid w:val="000627E9"/>
    <w:rsid w:val="00067B98"/>
    <w:rsid w:val="00073428"/>
    <w:rsid w:val="0009324F"/>
    <w:rsid w:val="000958EA"/>
    <w:rsid w:val="000B01DF"/>
    <w:rsid w:val="000D0449"/>
    <w:rsid w:val="000D1A1E"/>
    <w:rsid w:val="000D5A53"/>
    <w:rsid w:val="000E23A2"/>
    <w:rsid w:val="0011008C"/>
    <w:rsid w:val="00111F04"/>
    <w:rsid w:val="0011223F"/>
    <w:rsid w:val="00124062"/>
    <w:rsid w:val="00132F44"/>
    <w:rsid w:val="00134DA4"/>
    <w:rsid w:val="00135DA5"/>
    <w:rsid w:val="00137385"/>
    <w:rsid w:val="00160C8E"/>
    <w:rsid w:val="00163200"/>
    <w:rsid w:val="0018734D"/>
    <w:rsid w:val="00191780"/>
    <w:rsid w:val="001B0C91"/>
    <w:rsid w:val="001D0F3B"/>
    <w:rsid w:val="002100A6"/>
    <w:rsid w:val="00211E2B"/>
    <w:rsid w:val="0021317B"/>
    <w:rsid w:val="00236900"/>
    <w:rsid w:val="00265EA8"/>
    <w:rsid w:val="0026605D"/>
    <w:rsid w:val="00281BD2"/>
    <w:rsid w:val="00286E2A"/>
    <w:rsid w:val="002956DF"/>
    <w:rsid w:val="002D24EC"/>
    <w:rsid w:val="002F66CF"/>
    <w:rsid w:val="00302692"/>
    <w:rsid w:val="003026DA"/>
    <w:rsid w:val="003253F2"/>
    <w:rsid w:val="00331693"/>
    <w:rsid w:val="003337B7"/>
    <w:rsid w:val="0034219A"/>
    <w:rsid w:val="00344D8D"/>
    <w:rsid w:val="0035093A"/>
    <w:rsid w:val="00350FE0"/>
    <w:rsid w:val="00366CA8"/>
    <w:rsid w:val="0037607D"/>
    <w:rsid w:val="003866AB"/>
    <w:rsid w:val="00387B58"/>
    <w:rsid w:val="00396EA5"/>
    <w:rsid w:val="0039730E"/>
    <w:rsid w:val="003A1541"/>
    <w:rsid w:val="003A2A3E"/>
    <w:rsid w:val="003A3D62"/>
    <w:rsid w:val="003A3F74"/>
    <w:rsid w:val="003A5BDC"/>
    <w:rsid w:val="003A6724"/>
    <w:rsid w:val="003B0E5D"/>
    <w:rsid w:val="003B76F7"/>
    <w:rsid w:val="003D2B21"/>
    <w:rsid w:val="003D35F0"/>
    <w:rsid w:val="0040406E"/>
    <w:rsid w:val="0044074A"/>
    <w:rsid w:val="0045700D"/>
    <w:rsid w:val="00461B91"/>
    <w:rsid w:val="00462667"/>
    <w:rsid w:val="00483D6B"/>
    <w:rsid w:val="0049548D"/>
    <w:rsid w:val="004A12C2"/>
    <w:rsid w:val="004A23CE"/>
    <w:rsid w:val="004A4E99"/>
    <w:rsid w:val="004B257B"/>
    <w:rsid w:val="004B4F24"/>
    <w:rsid w:val="004B7278"/>
    <w:rsid w:val="004C7B6E"/>
    <w:rsid w:val="004E6761"/>
    <w:rsid w:val="00507810"/>
    <w:rsid w:val="00512FB4"/>
    <w:rsid w:val="00523FE0"/>
    <w:rsid w:val="00526550"/>
    <w:rsid w:val="00551388"/>
    <w:rsid w:val="00561839"/>
    <w:rsid w:val="00574EA2"/>
    <w:rsid w:val="00597931"/>
    <w:rsid w:val="005A2B54"/>
    <w:rsid w:val="005A7E31"/>
    <w:rsid w:val="005B120D"/>
    <w:rsid w:val="005C736E"/>
    <w:rsid w:val="005F1603"/>
    <w:rsid w:val="006172CC"/>
    <w:rsid w:val="006306A2"/>
    <w:rsid w:val="00636B89"/>
    <w:rsid w:val="00665317"/>
    <w:rsid w:val="006731A5"/>
    <w:rsid w:val="00685429"/>
    <w:rsid w:val="0069711B"/>
    <w:rsid w:val="006A75AC"/>
    <w:rsid w:val="006B0D4B"/>
    <w:rsid w:val="006B4217"/>
    <w:rsid w:val="006E6484"/>
    <w:rsid w:val="0071105A"/>
    <w:rsid w:val="00722EC6"/>
    <w:rsid w:val="00723A09"/>
    <w:rsid w:val="00724EBC"/>
    <w:rsid w:val="00726702"/>
    <w:rsid w:val="00734540"/>
    <w:rsid w:val="00745F2F"/>
    <w:rsid w:val="007522CC"/>
    <w:rsid w:val="007531C3"/>
    <w:rsid w:val="00756491"/>
    <w:rsid w:val="00771051"/>
    <w:rsid w:val="0077155E"/>
    <w:rsid w:val="0077573F"/>
    <w:rsid w:val="00775A60"/>
    <w:rsid w:val="00791DA8"/>
    <w:rsid w:val="0079471D"/>
    <w:rsid w:val="007A11F5"/>
    <w:rsid w:val="007A6153"/>
    <w:rsid w:val="007B0733"/>
    <w:rsid w:val="007B3E7D"/>
    <w:rsid w:val="007C36DF"/>
    <w:rsid w:val="007C7824"/>
    <w:rsid w:val="007E672A"/>
    <w:rsid w:val="00806FCC"/>
    <w:rsid w:val="00814273"/>
    <w:rsid w:val="00821D5A"/>
    <w:rsid w:val="008227E1"/>
    <w:rsid w:val="0085070B"/>
    <w:rsid w:val="00866512"/>
    <w:rsid w:val="00886444"/>
    <w:rsid w:val="00892D79"/>
    <w:rsid w:val="008C13BF"/>
    <w:rsid w:val="008C2DD8"/>
    <w:rsid w:val="008D564D"/>
    <w:rsid w:val="00937F0A"/>
    <w:rsid w:val="009401BB"/>
    <w:rsid w:val="00942372"/>
    <w:rsid w:val="009448BC"/>
    <w:rsid w:val="009504BE"/>
    <w:rsid w:val="009548CD"/>
    <w:rsid w:val="00976F39"/>
    <w:rsid w:val="00987999"/>
    <w:rsid w:val="009A3DDA"/>
    <w:rsid w:val="009B57FA"/>
    <w:rsid w:val="009D1289"/>
    <w:rsid w:val="009D73DA"/>
    <w:rsid w:val="009E4358"/>
    <w:rsid w:val="00A00C18"/>
    <w:rsid w:val="00A073F6"/>
    <w:rsid w:val="00A35FED"/>
    <w:rsid w:val="00A37F6D"/>
    <w:rsid w:val="00A51757"/>
    <w:rsid w:val="00A71E69"/>
    <w:rsid w:val="00AA61DE"/>
    <w:rsid w:val="00AB30A9"/>
    <w:rsid w:val="00AC5C42"/>
    <w:rsid w:val="00AD1ADC"/>
    <w:rsid w:val="00AD27B9"/>
    <w:rsid w:val="00AE554F"/>
    <w:rsid w:val="00AF7A80"/>
    <w:rsid w:val="00B06ABA"/>
    <w:rsid w:val="00B246C8"/>
    <w:rsid w:val="00B41016"/>
    <w:rsid w:val="00B54D4B"/>
    <w:rsid w:val="00B553B3"/>
    <w:rsid w:val="00B63289"/>
    <w:rsid w:val="00B63737"/>
    <w:rsid w:val="00B878C6"/>
    <w:rsid w:val="00B97675"/>
    <w:rsid w:val="00B97746"/>
    <w:rsid w:val="00BA610E"/>
    <w:rsid w:val="00BB6DFB"/>
    <w:rsid w:val="00BC2C1C"/>
    <w:rsid w:val="00BD07EA"/>
    <w:rsid w:val="00BD1AEE"/>
    <w:rsid w:val="00BD2A36"/>
    <w:rsid w:val="00BD342A"/>
    <w:rsid w:val="00BD3B65"/>
    <w:rsid w:val="00C133E9"/>
    <w:rsid w:val="00C13F6F"/>
    <w:rsid w:val="00C3614E"/>
    <w:rsid w:val="00C44155"/>
    <w:rsid w:val="00C46A46"/>
    <w:rsid w:val="00C55911"/>
    <w:rsid w:val="00C94578"/>
    <w:rsid w:val="00C94EEE"/>
    <w:rsid w:val="00CB25AC"/>
    <w:rsid w:val="00CB2E93"/>
    <w:rsid w:val="00CB5817"/>
    <w:rsid w:val="00CC1C8F"/>
    <w:rsid w:val="00CC5D5B"/>
    <w:rsid w:val="00CD74FD"/>
    <w:rsid w:val="00CF630C"/>
    <w:rsid w:val="00D07884"/>
    <w:rsid w:val="00D259C9"/>
    <w:rsid w:val="00D37569"/>
    <w:rsid w:val="00D56CF0"/>
    <w:rsid w:val="00D62F6A"/>
    <w:rsid w:val="00D76427"/>
    <w:rsid w:val="00D87494"/>
    <w:rsid w:val="00D90314"/>
    <w:rsid w:val="00DB3ADA"/>
    <w:rsid w:val="00DB65DA"/>
    <w:rsid w:val="00DC3EDD"/>
    <w:rsid w:val="00DD7CAE"/>
    <w:rsid w:val="00DE104F"/>
    <w:rsid w:val="00DE2676"/>
    <w:rsid w:val="00DF05C6"/>
    <w:rsid w:val="00E172D7"/>
    <w:rsid w:val="00E27B71"/>
    <w:rsid w:val="00E403CC"/>
    <w:rsid w:val="00E53A7A"/>
    <w:rsid w:val="00E64852"/>
    <w:rsid w:val="00E728EE"/>
    <w:rsid w:val="00E75A95"/>
    <w:rsid w:val="00E810AE"/>
    <w:rsid w:val="00E81AAC"/>
    <w:rsid w:val="00EA11E3"/>
    <w:rsid w:val="00EA6229"/>
    <w:rsid w:val="00EB19EE"/>
    <w:rsid w:val="00EB2B05"/>
    <w:rsid w:val="00EC0DE3"/>
    <w:rsid w:val="00EC4247"/>
    <w:rsid w:val="00ED2AA8"/>
    <w:rsid w:val="00EE63D7"/>
    <w:rsid w:val="00EF17BB"/>
    <w:rsid w:val="00EF36D4"/>
    <w:rsid w:val="00EF50BC"/>
    <w:rsid w:val="00F015C5"/>
    <w:rsid w:val="00F06A89"/>
    <w:rsid w:val="00F23839"/>
    <w:rsid w:val="00F270BD"/>
    <w:rsid w:val="00F27B40"/>
    <w:rsid w:val="00F371A0"/>
    <w:rsid w:val="00F5655E"/>
    <w:rsid w:val="00F60B07"/>
    <w:rsid w:val="00F700E2"/>
    <w:rsid w:val="00F75CF3"/>
    <w:rsid w:val="00F93C91"/>
    <w:rsid w:val="00FB6179"/>
    <w:rsid w:val="00FC170A"/>
    <w:rsid w:val="00FC6209"/>
    <w:rsid w:val="00FC7F6C"/>
    <w:rsid w:val="00FD71FB"/>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F00A554D-047B-442F-B493-9959150E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CB25AC"/>
    <w:pPr>
      <w:ind w:left="360" w:hanging="360"/>
      <w:outlineLvl w:val="1"/>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customStyle="1" w:styleId="Heading2Char">
    <w:name w:val="Heading 2 Char"/>
    <w:basedOn w:val="DefaultParagraphFont"/>
    <w:link w:val="Heading2"/>
    <w:uiPriority w:val="9"/>
    <w:rsid w:val="00CB25AC"/>
    <w:rPr>
      <w:rFonts w:ascii="Arial" w:hAnsi="Arial" w:cs="Arial"/>
      <w:b/>
      <w:bCs/>
      <w:sz w:val="28"/>
      <w:szCs w:val="28"/>
    </w:rPr>
  </w:style>
  <w:style w:type="paragraph" w:styleId="NormalWeb">
    <w:name w:val="Normal (Web)"/>
    <w:basedOn w:val="Normal"/>
    <w:uiPriority w:val="99"/>
    <w:semiHidden/>
    <w:unhideWhenUsed/>
    <w:rsid w:val="00892D7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4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tenanthandboo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andwell.gov.uk/downloads/file/4140/tenancy-sustainment-policy"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andwell.gov.uk/downloads/download/233/housing-allocations-poli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ustomer_services@sandwell.gov.uk" TargetMode="External"/><Relationship Id="rId20" Type="http://schemas.openxmlformats.org/officeDocument/2006/relationships/hyperlink" Target="https://www.sandwell.gov.uk/downloads/download/1141/sandwell-council-tenancy-fraud-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y.sandwell.gov.uk/en/AchieveForms/?form_uri=sandbox-publish://AF-Process-85d7e187-e1b9-4d15-908e-b104e268ac01/AF-Stage-8c7c894b-16df-45a5-8f8a-8bdc5c1f1156/definition.json&amp;redirectlink=/en&amp;cancelRedirectLink=/en" TargetMode="External"/><Relationship Id="rId23" Type="http://schemas.openxmlformats.org/officeDocument/2006/relationships/hyperlink" Target="https://www.sandwell.gov.uk/downloads/download/154/reasonable-adjustments-policy" TargetMode="External"/><Relationship Id="rId10" Type="http://schemas.openxmlformats.org/officeDocument/2006/relationships/endnotes" Target="endnotes.xml"/><Relationship Id="rId19" Type="http://schemas.openxmlformats.org/officeDocument/2006/relationships/hyperlink" Target="https://www.sandwell.gov.uk/housing/housing-repairs-maintenanc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usingservices@smbc.gov.uk" TargetMode="External"/><Relationship Id="rId22" Type="http://schemas.openxmlformats.org/officeDocument/2006/relationships/hyperlink" Target="https://www.gov.uk/government/collections/regulatory-standards-for-landl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5" ma:contentTypeDescription="Create a new document." ma:contentTypeScope="" ma:versionID="e5e440776cf630debc30b0d31d7ae8b1">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69eb5e99e3924604b835bc28c1c2ce7"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2.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3.xml><?xml version="1.0" encoding="utf-8"?>
<ds:datastoreItem xmlns:ds="http://schemas.openxmlformats.org/officeDocument/2006/customXml" ds:itemID="{1AD0EF5D-9154-4529-8947-F8ED9F99F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3029</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2026-07-24T16:30:00Z</dcterms:created>
  <dcterms:modified xsi:type="dcterms:W3CDTF">2026-07-24T16:30:00Z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