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09"/>
        <w:gridCol w:w="4436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53E9995F" w:rsidR="00513A37" w:rsidRPr="00513A37" w:rsidRDefault="00E55E06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Neighbourhood Management</w:t>
            </w:r>
            <w:r w:rsidR="00C77113">
              <w:rPr>
                <w:rFonts w:ascii="Arial" w:hAnsi="Arial" w:cs="Arial"/>
                <w:sz w:val="24"/>
                <w:szCs w:val="24"/>
              </w:rPr>
              <w:t xml:space="preserve"> Policy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23EBF23A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Jim Brennan</w:t>
            </w:r>
            <w:r w:rsidR="003F1B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0EE7C4B2" w:rsidR="00513A37" w:rsidRPr="00743FC9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1ED85476" w:rsidR="00513A37" w:rsidRPr="007965E2" w:rsidRDefault="003F1B9E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17.03.2026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5622046E" w:rsidR="00513A37" w:rsidRPr="00743FC9" w:rsidRDefault="00C7711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2025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368FD3" w14:textId="77777777" w:rsid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Gov</w:t>
            </w:r>
          </w:p>
          <w:p w14:paraId="07DBE058" w14:textId="77777777" w:rsidR="006E4905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6DAA68AB" w14:textId="77777777" w:rsidR="003F1B9E" w:rsidRDefault="003F1B9E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E5588" w14:textId="77777777" w:rsidR="00FB1511" w:rsidRDefault="00FB1511" w:rsidP="00FB1511">
            <w:pPr>
              <w:rPr>
                <w:rFonts w:ascii="Arial" w:hAnsi="Arial" w:cs="Arial"/>
                <w:sz w:val="24"/>
                <w:szCs w:val="24"/>
              </w:rPr>
            </w:pPr>
            <w:r w:rsidRPr="00FB151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purpose of this policy is to define expectations of good neighbourly behaviour and outline Sandwell Council’s approach to effective neighbourhood management across the borough.</w:t>
            </w:r>
          </w:p>
          <w:p w14:paraId="3736ABC5" w14:textId="77777777" w:rsidR="00FB1511" w:rsidRPr="00FB1511" w:rsidRDefault="00FB1511" w:rsidP="00FB15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CD40A56" w14:textId="77777777" w:rsidR="00FB1511" w:rsidRPr="00FB1511" w:rsidRDefault="00FB1511" w:rsidP="00FB15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B151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Good Neighbourhood Management Policy to promote safe, respectful, and well-managed communities.</w:t>
            </w:r>
          </w:p>
          <w:p w14:paraId="24754DBB" w14:textId="3F73B4D4" w:rsidR="00DA711C" w:rsidRPr="00D76B9C" w:rsidRDefault="00DA711C" w:rsidP="00FB1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25988ED7" w14:textId="77777777" w:rsidR="00200E35" w:rsidRDefault="00200E35" w:rsidP="008521F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74699E6" w14:textId="77777777" w:rsidR="003622EF" w:rsidRPr="003622EF" w:rsidRDefault="003622EF" w:rsidP="003622E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This policy has been informed by a range of strategic, legislative, and operational evidence, including:</w:t>
            </w:r>
          </w:p>
          <w:p w14:paraId="0A8AC80D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Sandwell Council Housing Strategy 2023–2028</w:t>
            </w:r>
          </w:p>
          <w:p w14:paraId="092956BE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Sandwell 2030 Vision: Corporate Plan 2021–2025</w:t>
            </w:r>
          </w:p>
          <w:p w14:paraId="11F17D76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Anti-Social Behaviour (ASB) Policy</w:t>
            </w:r>
          </w:p>
          <w:p w14:paraId="7866C173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Tenant Handbook and Tenancy Conditions</w:t>
            </w:r>
          </w:p>
          <w:p w14:paraId="191851B7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Sandwell Community Safety Strategy 2022–2026</w:t>
            </w:r>
          </w:p>
          <w:p w14:paraId="5503938D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Environmental Protection legislation and noise management frameworks</w:t>
            </w:r>
          </w:p>
          <w:p w14:paraId="0540594D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Operational experience from Housing and ASB teams</w:t>
            </w:r>
          </w:p>
          <w:p w14:paraId="10AE809E" w14:textId="77777777" w:rsidR="003622EF" w:rsidRPr="003622EF" w:rsidRDefault="003622EF" w:rsidP="003622EF">
            <w:pPr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 feedback and casework relating to neighbour disputes and estate management</w:t>
            </w:r>
          </w:p>
          <w:p w14:paraId="5AABADD8" w14:textId="77777777" w:rsidR="003622EF" w:rsidRDefault="003622EF" w:rsidP="003622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8F63B" w14:textId="2616FB19" w:rsidR="003622EF" w:rsidRPr="003622EF" w:rsidRDefault="003622EF" w:rsidP="003622E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622E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While qualitative feedback and case data inform the policy, low-level neighbour disputes are often underreported. The policy therefore promotes early intervention and informal resolution.</w:t>
            </w:r>
          </w:p>
          <w:p w14:paraId="6648F1B4" w14:textId="14B662F6" w:rsidR="008521F3" w:rsidRPr="008521F3" w:rsidRDefault="008521F3" w:rsidP="003622E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3C468338" w14:textId="77777777" w:rsidR="0053613C" w:rsidRDefault="0053613C" w:rsidP="00536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C123A" w14:textId="5EDF6C31" w:rsidR="0053613C" w:rsidRPr="0053613C" w:rsidRDefault="0053613C" w:rsidP="0053613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Consultation has been undertaken to ensure the policy reflects the needs of residents and aligns with operational practice.</w:t>
            </w:r>
          </w:p>
          <w:p w14:paraId="38A5D727" w14:textId="77777777" w:rsidR="0053613C" w:rsidRDefault="0053613C" w:rsidP="00536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40758" w14:textId="7824D900" w:rsidR="0053613C" w:rsidRPr="0053613C" w:rsidRDefault="0053613C" w:rsidP="0053613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Engagement has included:</w:t>
            </w:r>
          </w:p>
          <w:p w14:paraId="6E2AB7B9" w14:textId="77777777" w:rsidR="0053613C" w:rsidRPr="0053613C" w:rsidRDefault="0053613C" w:rsidP="0053613C">
            <w:pPr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Input from Housing and Anti-Social Behaviour (ASB) Teams</w:t>
            </w:r>
          </w:p>
          <w:p w14:paraId="77D71EAD" w14:textId="77777777" w:rsidR="0053613C" w:rsidRPr="0053613C" w:rsidRDefault="0053613C" w:rsidP="0053613C">
            <w:pPr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Feedback from frontline officers managing neighbourhood issues</w:t>
            </w:r>
          </w:p>
          <w:p w14:paraId="12C0D766" w14:textId="77777777" w:rsidR="0053613C" w:rsidRPr="0053613C" w:rsidRDefault="0053613C" w:rsidP="0053613C">
            <w:pPr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 consultation on draft policy (online and in-person where applicable)</w:t>
            </w:r>
          </w:p>
          <w:p w14:paraId="0B1423F9" w14:textId="77777777" w:rsidR="0053613C" w:rsidRPr="0053613C" w:rsidRDefault="0053613C" w:rsidP="0053613C">
            <w:pPr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Consideration of previous resident feedback on neighbourhood concerns</w:t>
            </w:r>
          </w:p>
          <w:p w14:paraId="0765F7BC" w14:textId="77777777" w:rsidR="0053613C" w:rsidRPr="0053613C" w:rsidRDefault="0053613C" w:rsidP="00536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4B89D" w14:textId="4D3BBA46" w:rsidR="0053613C" w:rsidRPr="0053613C" w:rsidRDefault="0053613C" w:rsidP="0053613C">
            <w:pPr>
              <w:rPr>
                <w:rFonts w:ascii="Arial" w:hAnsi="Arial" w:cs="Arial"/>
                <w:sz w:val="24"/>
                <w:szCs w:val="24"/>
              </w:rPr>
            </w:pPr>
            <w:r w:rsidRPr="0053613C">
              <w:rPr>
                <w:rFonts w:ascii="Arial" w:hAnsi="Arial" w:cs="Arial"/>
                <w:sz w:val="24"/>
                <w:szCs w:val="24"/>
              </w:rPr>
              <w:t>Summary of Consultation Findings</w:t>
            </w:r>
          </w:p>
          <w:p w14:paraId="161B1882" w14:textId="77777777" w:rsidR="0053613C" w:rsidRPr="0053613C" w:rsidRDefault="0053613C" w:rsidP="0053613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Key themes from engagement included:</w:t>
            </w:r>
          </w:p>
          <w:p w14:paraId="2887F2EB" w14:textId="77777777" w:rsidR="0053613C" w:rsidRPr="0053613C" w:rsidRDefault="0053613C" w:rsidP="0053613C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Support for clearer expectations of neighbourly behaviour</w:t>
            </w:r>
          </w:p>
          <w:p w14:paraId="027EE3FD" w14:textId="77777777" w:rsidR="0053613C" w:rsidRPr="0053613C" w:rsidRDefault="0053613C" w:rsidP="0053613C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importance of early, informal resolution of disputes</w:t>
            </w:r>
          </w:p>
          <w:p w14:paraId="58FD0061" w14:textId="77777777" w:rsidR="0053613C" w:rsidRPr="0053613C" w:rsidRDefault="0053613C" w:rsidP="0053613C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need to distinguish between ASB and low-level neighbour issues</w:t>
            </w:r>
          </w:p>
          <w:p w14:paraId="7D046E2A" w14:textId="77777777" w:rsidR="0053613C" w:rsidRPr="0053613C" w:rsidRDefault="0053613C" w:rsidP="0053613C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importance of clean, safe, and well-maintained communal areas</w:t>
            </w:r>
          </w:p>
          <w:p w14:paraId="2E034BCD" w14:textId="77777777" w:rsidR="0053613C" w:rsidRPr="0053613C" w:rsidRDefault="0053613C" w:rsidP="0053613C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A desire for consistent communication and visible neighbourhood services</w:t>
            </w:r>
          </w:p>
          <w:p w14:paraId="68A179F2" w14:textId="77777777" w:rsidR="0053613C" w:rsidRDefault="0053613C" w:rsidP="00536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FCBC4" w14:textId="6DDD94C7" w:rsidR="0053613C" w:rsidRPr="0053613C" w:rsidRDefault="0053613C" w:rsidP="0053613C">
            <w:pPr>
              <w:rPr>
                <w:rFonts w:ascii="Arial" w:hAnsi="Arial" w:cs="Arial"/>
                <w:sz w:val="24"/>
                <w:szCs w:val="24"/>
              </w:rPr>
            </w:pPr>
            <w:r w:rsidRPr="0053613C">
              <w:rPr>
                <w:rFonts w:ascii="Arial" w:hAnsi="Arial" w:cs="Arial"/>
                <w:sz w:val="24"/>
                <w:szCs w:val="24"/>
              </w:rPr>
              <w:t>Changes made following consultation</w:t>
            </w:r>
          </w:p>
          <w:p w14:paraId="74B9054D" w14:textId="77777777" w:rsidR="0053613C" w:rsidRPr="0053613C" w:rsidRDefault="0053613C" w:rsidP="0053613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As a result of feedback, the policy has been strengthened to include:</w:t>
            </w:r>
          </w:p>
          <w:p w14:paraId="790D58C6" w14:textId="77777777" w:rsidR="0053613C" w:rsidRPr="0053613C" w:rsidRDefault="0053613C" w:rsidP="0053613C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Clearer guidance on what constitutes good neighbour behaviour</w:t>
            </w:r>
          </w:p>
          <w:p w14:paraId="1013A33C" w14:textId="77777777" w:rsidR="0053613C" w:rsidRPr="0053613C" w:rsidRDefault="0053613C" w:rsidP="0053613C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Improved emphasis on early resolution and communication</w:t>
            </w:r>
          </w:p>
          <w:p w14:paraId="5C69FFA6" w14:textId="77777777" w:rsidR="0053613C" w:rsidRPr="0053613C" w:rsidRDefault="0053613C" w:rsidP="0053613C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Clarification of the difference between ASB and neighbour disputes</w:t>
            </w:r>
          </w:p>
          <w:p w14:paraId="69816EC0" w14:textId="77777777" w:rsidR="0053613C" w:rsidRPr="0053613C" w:rsidRDefault="0053613C" w:rsidP="0053613C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Greater focus on partnership working and community cohesion</w:t>
            </w:r>
          </w:p>
          <w:p w14:paraId="2582A7B9" w14:textId="77777777" w:rsidR="0053613C" w:rsidRPr="0053613C" w:rsidRDefault="0053613C" w:rsidP="0053613C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613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Inclusion of practical examples of expected behaviours</w:t>
            </w:r>
          </w:p>
          <w:p w14:paraId="6C35265D" w14:textId="77777777" w:rsidR="00C77113" w:rsidRPr="0053613C" w:rsidRDefault="00C77113" w:rsidP="00C7711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4969F6DD" w14:textId="77777777" w:rsidR="009E7427" w:rsidRPr="002D74E2" w:rsidRDefault="009E7427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32CD2F21" w14:textId="77777777" w:rsidR="002D74E2" w:rsidRPr="002D74E2" w:rsidRDefault="002D74E2" w:rsidP="002D74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color w:val="000000"/>
                <w:sz w:val="24"/>
                <w:szCs w:val="24"/>
              </w:rPr>
              <w:t>Summary assessment of impacts on protected characteristics</w:t>
            </w:r>
          </w:p>
          <w:p w14:paraId="588FABC7" w14:textId="77777777" w:rsidR="000614B8" w:rsidRDefault="000614B8" w:rsidP="002D74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95DB62" w14:textId="0EBF3638" w:rsidR="002D74E2" w:rsidRPr="002D74E2" w:rsidRDefault="002D74E2" w:rsidP="002D74E2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has been assessed for its impact on individuals with protected characteristics and is expected to have an overall positive or neutral impact.</w:t>
            </w:r>
          </w:p>
          <w:p w14:paraId="00B8EB69" w14:textId="77777777" w:rsidR="000614B8" w:rsidRDefault="000614B8" w:rsidP="002D74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0E02A4" w14:textId="1ABDDC4B" w:rsidR="002D74E2" w:rsidRPr="002D74E2" w:rsidRDefault="002D74E2" w:rsidP="002D74E2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promotes:</w:t>
            </w:r>
          </w:p>
          <w:p w14:paraId="2887FE5C" w14:textId="77777777" w:rsidR="002D74E2" w:rsidRPr="002D74E2" w:rsidRDefault="002D74E2" w:rsidP="002D74E2">
            <w:pPr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Respectful behaviour and community cohesion</w:t>
            </w:r>
          </w:p>
          <w:p w14:paraId="0435CC6B" w14:textId="77777777" w:rsidR="002D74E2" w:rsidRPr="002D74E2" w:rsidRDefault="002D74E2" w:rsidP="002D74E2">
            <w:pPr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Safe and inclusive neighbourhoods</w:t>
            </w:r>
          </w:p>
          <w:p w14:paraId="1EEFD2CE" w14:textId="77777777" w:rsidR="002D74E2" w:rsidRPr="002D74E2" w:rsidRDefault="002D74E2" w:rsidP="002D74E2">
            <w:pPr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Fair and consistent access to services</w:t>
            </w:r>
          </w:p>
          <w:p w14:paraId="1ADE81B4" w14:textId="77777777" w:rsidR="000614B8" w:rsidRDefault="000614B8" w:rsidP="002D74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76E992" w14:textId="512BDD88" w:rsidR="002D74E2" w:rsidRPr="002D74E2" w:rsidRDefault="002D74E2" w:rsidP="002D74E2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Key protected characteristics considered include:</w:t>
            </w:r>
          </w:p>
          <w:p w14:paraId="79EB83D7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Age</w:t>
            </w:r>
          </w:p>
          <w:p w14:paraId="5B2DCE68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Disability</w:t>
            </w:r>
          </w:p>
          <w:p w14:paraId="07545D00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Race</w:t>
            </w:r>
          </w:p>
          <w:p w14:paraId="4A808E15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Religion or belief</w:t>
            </w:r>
          </w:p>
          <w:p w14:paraId="40D7A79A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Sex</w:t>
            </w:r>
          </w:p>
          <w:p w14:paraId="2C458EF8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Sexual orientation</w:t>
            </w:r>
          </w:p>
          <w:p w14:paraId="038A99A3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Gender reassignment</w:t>
            </w:r>
          </w:p>
          <w:p w14:paraId="7734B803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Pregnancy and maternity</w:t>
            </w:r>
          </w:p>
          <w:p w14:paraId="3C8434F7" w14:textId="77777777" w:rsidR="002D74E2" w:rsidRPr="002D74E2" w:rsidRDefault="002D74E2" w:rsidP="002D74E2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Low-income households</w:t>
            </w:r>
          </w:p>
          <w:p w14:paraId="788BA144" w14:textId="77777777" w:rsidR="000614B8" w:rsidRDefault="000614B8" w:rsidP="002D74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F0B488" w14:textId="6522866B" w:rsidR="002D74E2" w:rsidRPr="002D74E2" w:rsidRDefault="002D74E2" w:rsidP="002D74E2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Measures to support equality include:</w:t>
            </w:r>
          </w:p>
          <w:p w14:paraId="4B4AA637" w14:textId="77777777" w:rsidR="002D74E2" w:rsidRPr="002D74E2" w:rsidRDefault="002D74E2" w:rsidP="002D74E2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Clear and accessible communication</w:t>
            </w:r>
          </w:p>
          <w:p w14:paraId="09D75989" w14:textId="77777777" w:rsidR="002D74E2" w:rsidRPr="002D74E2" w:rsidRDefault="002D74E2" w:rsidP="002D74E2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Reasonable adjustments for residents with additional needs</w:t>
            </w:r>
          </w:p>
          <w:p w14:paraId="2592902C" w14:textId="77777777" w:rsidR="002D74E2" w:rsidRPr="002D74E2" w:rsidRDefault="002D74E2" w:rsidP="002D74E2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Early intervention to prevent escalation of disputes</w:t>
            </w:r>
          </w:p>
          <w:p w14:paraId="02B1B2B1" w14:textId="77777777" w:rsidR="002D74E2" w:rsidRPr="002D74E2" w:rsidRDefault="002D74E2" w:rsidP="002D74E2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D74E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Staff training in equality, diversity, and conflict resolution</w:t>
            </w:r>
          </w:p>
          <w:p w14:paraId="7C195532" w14:textId="221421D0" w:rsidR="002D74E2" w:rsidRPr="002D74E2" w:rsidRDefault="002D74E2" w:rsidP="00C7711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09"/>
        <w:gridCol w:w="1333"/>
        <w:gridCol w:w="5375"/>
        <w:gridCol w:w="3858"/>
        <w:gridCol w:w="1851"/>
      </w:tblGrid>
      <w:tr w:rsidR="00F85C76" w:rsidRPr="00F85C76" w14:paraId="5C65F02A" w14:textId="77777777" w:rsidTr="00F85C76">
        <w:tc>
          <w:tcPr>
            <w:tcW w:w="0" w:type="auto"/>
            <w:hideMark/>
          </w:tcPr>
          <w:p w14:paraId="267D2ECB" w14:textId="77777777" w:rsidR="00F85C76" w:rsidRPr="00F85C76" w:rsidRDefault="00F85C76" w:rsidP="00F85C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Reviewed Characteristic</w:t>
            </w:r>
          </w:p>
        </w:tc>
        <w:tc>
          <w:tcPr>
            <w:tcW w:w="0" w:type="auto"/>
            <w:hideMark/>
          </w:tcPr>
          <w:p w14:paraId="2B78DB11" w14:textId="77777777" w:rsidR="00F85C76" w:rsidRPr="00F85C76" w:rsidRDefault="00F85C76" w:rsidP="00F85C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Impact (P/N/Ne)</w:t>
            </w:r>
          </w:p>
        </w:tc>
        <w:tc>
          <w:tcPr>
            <w:tcW w:w="0" w:type="auto"/>
            <w:hideMark/>
          </w:tcPr>
          <w:p w14:paraId="5678F34A" w14:textId="77777777" w:rsidR="00F85C76" w:rsidRPr="00F85C76" w:rsidRDefault="00F85C76" w:rsidP="00F85C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Details of Impact</w:t>
            </w:r>
          </w:p>
        </w:tc>
        <w:tc>
          <w:tcPr>
            <w:tcW w:w="0" w:type="auto"/>
            <w:hideMark/>
          </w:tcPr>
          <w:p w14:paraId="791A4F19" w14:textId="77777777" w:rsidR="00F85C76" w:rsidRPr="00F85C76" w:rsidRDefault="00F85C76" w:rsidP="00F85C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Actions to Address Negative Impact or Promote Positive Impact</w:t>
            </w:r>
          </w:p>
        </w:tc>
        <w:tc>
          <w:tcPr>
            <w:tcW w:w="0" w:type="auto"/>
            <w:hideMark/>
          </w:tcPr>
          <w:p w14:paraId="01595D89" w14:textId="77777777" w:rsidR="00F85C76" w:rsidRPr="00F85C76" w:rsidRDefault="00F85C76" w:rsidP="00F85C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Owner / Timescale</w:t>
            </w:r>
          </w:p>
        </w:tc>
      </w:tr>
      <w:tr w:rsidR="00F85C76" w:rsidRPr="00F85C76" w14:paraId="1A5F3076" w14:textId="77777777" w:rsidTr="00F85C76">
        <w:tc>
          <w:tcPr>
            <w:tcW w:w="0" w:type="auto"/>
            <w:hideMark/>
          </w:tcPr>
          <w:p w14:paraId="4DBB5938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hideMark/>
          </w:tcPr>
          <w:p w14:paraId="275A961B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593D5EB3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Promotes inclusive and respectful communities for all age groups, including safeguarding vulnerable older residents and supporting young people’s right to safe play.</w:t>
            </w:r>
          </w:p>
        </w:tc>
        <w:tc>
          <w:tcPr>
            <w:tcW w:w="0" w:type="auto"/>
            <w:hideMark/>
          </w:tcPr>
          <w:p w14:paraId="2266F18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Encourage intergenerational understanding and provide clear guidance on acceptable behaviour.</w:t>
            </w:r>
          </w:p>
        </w:tc>
        <w:tc>
          <w:tcPr>
            <w:tcW w:w="0" w:type="auto"/>
            <w:hideMark/>
          </w:tcPr>
          <w:p w14:paraId="624C0B6D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7039D55A" w14:textId="77777777" w:rsidTr="00F85C76">
        <w:tc>
          <w:tcPr>
            <w:tcW w:w="0" w:type="auto"/>
            <w:hideMark/>
          </w:tcPr>
          <w:p w14:paraId="50D2ECDE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</w:t>
            </w:r>
          </w:p>
        </w:tc>
        <w:tc>
          <w:tcPr>
            <w:tcW w:w="0" w:type="auto"/>
            <w:hideMark/>
          </w:tcPr>
          <w:p w14:paraId="46D5DDDC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15AD194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Recognises that some residents may be more vulnerable to neighbour disputes or environmental issues.</w:t>
            </w:r>
          </w:p>
        </w:tc>
        <w:tc>
          <w:tcPr>
            <w:tcW w:w="0" w:type="auto"/>
            <w:hideMark/>
          </w:tcPr>
          <w:p w14:paraId="2CAEFF1A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reasonable adjustments and tailored support where required.</w:t>
            </w:r>
          </w:p>
        </w:tc>
        <w:tc>
          <w:tcPr>
            <w:tcW w:w="0" w:type="auto"/>
            <w:hideMark/>
          </w:tcPr>
          <w:p w14:paraId="507D412A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6BEA5BF4" w14:textId="77777777" w:rsidTr="00F85C76">
        <w:tc>
          <w:tcPr>
            <w:tcW w:w="0" w:type="auto"/>
            <w:hideMark/>
          </w:tcPr>
          <w:p w14:paraId="75BAC98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Gender Reassignment</w:t>
            </w:r>
          </w:p>
        </w:tc>
        <w:tc>
          <w:tcPr>
            <w:tcW w:w="0" w:type="auto"/>
            <w:hideMark/>
          </w:tcPr>
          <w:p w14:paraId="19D1B57B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1D2BF226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 – policy promotes respectful behaviour regardless of gender identity.</w:t>
            </w:r>
          </w:p>
        </w:tc>
        <w:tc>
          <w:tcPr>
            <w:tcW w:w="0" w:type="auto"/>
            <w:hideMark/>
          </w:tcPr>
          <w:p w14:paraId="39F553B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Reinforce inclusive messaging and staff awareness.</w:t>
            </w:r>
          </w:p>
        </w:tc>
        <w:tc>
          <w:tcPr>
            <w:tcW w:w="0" w:type="auto"/>
            <w:hideMark/>
          </w:tcPr>
          <w:p w14:paraId="1398E733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24D501EE" w14:textId="77777777" w:rsidTr="00F85C76">
        <w:tc>
          <w:tcPr>
            <w:tcW w:w="0" w:type="auto"/>
            <w:hideMark/>
          </w:tcPr>
          <w:p w14:paraId="18D683F9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Marriage and Civil Partnership</w:t>
            </w:r>
          </w:p>
        </w:tc>
        <w:tc>
          <w:tcPr>
            <w:tcW w:w="0" w:type="auto"/>
            <w:hideMark/>
          </w:tcPr>
          <w:p w14:paraId="7891A352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0633860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 – policy applies equally to all residents.</w:t>
            </w:r>
          </w:p>
        </w:tc>
        <w:tc>
          <w:tcPr>
            <w:tcW w:w="0" w:type="auto"/>
            <w:hideMark/>
          </w:tcPr>
          <w:p w14:paraId="01A8F96F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Continue to ensure fair access to services.</w:t>
            </w:r>
          </w:p>
        </w:tc>
        <w:tc>
          <w:tcPr>
            <w:tcW w:w="0" w:type="auto"/>
            <w:hideMark/>
          </w:tcPr>
          <w:p w14:paraId="4A75D0B8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79A36CD5" w14:textId="77777777" w:rsidTr="00F85C76">
        <w:tc>
          <w:tcPr>
            <w:tcW w:w="0" w:type="auto"/>
            <w:hideMark/>
          </w:tcPr>
          <w:p w14:paraId="1AB7D9A9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Pregnancy and Maternity</w:t>
            </w:r>
          </w:p>
        </w:tc>
        <w:tc>
          <w:tcPr>
            <w:tcW w:w="0" w:type="auto"/>
            <w:hideMark/>
          </w:tcPr>
          <w:p w14:paraId="1A25E5D7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3AEF1A7C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Recognises potential sensitivities around noise and environmental conditions for families with young children.</w:t>
            </w:r>
          </w:p>
        </w:tc>
        <w:tc>
          <w:tcPr>
            <w:tcW w:w="0" w:type="auto"/>
            <w:hideMark/>
          </w:tcPr>
          <w:p w14:paraId="01D7D56D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 consideration of neighbours’ circumstances and flexible responses.</w:t>
            </w:r>
          </w:p>
        </w:tc>
        <w:tc>
          <w:tcPr>
            <w:tcW w:w="0" w:type="auto"/>
            <w:hideMark/>
          </w:tcPr>
          <w:p w14:paraId="502369EC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38D84F22" w14:textId="77777777" w:rsidTr="00F85C76">
        <w:tc>
          <w:tcPr>
            <w:tcW w:w="0" w:type="auto"/>
            <w:hideMark/>
          </w:tcPr>
          <w:p w14:paraId="0D93200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Race</w:t>
            </w:r>
          </w:p>
        </w:tc>
        <w:tc>
          <w:tcPr>
            <w:tcW w:w="0" w:type="auto"/>
            <w:hideMark/>
          </w:tcPr>
          <w:p w14:paraId="603FFE03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12009AA6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Encourages respect across diverse communities and supports community cohesion.</w:t>
            </w:r>
          </w:p>
        </w:tc>
        <w:tc>
          <w:tcPr>
            <w:tcW w:w="0" w:type="auto"/>
            <w:hideMark/>
          </w:tcPr>
          <w:p w14:paraId="3C3998D0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 culturally aware communication and address any community tensions appropriately.</w:t>
            </w:r>
          </w:p>
        </w:tc>
        <w:tc>
          <w:tcPr>
            <w:tcW w:w="0" w:type="auto"/>
            <w:hideMark/>
          </w:tcPr>
          <w:p w14:paraId="08A83A7C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3DCCA7DB" w14:textId="77777777" w:rsidTr="00F85C76">
        <w:tc>
          <w:tcPr>
            <w:tcW w:w="0" w:type="auto"/>
            <w:hideMark/>
          </w:tcPr>
          <w:p w14:paraId="5D60AC02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Religion or Belief</w:t>
            </w:r>
          </w:p>
        </w:tc>
        <w:tc>
          <w:tcPr>
            <w:tcW w:w="0" w:type="auto"/>
            <w:hideMark/>
          </w:tcPr>
          <w:p w14:paraId="60B3AEB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68421165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Recognises that cultural or religious practices may influence behaviours and expectations.</w:t>
            </w:r>
          </w:p>
        </w:tc>
        <w:tc>
          <w:tcPr>
            <w:tcW w:w="0" w:type="auto"/>
            <w:hideMark/>
          </w:tcPr>
          <w:p w14:paraId="49A24002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Encourage mutual respect and awareness of cultural differences.</w:t>
            </w:r>
          </w:p>
        </w:tc>
        <w:tc>
          <w:tcPr>
            <w:tcW w:w="0" w:type="auto"/>
            <w:hideMark/>
          </w:tcPr>
          <w:p w14:paraId="707E7147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3BE39B1A" w14:textId="77777777" w:rsidTr="00F85C76">
        <w:tc>
          <w:tcPr>
            <w:tcW w:w="0" w:type="auto"/>
            <w:hideMark/>
          </w:tcPr>
          <w:p w14:paraId="6F504829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hideMark/>
          </w:tcPr>
          <w:p w14:paraId="75ED314C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278919BC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 – policy applies equally to all genders.</w:t>
            </w:r>
          </w:p>
        </w:tc>
        <w:tc>
          <w:tcPr>
            <w:tcW w:w="0" w:type="auto"/>
            <w:hideMark/>
          </w:tcPr>
          <w:p w14:paraId="51AD152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Monitor service delivery to ensure equality.</w:t>
            </w:r>
          </w:p>
        </w:tc>
        <w:tc>
          <w:tcPr>
            <w:tcW w:w="0" w:type="auto"/>
            <w:hideMark/>
          </w:tcPr>
          <w:p w14:paraId="7810E9BB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3257D084" w14:textId="77777777" w:rsidTr="00F85C76">
        <w:tc>
          <w:tcPr>
            <w:tcW w:w="0" w:type="auto"/>
            <w:hideMark/>
          </w:tcPr>
          <w:p w14:paraId="25C20B2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Sexual Orientation</w:t>
            </w:r>
          </w:p>
        </w:tc>
        <w:tc>
          <w:tcPr>
            <w:tcW w:w="0" w:type="auto"/>
            <w:hideMark/>
          </w:tcPr>
          <w:p w14:paraId="20321DA0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3DA749C8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 – promotes respectful and inclusive communities.</w:t>
            </w:r>
          </w:p>
        </w:tc>
        <w:tc>
          <w:tcPr>
            <w:tcW w:w="0" w:type="auto"/>
            <w:hideMark/>
          </w:tcPr>
          <w:p w14:paraId="55C66282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Reinforce zero tolerance for discrimination or harassment.</w:t>
            </w:r>
          </w:p>
        </w:tc>
        <w:tc>
          <w:tcPr>
            <w:tcW w:w="0" w:type="auto"/>
            <w:hideMark/>
          </w:tcPr>
          <w:p w14:paraId="36BE01CC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09B287FC" w14:textId="77777777" w:rsidTr="00F85C76">
        <w:tc>
          <w:tcPr>
            <w:tcW w:w="0" w:type="auto"/>
            <w:hideMark/>
          </w:tcPr>
          <w:p w14:paraId="6DE736E3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</w:t>
            </w:r>
          </w:p>
        </w:tc>
        <w:tc>
          <w:tcPr>
            <w:tcW w:w="0" w:type="auto"/>
            <w:hideMark/>
          </w:tcPr>
          <w:p w14:paraId="5A31819F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3846A4FA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Carers may be impacted by neighbour issues or environmental factors.</w:t>
            </w:r>
          </w:p>
        </w:tc>
        <w:tc>
          <w:tcPr>
            <w:tcW w:w="0" w:type="auto"/>
            <w:hideMark/>
          </w:tcPr>
          <w:p w14:paraId="0933DA19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flexible support and consider caring responsibilities in case management.</w:t>
            </w:r>
          </w:p>
        </w:tc>
        <w:tc>
          <w:tcPr>
            <w:tcW w:w="0" w:type="auto"/>
            <w:hideMark/>
          </w:tcPr>
          <w:p w14:paraId="2542AB4E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0B329938" w14:textId="77777777" w:rsidTr="00F85C76">
        <w:tc>
          <w:tcPr>
            <w:tcW w:w="0" w:type="auto"/>
            <w:hideMark/>
          </w:tcPr>
          <w:p w14:paraId="21178E50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Low Income Groups</w:t>
            </w:r>
          </w:p>
        </w:tc>
        <w:tc>
          <w:tcPr>
            <w:tcW w:w="0" w:type="auto"/>
            <w:hideMark/>
          </w:tcPr>
          <w:p w14:paraId="1FBB5CA5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71DDE7A7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Supports equitable access to clean and safe neighbourhoods regardless of income.</w:t>
            </w:r>
          </w:p>
        </w:tc>
        <w:tc>
          <w:tcPr>
            <w:tcW w:w="0" w:type="auto"/>
            <w:hideMark/>
          </w:tcPr>
          <w:p w14:paraId="690CD6F8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Maintain estate services and minimise barriers to reporting issues.</w:t>
            </w:r>
          </w:p>
        </w:tc>
        <w:tc>
          <w:tcPr>
            <w:tcW w:w="0" w:type="auto"/>
            <w:hideMark/>
          </w:tcPr>
          <w:p w14:paraId="2C9FD81D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  <w:tr w:rsidR="00F85C76" w:rsidRPr="00F85C76" w14:paraId="5883C840" w14:textId="77777777" w:rsidTr="00F85C76">
        <w:tc>
          <w:tcPr>
            <w:tcW w:w="0" w:type="auto"/>
            <w:hideMark/>
          </w:tcPr>
          <w:p w14:paraId="2F2CB42A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Veterans / Armed Forces Community</w:t>
            </w:r>
          </w:p>
        </w:tc>
        <w:tc>
          <w:tcPr>
            <w:tcW w:w="0" w:type="auto"/>
            <w:hideMark/>
          </w:tcPr>
          <w:p w14:paraId="61087949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</w:p>
        </w:tc>
        <w:tc>
          <w:tcPr>
            <w:tcW w:w="0" w:type="auto"/>
            <w:hideMark/>
          </w:tcPr>
          <w:p w14:paraId="1D21D10B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Neutral impact – no specific barriers identified.</w:t>
            </w:r>
          </w:p>
        </w:tc>
        <w:tc>
          <w:tcPr>
            <w:tcW w:w="0" w:type="auto"/>
            <w:hideMark/>
          </w:tcPr>
          <w:p w14:paraId="355D5F93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 inclusion and signpost to support if required.</w:t>
            </w:r>
          </w:p>
        </w:tc>
        <w:tc>
          <w:tcPr>
            <w:tcW w:w="0" w:type="auto"/>
            <w:hideMark/>
          </w:tcPr>
          <w:p w14:paraId="5A28564E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Review 2026</w:t>
            </w:r>
          </w:p>
        </w:tc>
      </w:tr>
      <w:tr w:rsidR="00F85C76" w:rsidRPr="00F85C76" w14:paraId="39CBE4CC" w14:textId="77777777" w:rsidTr="00F85C76">
        <w:tc>
          <w:tcPr>
            <w:tcW w:w="0" w:type="auto"/>
            <w:hideMark/>
          </w:tcPr>
          <w:p w14:paraId="52A617E4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(e.g. vulnerable residents, community tensions)</w:t>
            </w:r>
          </w:p>
        </w:tc>
        <w:tc>
          <w:tcPr>
            <w:tcW w:w="0" w:type="auto"/>
            <w:hideMark/>
          </w:tcPr>
          <w:p w14:paraId="48EF5B19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hideMark/>
          </w:tcPr>
          <w:p w14:paraId="21869CAF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Promotes community cohesion and reduces stigma through positive neighbourhood behaviours.</w:t>
            </w:r>
          </w:p>
        </w:tc>
        <w:tc>
          <w:tcPr>
            <w:tcW w:w="0" w:type="auto"/>
            <w:hideMark/>
          </w:tcPr>
          <w:p w14:paraId="4435ADCE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Deliver community engagement initiatives and awareness campaigns.</w:t>
            </w:r>
          </w:p>
        </w:tc>
        <w:tc>
          <w:tcPr>
            <w:tcW w:w="0" w:type="auto"/>
            <w:hideMark/>
          </w:tcPr>
          <w:p w14:paraId="5A599592" w14:textId="77777777" w:rsidR="00F85C76" w:rsidRPr="00F85C76" w:rsidRDefault="00F85C76" w:rsidP="00F85C7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Service / Ongoing</w:t>
            </w:r>
          </w:p>
        </w:tc>
      </w:tr>
    </w:tbl>
    <w:p w14:paraId="4306F09D" w14:textId="77777777" w:rsidR="00D12407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3344CED" w14:textId="77777777" w:rsidR="008521F3" w:rsidRPr="00D76B9C" w:rsidRDefault="008521F3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0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32B3D697" w14:textId="0ED573F3" w:rsidR="00D76B9C" w:rsidRPr="00094307" w:rsidRDefault="00094307" w:rsidP="0009430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9430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N/A</w:t>
            </w: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CCBE651" w14:textId="77777777" w:rsidR="00743FC9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FF63A07" w14:textId="77777777" w:rsidR="00AC2A17" w:rsidRPr="00AC2A17" w:rsidRDefault="00AC2A17" w:rsidP="00AC2A1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C2A1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of the Good Neighbourhood Management Policy to support its implementation across Housing Services and promote positive community outcomes.</w:t>
            </w:r>
          </w:p>
          <w:p w14:paraId="44525FA1" w14:textId="14E54F4C" w:rsidR="00833579" w:rsidRPr="008521F3" w:rsidRDefault="00833579" w:rsidP="00AC2A1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E5711A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8DFFA7" w14:textId="77777777" w:rsidR="00CD66DA" w:rsidRPr="00CD66DA" w:rsidRDefault="00CD66DA" w:rsidP="00CD66D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66D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policy will be monitored through:</w:t>
            </w:r>
          </w:p>
          <w:p w14:paraId="0B956ED5" w14:textId="77777777" w:rsidR="00CD66DA" w:rsidRPr="00CD66DA" w:rsidRDefault="00CD66DA" w:rsidP="00CD66DA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66D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Housing Policy and Strategy framework</w:t>
            </w:r>
          </w:p>
          <w:p w14:paraId="7EC98797" w14:textId="77777777" w:rsidR="00CD66DA" w:rsidRPr="00CD66DA" w:rsidRDefault="00CD66DA" w:rsidP="00CD66DA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66D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Feedback from residents and service users</w:t>
            </w:r>
          </w:p>
          <w:p w14:paraId="14639E20" w14:textId="77777777" w:rsidR="00CD66DA" w:rsidRPr="00CD66DA" w:rsidRDefault="00CD66DA" w:rsidP="00CD66DA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66D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Performance monitoring of neighbourhood services</w:t>
            </w:r>
          </w:p>
          <w:p w14:paraId="4CB5E540" w14:textId="77777777" w:rsidR="00CD66DA" w:rsidRPr="00CD66DA" w:rsidRDefault="00CD66DA" w:rsidP="00CD66DA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66D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Ongoing review of complaints and ASB trends</w:t>
            </w:r>
          </w:p>
          <w:p w14:paraId="09024B0A" w14:textId="77777777" w:rsidR="00CD66DA" w:rsidRDefault="00CD66DA" w:rsidP="00CD6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28A7DB" w14:textId="311B8D23" w:rsidR="00CD66DA" w:rsidRPr="00CD66DA" w:rsidRDefault="00CD66DA" w:rsidP="00CD66D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D66DA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Equality Impact Assessment and policy will be reviewed periodically and updated as required to ensure continued relevance and effectiveness.</w:t>
            </w:r>
          </w:p>
          <w:p w14:paraId="60E6FA12" w14:textId="387BBB58" w:rsidR="008B1F32" w:rsidRPr="00D76B9C" w:rsidRDefault="008B1F32" w:rsidP="00CD6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lastRenderedPageBreak/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lastRenderedPageBreak/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096C" w14:textId="77777777" w:rsidR="00E221AC" w:rsidRDefault="00E221AC">
      <w:pPr>
        <w:spacing w:after="0" w:line="240" w:lineRule="auto"/>
      </w:pPr>
      <w:r>
        <w:separator/>
      </w:r>
    </w:p>
  </w:endnote>
  <w:endnote w:type="continuationSeparator" w:id="0">
    <w:p w14:paraId="3B8B2706" w14:textId="77777777" w:rsidR="00E221AC" w:rsidRDefault="00E2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CD66DA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CD66DA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7971" w14:textId="77777777" w:rsidR="00E221AC" w:rsidRDefault="00E221AC">
      <w:pPr>
        <w:spacing w:after="0" w:line="240" w:lineRule="auto"/>
      </w:pPr>
      <w:r>
        <w:separator/>
      </w:r>
    </w:p>
  </w:footnote>
  <w:footnote w:type="continuationSeparator" w:id="0">
    <w:p w14:paraId="18787B4A" w14:textId="77777777" w:rsidR="00E221AC" w:rsidRDefault="00E2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FB8"/>
    <w:multiLevelType w:val="multilevel"/>
    <w:tmpl w:val="374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41A0"/>
    <w:multiLevelType w:val="multilevel"/>
    <w:tmpl w:val="A6B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392D42"/>
    <w:multiLevelType w:val="multilevel"/>
    <w:tmpl w:val="F5A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15803"/>
    <w:multiLevelType w:val="multilevel"/>
    <w:tmpl w:val="8D9E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95397"/>
    <w:multiLevelType w:val="multilevel"/>
    <w:tmpl w:val="0A2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F4E31"/>
    <w:multiLevelType w:val="multilevel"/>
    <w:tmpl w:val="D66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B4160"/>
    <w:multiLevelType w:val="multilevel"/>
    <w:tmpl w:val="6F6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42758"/>
    <w:multiLevelType w:val="multilevel"/>
    <w:tmpl w:val="344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C7B53"/>
    <w:multiLevelType w:val="multilevel"/>
    <w:tmpl w:val="E70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92670"/>
    <w:multiLevelType w:val="multilevel"/>
    <w:tmpl w:val="BAE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257D4"/>
    <w:multiLevelType w:val="multilevel"/>
    <w:tmpl w:val="6DE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A01CE"/>
    <w:multiLevelType w:val="multilevel"/>
    <w:tmpl w:val="AF2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D371F"/>
    <w:multiLevelType w:val="multilevel"/>
    <w:tmpl w:val="C7D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006AC"/>
    <w:multiLevelType w:val="multilevel"/>
    <w:tmpl w:val="67F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13318"/>
    <w:multiLevelType w:val="multilevel"/>
    <w:tmpl w:val="C6E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44E34"/>
    <w:multiLevelType w:val="multilevel"/>
    <w:tmpl w:val="D05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43A2B"/>
    <w:multiLevelType w:val="multilevel"/>
    <w:tmpl w:val="9BB4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4872">
    <w:abstractNumId w:val="2"/>
  </w:num>
  <w:num w:numId="2" w16cid:durableId="1801459941">
    <w:abstractNumId w:val="13"/>
  </w:num>
  <w:num w:numId="3" w16cid:durableId="2030718180">
    <w:abstractNumId w:val="14"/>
  </w:num>
  <w:num w:numId="4" w16cid:durableId="706372844">
    <w:abstractNumId w:val="0"/>
  </w:num>
  <w:num w:numId="5" w16cid:durableId="1314143004">
    <w:abstractNumId w:val="17"/>
  </w:num>
  <w:num w:numId="6" w16cid:durableId="1621766990">
    <w:abstractNumId w:val="12"/>
  </w:num>
  <w:num w:numId="7" w16cid:durableId="904100508">
    <w:abstractNumId w:val="15"/>
  </w:num>
  <w:num w:numId="8" w16cid:durableId="1749185377">
    <w:abstractNumId w:val="1"/>
  </w:num>
  <w:num w:numId="9" w16cid:durableId="1808158572">
    <w:abstractNumId w:val="5"/>
  </w:num>
  <w:num w:numId="10" w16cid:durableId="774978989">
    <w:abstractNumId w:val="7"/>
  </w:num>
  <w:num w:numId="11" w16cid:durableId="345063011">
    <w:abstractNumId w:val="4"/>
  </w:num>
  <w:num w:numId="12" w16cid:durableId="1660427555">
    <w:abstractNumId w:val="10"/>
  </w:num>
  <w:num w:numId="13" w16cid:durableId="1120345104">
    <w:abstractNumId w:val="16"/>
  </w:num>
  <w:num w:numId="14" w16cid:durableId="339162745">
    <w:abstractNumId w:val="9"/>
  </w:num>
  <w:num w:numId="15" w16cid:durableId="520822116">
    <w:abstractNumId w:val="3"/>
  </w:num>
  <w:num w:numId="16" w16cid:durableId="85227733">
    <w:abstractNumId w:val="8"/>
  </w:num>
  <w:num w:numId="17" w16cid:durableId="1564949059">
    <w:abstractNumId w:val="11"/>
  </w:num>
  <w:num w:numId="18" w16cid:durableId="9600374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695C"/>
    <w:rsid w:val="00020F3E"/>
    <w:rsid w:val="00032195"/>
    <w:rsid w:val="000507AF"/>
    <w:rsid w:val="000547F4"/>
    <w:rsid w:val="000614B8"/>
    <w:rsid w:val="00064242"/>
    <w:rsid w:val="00080EA6"/>
    <w:rsid w:val="00094307"/>
    <w:rsid w:val="000B1B36"/>
    <w:rsid w:val="000B75FB"/>
    <w:rsid w:val="000F6A3C"/>
    <w:rsid w:val="00122E0E"/>
    <w:rsid w:val="001334F1"/>
    <w:rsid w:val="001409C4"/>
    <w:rsid w:val="00144D1E"/>
    <w:rsid w:val="00172B3C"/>
    <w:rsid w:val="00185B12"/>
    <w:rsid w:val="0018690A"/>
    <w:rsid w:val="001944B6"/>
    <w:rsid w:val="001A0831"/>
    <w:rsid w:val="001A0976"/>
    <w:rsid w:val="001A55A9"/>
    <w:rsid w:val="001B7EFF"/>
    <w:rsid w:val="001D4B0D"/>
    <w:rsid w:val="001E7D3C"/>
    <w:rsid w:val="001F041D"/>
    <w:rsid w:val="00200E35"/>
    <w:rsid w:val="002057E1"/>
    <w:rsid w:val="002132A1"/>
    <w:rsid w:val="00232EC5"/>
    <w:rsid w:val="00261487"/>
    <w:rsid w:val="00295462"/>
    <w:rsid w:val="00296A09"/>
    <w:rsid w:val="002B469E"/>
    <w:rsid w:val="002B623A"/>
    <w:rsid w:val="002C0419"/>
    <w:rsid w:val="002D74E2"/>
    <w:rsid w:val="002E35A5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2EF"/>
    <w:rsid w:val="003624AF"/>
    <w:rsid w:val="00364868"/>
    <w:rsid w:val="00373679"/>
    <w:rsid w:val="0038121A"/>
    <w:rsid w:val="0038401C"/>
    <w:rsid w:val="0039078B"/>
    <w:rsid w:val="003A29A5"/>
    <w:rsid w:val="003C160B"/>
    <w:rsid w:val="003D707B"/>
    <w:rsid w:val="003F1B9E"/>
    <w:rsid w:val="00407D67"/>
    <w:rsid w:val="0043450A"/>
    <w:rsid w:val="00435566"/>
    <w:rsid w:val="00444D6C"/>
    <w:rsid w:val="004531FD"/>
    <w:rsid w:val="00456EB2"/>
    <w:rsid w:val="00461623"/>
    <w:rsid w:val="00466957"/>
    <w:rsid w:val="00470BE2"/>
    <w:rsid w:val="00482FAA"/>
    <w:rsid w:val="00485EC3"/>
    <w:rsid w:val="004A0643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3613C"/>
    <w:rsid w:val="00540440"/>
    <w:rsid w:val="00543A4B"/>
    <w:rsid w:val="005912C1"/>
    <w:rsid w:val="005A092A"/>
    <w:rsid w:val="005B1527"/>
    <w:rsid w:val="005C61F8"/>
    <w:rsid w:val="005D4079"/>
    <w:rsid w:val="005F19AD"/>
    <w:rsid w:val="005F2765"/>
    <w:rsid w:val="006066DA"/>
    <w:rsid w:val="006176F9"/>
    <w:rsid w:val="00623775"/>
    <w:rsid w:val="00631F42"/>
    <w:rsid w:val="0063437F"/>
    <w:rsid w:val="00666789"/>
    <w:rsid w:val="006959C1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F7D4F"/>
    <w:rsid w:val="00806078"/>
    <w:rsid w:val="008153AD"/>
    <w:rsid w:val="00833579"/>
    <w:rsid w:val="008457EC"/>
    <w:rsid w:val="008477EF"/>
    <w:rsid w:val="008521F3"/>
    <w:rsid w:val="00882275"/>
    <w:rsid w:val="00891164"/>
    <w:rsid w:val="008A1AAD"/>
    <w:rsid w:val="008B1F32"/>
    <w:rsid w:val="008C1378"/>
    <w:rsid w:val="008C5061"/>
    <w:rsid w:val="008F70F5"/>
    <w:rsid w:val="00902772"/>
    <w:rsid w:val="00906EFA"/>
    <w:rsid w:val="00937730"/>
    <w:rsid w:val="0094338B"/>
    <w:rsid w:val="00950916"/>
    <w:rsid w:val="00961018"/>
    <w:rsid w:val="00961D7F"/>
    <w:rsid w:val="009A7AAD"/>
    <w:rsid w:val="009B1AC7"/>
    <w:rsid w:val="009D272B"/>
    <w:rsid w:val="009D5DEA"/>
    <w:rsid w:val="009E4F1E"/>
    <w:rsid w:val="009E7427"/>
    <w:rsid w:val="00A31D8E"/>
    <w:rsid w:val="00A36C1D"/>
    <w:rsid w:val="00A447BB"/>
    <w:rsid w:val="00A626DD"/>
    <w:rsid w:val="00A954CE"/>
    <w:rsid w:val="00AA13FC"/>
    <w:rsid w:val="00AB4AD6"/>
    <w:rsid w:val="00AB5523"/>
    <w:rsid w:val="00AC1CCF"/>
    <w:rsid w:val="00AC2A17"/>
    <w:rsid w:val="00AE16CF"/>
    <w:rsid w:val="00AE2E51"/>
    <w:rsid w:val="00AE740A"/>
    <w:rsid w:val="00AF123C"/>
    <w:rsid w:val="00B00E4E"/>
    <w:rsid w:val="00B10D00"/>
    <w:rsid w:val="00B251FD"/>
    <w:rsid w:val="00B31B99"/>
    <w:rsid w:val="00B43C30"/>
    <w:rsid w:val="00B7344A"/>
    <w:rsid w:val="00BA57D2"/>
    <w:rsid w:val="00BB6040"/>
    <w:rsid w:val="00BC71A1"/>
    <w:rsid w:val="00BD303C"/>
    <w:rsid w:val="00C00FEE"/>
    <w:rsid w:val="00C04E18"/>
    <w:rsid w:val="00C10B1A"/>
    <w:rsid w:val="00C12B20"/>
    <w:rsid w:val="00C1632F"/>
    <w:rsid w:val="00C16790"/>
    <w:rsid w:val="00C2011A"/>
    <w:rsid w:val="00C2391F"/>
    <w:rsid w:val="00C23EDB"/>
    <w:rsid w:val="00C30432"/>
    <w:rsid w:val="00C37280"/>
    <w:rsid w:val="00C40203"/>
    <w:rsid w:val="00C6435D"/>
    <w:rsid w:val="00C67F69"/>
    <w:rsid w:val="00C763B4"/>
    <w:rsid w:val="00C77113"/>
    <w:rsid w:val="00C90268"/>
    <w:rsid w:val="00C958D2"/>
    <w:rsid w:val="00C97710"/>
    <w:rsid w:val="00CA12DB"/>
    <w:rsid w:val="00CB0F7A"/>
    <w:rsid w:val="00CD66DA"/>
    <w:rsid w:val="00CE3123"/>
    <w:rsid w:val="00CE6E83"/>
    <w:rsid w:val="00CE7F75"/>
    <w:rsid w:val="00D0155F"/>
    <w:rsid w:val="00D12407"/>
    <w:rsid w:val="00D20453"/>
    <w:rsid w:val="00D40610"/>
    <w:rsid w:val="00D4123F"/>
    <w:rsid w:val="00D61909"/>
    <w:rsid w:val="00D6195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221AC"/>
    <w:rsid w:val="00E35825"/>
    <w:rsid w:val="00E36033"/>
    <w:rsid w:val="00E36CCA"/>
    <w:rsid w:val="00E4161F"/>
    <w:rsid w:val="00E433FE"/>
    <w:rsid w:val="00E477AA"/>
    <w:rsid w:val="00E50083"/>
    <w:rsid w:val="00E55E06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D21ED"/>
    <w:rsid w:val="00EE1268"/>
    <w:rsid w:val="00EE252D"/>
    <w:rsid w:val="00EF5C32"/>
    <w:rsid w:val="00F26601"/>
    <w:rsid w:val="00F30BB4"/>
    <w:rsid w:val="00F53CB2"/>
    <w:rsid w:val="00F71DDB"/>
    <w:rsid w:val="00F73647"/>
    <w:rsid w:val="00F753DF"/>
    <w:rsid w:val="00F85779"/>
    <w:rsid w:val="00F85C76"/>
    <w:rsid w:val="00F90EFE"/>
    <w:rsid w:val="00FA0B1B"/>
    <w:rsid w:val="00FA297C"/>
    <w:rsid w:val="00FB0585"/>
    <w:rsid w:val="00FB1511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521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77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1174</Words>
  <Characters>7321</Characters>
  <Application>Microsoft Office Word</Application>
  <DocSecurity>0</DocSecurity>
  <Lines>305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10</cp:revision>
  <dcterms:created xsi:type="dcterms:W3CDTF">2026-03-17T13:06:00Z</dcterms:created>
  <dcterms:modified xsi:type="dcterms:W3CDTF">2026-03-17T13:13:00Z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