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43FC9" w:rsidP="005D4079" w14:paraId="7F3D4395" w14:textId="63777E7A">
      <w:pPr>
        <w:rPr>
          <w:rFonts w:ascii="Arial" w:hAnsi="Arial" w:cs="Arial"/>
          <w:sz w:val="36"/>
          <w:szCs w:val="36"/>
          <w:u w:val="single"/>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rsidR="00743FC9" w:rsidP="00743FC9" w14:paraId="6C569CA5" w14:textId="77777777">
      <w:pPr>
        <w:jc w:val="center"/>
        <w:rPr>
          <w:rFonts w:ascii="Arial" w:hAnsi="Arial" w:cs="Arial"/>
          <w:sz w:val="36"/>
          <w:szCs w:val="36"/>
          <w:u w:val="single"/>
        </w:rPr>
      </w:pPr>
    </w:p>
    <w:p w:rsidR="006176F9" w:rsidP="00743FC9" w14:paraId="12749A5C" w14:textId="77777777">
      <w:pPr>
        <w:pStyle w:val="Title"/>
        <w:jc w:val="center"/>
        <w:rPr>
          <w:b/>
          <w:bCs/>
        </w:rPr>
      </w:pPr>
    </w:p>
    <w:p w:rsidR="00B10D00" w:rsidP="00B10D00" w14:paraId="4057BA79" w14:textId="77777777">
      <w:pPr>
        <w:pStyle w:val="Title"/>
        <w:jc w:val="center"/>
      </w:pPr>
    </w:p>
    <w:p w:rsidR="00B10D00" w:rsidRPr="00B10D00" w:rsidP="00B10D00" w14:paraId="66CD3253" w14:textId="5003E43C">
      <w:pPr>
        <w:pStyle w:val="Title"/>
        <w:jc w:val="center"/>
      </w:pPr>
      <w:r w:rsidRPr="00B10D00">
        <w:t>Equality Impact Assessments Toolkit</w:t>
      </w:r>
    </w:p>
    <w:p w:rsidR="00743FC9" w:rsidRPr="00B10D00" w:rsidP="00B10D00" w14:paraId="71E3A0FC" w14:textId="4CC8F375">
      <w:pPr>
        <w:pStyle w:val="Title"/>
        <w:jc w:val="center"/>
      </w:pPr>
      <w:r w:rsidRPr="00B10D00">
        <w:t>EqIA Template</w:t>
      </w:r>
    </w:p>
    <w:p w:rsidR="00743FC9" w:rsidRPr="00743FC9" w:rsidP="00743FC9" w14:paraId="44A3DE48" w14:textId="77777777">
      <w:pPr>
        <w:pStyle w:val="Title"/>
        <w:jc w:val="center"/>
        <w:rPr>
          <w:rFonts w:ascii="Arial" w:hAnsi="Arial"/>
          <w:b/>
          <w:bCs/>
          <w:sz w:val="36"/>
          <w:szCs w:val="36"/>
          <w:u w:val="single"/>
        </w:rPr>
      </w:pPr>
    </w:p>
    <w:p w:rsidR="00743FC9" w:rsidP="00743FC9" w14:paraId="5D933803" w14:textId="77777777">
      <w:pPr>
        <w:jc w:val="center"/>
        <w:rPr>
          <w:rFonts w:ascii="Arial" w:hAnsi="Arial" w:cs="Arial"/>
          <w:sz w:val="36"/>
          <w:szCs w:val="36"/>
          <w:u w:val="single"/>
        </w:rPr>
      </w:pPr>
    </w:p>
    <w:p w:rsidR="00743FC9" w:rsidP="00743FC9" w14:paraId="73D8AC58" w14:textId="77777777">
      <w:pPr>
        <w:jc w:val="center"/>
        <w:rPr>
          <w:rFonts w:ascii="Arial" w:hAnsi="Arial" w:cs="Arial"/>
          <w:sz w:val="36"/>
          <w:szCs w:val="36"/>
          <w:u w:val="single"/>
        </w:rPr>
      </w:pPr>
    </w:p>
    <w:p w:rsidR="00743FC9" w:rsidP="00743FC9" w14:paraId="5A58A354" w14:textId="77777777">
      <w:pPr>
        <w:jc w:val="center"/>
        <w:rPr>
          <w:rFonts w:ascii="Arial" w:hAnsi="Arial" w:cs="Arial"/>
          <w:sz w:val="36"/>
          <w:szCs w:val="36"/>
          <w:u w:val="single"/>
        </w:rPr>
      </w:pPr>
    </w:p>
    <w:p w:rsidR="00743FC9" w:rsidP="00743FC9" w14:paraId="157EB4FF" w14:textId="77777777">
      <w:pPr>
        <w:jc w:val="center"/>
        <w:rPr>
          <w:rFonts w:ascii="Arial" w:hAnsi="Arial" w:cs="Arial"/>
          <w:sz w:val="36"/>
          <w:szCs w:val="36"/>
          <w:u w:val="single"/>
        </w:rPr>
      </w:pPr>
    </w:p>
    <w:p w:rsidR="00743FC9" w:rsidP="00743FC9" w14:paraId="38F24832" w14:textId="77777777">
      <w:pPr>
        <w:jc w:val="center"/>
        <w:rPr>
          <w:rFonts w:ascii="Arial" w:hAnsi="Arial" w:cs="Arial"/>
          <w:sz w:val="36"/>
          <w:szCs w:val="36"/>
          <w:u w:val="single"/>
        </w:rPr>
      </w:pPr>
    </w:p>
    <w:p w:rsidR="00743FC9" w:rsidP="00743FC9" w14:paraId="41C86A6D" w14:textId="77777777">
      <w:pPr>
        <w:jc w:val="center"/>
        <w:rPr>
          <w:rFonts w:ascii="Arial" w:hAnsi="Arial" w:cs="Arial"/>
          <w:sz w:val="36"/>
          <w:szCs w:val="36"/>
          <w:u w:val="single"/>
        </w:rPr>
      </w:pPr>
    </w:p>
    <w:p w:rsidR="00743FC9" w:rsidP="00743FC9" w14:paraId="40A79D48" w14:textId="77777777">
      <w:pPr>
        <w:jc w:val="center"/>
        <w:rPr>
          <w:rFonts w:ascii="Arial" w:hAnsi="Arial" w:cs="Arial"/>
          <w:sz w:val="36"/>
          <w:szCs w:val="36"/>
          <w:u w:val="single"/>
        </w:rPr>
      </w:pPr>
    </w:p>
    <w:p w:rsidR="00743FC9" w:rsidP="00743FC9" w14:paraId="7949AA25" w14:textId="77777777">
      <w:pPr>
        <w:jc w:val="center"/>
        <w:rPr>
          <w:rFonts w:ascii="Arial" w:hAnsi="Arial" w:cs="Arial"/>
          <w:sz w:val="36"/>
          <w:szCs w:val="36"/>
          <w:u w:val="single"/>
        </w:rPr>
      </w:pPr>
    </w:p>
    <w:p w:rsidR="00743FC9" w:rsidRPr="009E7427" w:rsidP="009E7427" w14:paraId="232403A6" w14:textId="54C5671A">
      <w:pPr>
        <w:jc w:val="center"/>
        <w:rPr>
          <w:rFonts w:ascii="Arial" w:hAnsi="Arial" w:cs="Arial"/>
          <w:sz w:val="36"/>
          <w:szCs w:val="36"/>
          <w:u w:val="single"/>
        </w:rPr>
        <w:sectPr w:rsidSect="005912C1">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rsidR="00540440" w:rsidP="00743FC9" w14:paraId="1E2C8B75" w14:textId="19CD0DAC">
      <w:pPr>
        <w:rPr>
          <w:rFonts w:ascii="Arial" w:hAnsi="Arial" w:cs="Arial"/>
          <w:sz w:val="28"/>
          <w:szCs w:val="28"/>
        </w:rPr>
      </w:pPr>
    </w:p>
    <w:tbl>
      <w:tblPr>
        <w:tblStyle w:val="GridTable1LightAccent1"/>
        <w:tblpPr w:leftFromText="180" w:rightFromText="180" w:vertAnchor="text" w:horzAnchor="margin" w:tblpY="757"/>
        <w:tblW w:w="0" w:type="auto"/>
        <w:tblLook w:val="04A0"/>
      </w:tblPr>
      <w:tblGrid>
        <w:gridCol w:w="9288"/>
      </w:tblGrid>
      <w:tr w14:paraId="220C1D3F" w14:textId="77777777" w:rsidTr="00EC01E1">
        <w:tblPrEx>
          <w:tblW w:w="0" w:type="auto"/>
          <w:tblLook w:val="04A0"/>
        </w:tblPrEx>
        <w:tc>
          <w:tcPr>
            <w:tcW w:w="9288" w:type="dxa"/>
          </w:tcPr>
          <w:p w:rsidR="008C5061" w:rsidP="00EC01E1" w14:paraId="3284FCDD" w14:textId="1B33B697">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5"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rsidR="00144D1E" w:rsidP="00EC01E1" w14:paraId="7696DA02" w14:textId="1BDF4D7D">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Pr>
                <w:rFonts w:ascii="Arial" w:hAnsi="Arial" w:cs="Arial"/>
                <w:b w:val="0"/>
                <w:sz w:val="28"/>
                <w:szCs w:val="28"/>
              </w:rPr>
              <w:t>can provide help</w:t>
            </w:r>
            <w:r w:rsidRPr="00EB3AD8">
              <w:rPr>
                <w:rFonts w:ascii="Arial" w:hAnsi="Arial" w:cs="Arial"/>
                <w:b w:val="0"/>
                <w:sz w:val="28"/>
                <w:szCs w:val="28"/>
              </w:rPr>
              <w:t xml:space="preserve"> and advice on undertaking an E</w:t>
            </w:r>
            <w:r w:rsidR="009B1AC7">
              <w:rPr>
                <w:rFonts w:ascii="Arial" w:hAnsi="Arial" w:cs="Arial"/>
                <w:b w:val="0"/>
                <w:sz w:val="28"/>
                <w:szCs w:val="28"/>
              </w:rPr>
              <w:t>q</w:t>
            </w:r>
            <w:r w:rsidRPr="00EB3AD8">
              <w:rPr>
                <w:rFonts w:ascii="Arial" w:hAnsi="Arial" w:cs="Arial"/>
                <w:b w:val="0"/>
                <w:sz w:val="28"/>
                <w:szCs w:val="28"/>
              </w:rPr>
              <w:t>IA</w:t>
            </w:r>
            <w:r>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rsidR="008C5061" w:rsidRPr="00EB3AD8" w:rsidP="00EC01E1" w14:paraId="2810A80F" w14:textId="512E603B">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Pr="00E36033" w:rsidR="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tblPr>
      <w:tblGrid>
        <w:gridCol w:w="4809"/>
        <w:gridCol w:w="4436"/>
      </w:tblGrid>
      <w:tr w14:paraId="27F22437" w14:textId="77777777" w:rsidTr="009E7427">
        <w:tblPrEx>
          <w:tblW w:w="0" w:type="auto"/>
          <w:tblLook w:val="04A0"/>
        </w:tblPrEx>
        <w:trPr>
          <w:trHeight w:val="704"/>
        </w:trPr>
        <w:tc>
          <w:tcPr>
            <w:tcW w:w="4809" w:type="dxa"/>
          </w:tcPr>
          <w:p w:rsidR="009D5DEA" w:rsidRPr="00F90EFE" w:rsidP="00EC01E1" w14:paraId="03D73076" w14:textId="6A47DA50">
            <w:pPr>
              <w:rPr>
                <w:rFonts w:ascii="Arial" w:hAnsi="Arial" w:cs="Arial"/>
                <w:sz w:val="28"/>
                <w:szCs w:val="28"/>
              </w:rPr>
            </w:pPr>
            <w:r w:rsidRPr="00F90EFE">
              <w:rPr>
                <w:rFonts w:ascii="Arial" w:hAnsi="Arial" w:cs="Arial"/>
                <w:sz w:val="28"/>
                <w:szCs w:val="28"/>
              </w:rPr>
              <w:t>Quality Control</w:t>
            </w:r>
          </w:p>
        </w:tc>
        <w:tc>
          <w:tcPr>
            <w:tcW w:w="4436" w:type="dxa"/>
          </w:tcPr>
          <w:p w:rsidR="009D5DEA" w:rsidRPr="00F90EFE" w:rsidP="00EC01E1" w14:paraId="716AC41B" w14:textId="77777777">
            <w:pPr>
              <w:rPr>
                <w:rFonts w:ascii="Arial" w:hAnsi="Arial" w:cs="Arial"/>
                <w:sz w:val="28"/>
                <w:szCs w:val="28"/>
              </w:rPr>
            </w:pPr>
          </w:p>
        </w:tc>
      </w:tr>
      <w:tr w14:paraId="7A668ABD" w14:textId="77777777" w:rsidTr="00D2108C">
        <w:tblPrEx>
          <w:tblW w:w="0" w:type="auto"/>
          <w:tblLook w:val="04A0"/>
        </w:tblPrEx>
        <w:trPr>
          <w:trHeight w:val="512"/>
        </w:trPr>
        <w:tc>
          <w:tcPr>
            <w:tcW w:w="4809" w:type="dxa"/>
          </w:tcPr>
          <w:p w:rsidR="00513A37" w:rsidRPr="00743FC9" w:rsidP="00513A37" w14:paraId="7922E9AA" w14:textId="77777777">
            <w:pPr>
              <w:rPr>
                <w:rFonts w:ascii="Arial" w:hAnsi="Arial" w:cs="Arial"/>
                <w:b w:val="0"/>
                <w:bCs w:val="0"/>
                <w:sz w:val="24"/>
                <w:szCs w:val="24"/>
              </w:rPr>
            </w:pPr>
            <w:r w:rsidRPr="00743FC9">
              <w:rPr>
                <w:rFonts w:ascii="Arial" w:hAnsi="Arial" w:cs="Arial"/>
                <w:b w:val="0"/>
                <w:bCs w:val="0"/>
                <w:sz w:val="24"/>
                <w:szCs w:val="24"/>
              </w:rPr>
              <w:t>Title of proposal</w:t>
            </w:r>
          </w:p>
          <w:p w:rsidR="00513A37" w:rsidRPr="00743FC9" w:rsidP="00513A37" w14:paraId="4B6B269A" w14:textId="3D30AFCD">
            <w:pPr>
              <w:rPr>
                <w:rFonts w:ascii="Arial" w:hAnsi="Arial" w:cs="Arial"/>
                <w:b w:val="0"/>
                <w:bCs w:val="0"/>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rsidR="00513A37" w:rsidRPr="00513A37" w:rsidP="00513A37" w14:paraId="68B4C7EC" w14:textId="6E06F4FE">
            <w:pPr>
              <w:rPr>
                <w:rFonts w:ascii="Arial" w:hAnsi="Arial" w:cs="Arial"/>
                <w:sz w:val="24"/>
                <w:szCs w:val="24"/>
              </w:rPr>
            </w:pPr>
            <w:r>
              <w:rPr>
                <w:rFonts w:ascii="Arial" w:hAnsi="Arial" w:cs="Arial"/>
                <w:sz w:val="24"/>
                <w:szCs w:val="24"/>
              </w:rPr>
              <w:t>Decant</w:t>
            </w:r>
            <w:r w:rsidR="00E433FE">
              <w:rPr>
                <w:rFonts w:ascii="Arial" w:hAnsi="Arial" w:cs="Arial"/>
                <w:sz w:val="24"/>
                <w:szCs w:val="24"/>
              </w:rPr>
              <w:t xml:space="preserve"> Policy</w:t>
            </w:r>
          </w:p>
        </w:tc>
      </w:tr>
      <w:tr w14:paraId="3ADAA672" w14:textId="77777777" w:rsidTr="00D2108C">
        <w:tblPrEx>
          <w:tblW w:w="0" w:type="auto"/>
          <w:tblLook w:val="04A0"/>
        </w:tblPrEx>
        <w:trPr>
          <w:trHeight w:val="714"/>
        </w:trPr>
        <w:tc>
          <w:tcPr>
            <w:tcW w:w="4809" w:type="dxa"/>
          </w:tcPr>
          <w:p w:rsidR="00513A37" w:rsidRPr="00743FC9" w:rsidP="00513A37" w14:paraId="4AE564FA" w14:textId="77777777">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D5FAF73" w14:textId="152336BE">
            <w:pPr>
              <w:rPr>
                <w:rFonts w:ascii="Arial" w:hAnsi="Arial" w:cs="Arial"/>
                <w:sz w:val="24"/>
                <w:szCs w:val="24"/>
              </w:rPr>
            </w:pPr>
            <w:r>
              <w:rPr>
                <w:rFonts w:ascii="Arial" w:hAnsi="Arial" w:cs="Arial"/>
                <w:sz w:val="24"/>
                <w:szCs w:val="24"/>
              </w:rPr>
              <w:t>Place (Housing)</w:t>
            </w:r>
          </w:p>
        </w:tc>
      </w:tr>
      <w:tr w14:paraId="52C2E0CE" w14:textId="77777777" w:rsidTr="00D2108C">
        <w:tblPrEx>
          <w:tblW w:w="0" w:type="auto"/>
          <w:tblLook w:val="04A0"/>
        </w:tblPrEx>
        <w:trPr>
          <w:trHeight w:val="704"/>
        </w:trPr>
        <w:tc>
          <w:tcPr>
            <w:tcW w:w="4809" w:type="dxa"/>
          </w:tcPr>
          <w:p w:rsidR="00513A37" w:rsidRPr="00743FC9" w:rsidP="00513A37" w14:paraId="71302AD1" w14:textId="5B8C17D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513A37" w:rsidP="00513A37" w14:paraId="5FE79819" w14:textId="02F7D24C">
            <w:pPr>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14:paraId="24EA1B33" w14:textId="77777777" w:rsidTr="00D2108C">
        <w:tblPrEx>
          <w:tblW w:w="0" w:type="auto"/>
          <w:tblLook w:val="04A0"/>
        </w:tblPrEx>
        <w:trPr>
          <w:trHeight w:val="685"/>
        </w:trPr>
        <w:tc>
          <w:tcPr>
            <w:tcW w:w="4809" w:type="dxa"/>
          </w:tcPr>
          <w:p w:rsidR="00513A37" w:rsidRPr="00743FC9" w:rsidP="00513A37" w14:paraId="193723FE" w14:textId="77777777">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36C82FD" w14:textId="784B54B8">
            <w:pPr>
              <w:rPr>
                <w:rFonts w:ascii="Arial" w:hAnsi="Arial" w:cs="Arial"/>
                <w:sz w:val="24"/>
                <w:szCs w:val="24"/>
              </w:rPr>
            </w:pPr>
            <w:hyperlink r:id="rId16" w:history="1">
              <w:r>
                <w:rPr>
                  <w:rStyle w:val="Hyperlink"/>
                  <w:rFonts w:ascii="Arial" w:hAnsi="Arial" w:cs="Arial"/>
                  <w:sz w:val="24"/>
                  <w:szCs w:val="24"/>
                </w:rPr>
                <w:t>Louis_bebb@sandwell.gov.uk</w:t>
              </w:r>
            </w:hyperlink>
            <w:r>
              <w:rPr>
                <w:rFonts w:ascii="Arial" w:hAnsi="Arial" w:cs="Arial"/>
                <w:sz w:val="24"/>
                <w:szCs w:val="24"/>
              </w:rPr>
              <w:t xml:space="preserve"> </w:t>
            </w:r>
          </w:p>
        </w:tc>
      </w:tr>
      <w:tr w14:paraId="1264500A" w14:textId="77777777" w:rsidTr="00D2108C">
        <w:tblPrEx>
          <w:tblW w:w="0" w:type="auto"/>
          <w:tblLook w:val="04A0"/>
        </w:tblPrEx>
        <w:trPr>
          <w:trHeight w:val="1096"/>
        </w:trPr>
        <w:tc>
          <w:tcPr>
            <w:tcW w:w="4809" w:type="dxa"/>
          </w:tcPr>
          <w:p w:rsidR="00513A37" w:rsidRPr="00743FC9" w:rsidP="00513A37" w14:paraId="44222D99" w14:textId="41ABBC28">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E3C17A7" w14:textId="7CFE1000">
            <w:pPr>
              <w:rPr>
                <w:rFonts w:ascii="Arial" w:hAnsi="Arial" w:cs="Arial"/>
                <w:sz w:val="24"/>
                <w:szCs w:val="24"/>
              </w:rPr>
            </w:pPr>
            <w:r>
              <w:rPr>
                <w:rFonts w:ascii="Arial" w:hAnsi="Arial" w:cs="Arial"/>
                <w:sz w:val="24"/>
                <w:szCs w:val="24"/>
              </w:rPr>
              <w:t xml:space="preserve">Nigel Collumbell </w:t>
            </w:r>
          </w:p>
        </w:tc>
      </w:tr>
      <w:tr w14:paraId="6F1C653E" w14:textId="77777777" w:rsidTr="00D2108C">
        <w:tblPrEx>
          <w:tblW w:w="0" w:type="auto"/>
          <w:tblLook w:val="04A0"/>
        </w:tblPrEx>
        <w:trPr>
          <w:trHeight w:val="637"/>
        </w:trPr>
        <w:tc>
          <w:tcPr>
            <w:tcW w:w="4809" w:type="dxa"/>
          </w:tcPr>
          <w:p w:rsidR="00513A37" w:rsidRPr="00743FC9" w:rsidP="00513A37" w14:paraId="74CD0523" w14:textId="503779A5">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84AF816" w14:textId="043CB08B">
            <w:pPr>
              <w:rPr>
                <w:rFonts w:ascii="Arial" w:hAnsi="Arial" w:cs="Arial"/>
                <w:sz w:val="24"/>
                <w:szCs w:val="24"/>
              </w:rPr>
            </w:pPr>
            <w:r>
              <w:rPr>
                <w:rFonts w:ascii="Arial" w:hAnsi="Arial" w:cs="Arial"/>
                <w:sz w:val="24"/>
                <w:szCs w:val="24"/>
              </w:rPr>
              <w:t>15</w:t>
            </w:r>
            <w:r>
              <w:rPr>
                <w:rFonts w:ascii="Arial" w:hAnsi="Arial" w:cs="Arial"/>
                <w:sz w:val="24"/>
                <w:szCs w:val="24"/>
              </w:rPr>
              <w:t>.0</w:t>
            </w:r>
            <w:r>
              <w:rPr>
                <w:rFonts w:ascii="Arial" w:hAnsi="Arial" w:cs="Arial"/>
                <w:sz w:val="24"/>
                <w:szCs w:val="24"/>
              </w:rPr>
              <w:t>5</w:t>
            </w:r>
            <w:r>
              <w:rPr>
                <w:rFonts w:ascii="Arial" w:hAnsi="Arial" w:cs="Arial"/>
                <w:sz w:val="24"/>
                <w:szCs w:val="24"/>
              </w:rPr>
              <w:t>.2025</w:t>
            </w:r>
          </w:p>
        </w:tc>
      </w:tr>
      <w:tr w14:paraId="39ADED2D" w14:textId="77777777" w:rsidTr="00D2108C">
        <w:tblPrEx>
          <w:tblW w:w="0" w:type="auto"/>
          <w:tblLook w:val="04A0"/>
        </w:tblPrEx>
        <w:trPr>
          <w:trHeight w:val="1096"/>
        </w:trPr>
        <w:tc>
          <w:tcPr>
            <w:tcW w:w="4809" w:type="dxa"/>
          </w:tcPr>
          <w:p w:rsidR="00513A37" w:rsidRPr="00743FC9" w:rsidP="00513A37" w14:paraId="2F64E21A" w14:textId="40C22C9A">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C42CC8C" w14:textId="10557D47">
            <w:pPr>
              <w:rPr>
                <w:rFonts w:ascii="Arial" w:hAnsi="Arial" w:cs="Arial"/>
                <w:sz w:val="24"/>
                <w:szCs w:val="24"/>
              </w:rPr>
            </w:pPr>
            <w:r>
              <w:rPr>
                <w:rFonts w:ascii="Arial" w:hAnsi="Arial" w:cs="Arial"/>
                <w:sz w:val="24"/>
                <w:szCs w:val="24"/>
              </w:rPr>
              <w:t>15.05.2025</w:t>
            </w:r>
          </w:p>
        </w:tc>
      </w:tr>
      <w:tr w14:paraId="07250D92" w14:textId="77777777" w:rsidTr="00D2108C">
        <w:tblPrEx>
          <w:tblW w:w="0" w:type="auto"/>
          <w:tblLook w:val="04A0"/>
        </w:tblPrEx>
        <w:trPr>
          <w:trHeight w:val="1096"/>
        </w:trPr>
        <w:tc>
          <w:tcPr>
            <w:tcW w:w="4809" w:type="dxa"/>
          </w:tcPr>
          <w:p w:rsidR="00513A37" w:rsidRPr="00743FC9" w:rsidP="00513A37" w14:paraId="6070BAC7" w14:textId="59D84862">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FBA3F8E" w14:textId="60777814">
            <w:pPr>
              <w:rPr>
                <w:rFonts w:ascii="Arial" w:hAnsi="Arial" w:cs="Arial"/>
                <w:sz w:val="24"/>
                <w:szCs w:val="24"/>
              </w:rPr>
            </w:pPr>
            <w:r>
              <w:rPr>
                <w:rFonts w:ascii="Arial" w:hAnsi="Arial" w:cs="Arial"/>
                <w:sz w:val="24"/>
                <w:szCs w:val="24"/>
              </w:rPr>
              <w:t>Alan Lunt</w:t>
            </w:r>
          </w:p>
        </w:tc>
      </w:tr>
      <w:tr w14:paraId="3990B278" w14:textId="77777777" w:rsidTr="00D2108C">
        <w:tblPrEx>
          <w:tblW w:w="0" w:type="auto"/>
          <w:tblLook w:val="04A0"/>
        </w:tblPrEx>
        <w:trPr>
          <w:trHeight w:val="860"/>
        </w:trPr>
        <w:tc>
          <w:tcPr>
            <w:tcW w:w="4809" w:type="dxa"/>
          </w:tcPr>
          <w:p w:rsidR="00513A37" w:rsidRPr="00743FC9" w:rsidP="00513A37" w14:paraId="33864B7E" w14:textId="309EFF1B">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20AF61E" w14:textId="0ED1C06E">
            <w:pPr>
              <w:rPr>
                <w:rFonts w:ascii="Arial" w:hAnsi="Arial" w:cs="Arial"/>
                <w:sz w:val="24"/>
                <w:szCs w:val="24"/>
              </w:rPr>
            </w:pPr>
            <w:r>
              <w:rPr>
                <w:rFonts w:ascii="Arial" w:hAnsi="Arial" w:cs="Arial"/>
                <w:sz w:val="24"/>
                <w:szCs w:val="24"/>
              </w:rPr>
              <w:t>25.06.2025</w:t>
            </w:r>
          </w:p>
        </w:tc>
      </w:tr>
      <w:tr w14:paraId="2FC19673" w14:textId="77777777" w:rsidTr="00D2108C">
        <w:tblPrEx>
          <w:tblW w:w="0" w:type="auto"/>
          <w:tblLook w:val="04A0"/>
        </w:tblPrEx>
        <w:trPr>
          <w:trHeight w:val="1096"/>
        </w:trPr>
        <w:tc>
          <w:tcPr>
            <w:tcW w:w="4809" w:type="dxa"/>
          </w:tcPr>
          <w:p w:rsidR="00513A37" w:rsidP="00513A37" w14:paraId="44B20CDD" w14:textId="7E35C223">
            <w:pPr>
              <w:rPr>
                <w:rFonts w:ascii="Arial" w:hAnsi="Arial" w:cs="Arial"/>
                <w:sz w:val="24"/>
                <w:szCs w:val="24"/>
              </w:rPr>
            </w:pPr>
            <w:r>
              <w:rPr>
                <w:rFonts w:ascii="Arial" w:hAnsi="Arial" w:cs="Arial"/>
                <w:b w:val="0"/>
                <w:bCs w:val="0"/>
                <w:sz w:val="24"/>
                <w:szCs w:val="24"/>
              </w:rPr>
              <w:t>Where the EqIA is Published</w:t>
            </w:r>
          </w:p>
          <w:p w:rsidR="00513A37" w:rsidP="00513A37" w14:paraId="1180B417" w14:textId="77777777">
            <w:pPr>
              <w:rPr>
                <w:rFonts w:ascii="Arial" w:hAnsi="Arial" w:cs="Arial"/>
                <w:sz w:val="24"/>
                <w:szCs w:val="24"/>
              </w:rPr>
            </w:pPr>
          </w:p>
          <w:p w:rsidR="00513A37" w:rsidRPr="00F90EFE" w:rsidP="00513A37" w14:paraId="3604861C" w14:textId="0E4375F8">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699A7A7" w14:textId="444E2065">
            <w:pPr>
              <w:rPr>
                <w:rFonts w:ascii="Arial" w:hAnsi="Arial" w:cs="Arial"/>
                <w:sz w:val="24"/>
                <w:szCs w:val="24"/>
              </w:rPr>
            </w:pPr>
            <w:r>
              <w:rPr>
                <w:rFonts w:ascii="Arial" w:hAnsi="Arial" w:cs="Arial"/>
                <w:sz w:val="24"/>
                <w:szCs w:val="24"/>
              </w:rPr>
              <w:t>Modern Gov</w:t>
            </w:r>
          </w:p>
        </w:tc>
      </w:tr>
    </w:tbl>
    <w:p w:rsidR="009E7427" w:rsidP="00743FC9" w14:paraId="113084A4" w14:textId="77777777"/>
    <w:tbl>
      <w:tblPr>
        <w:tblStyle w:val="GridTable1LightAccent1"/>
        <w:tblW w:w="5000" w:type="pct"/>
        <w:tblLook w:val="04A0"/>
      </w:tblPr>
      <w:tblGrid>
        <w:gridCol w:w="7"/>
        <w:gridCol w:w="9607"/>
        <w:gridCol w:w="6"/>
        <w:gridCol w:w="8"/>
      </w:tblGrid>
      <w:tr w14:paraId="639CAF76" w14:textId="77777777" w:rsidTr="00743FC9">
        <w:tblPrEx>
          <w:tblW w:w="5000" w:type="pct"/>
          <w:tblLook w:val="04A0"/>
        </w:tblPrEx>
        <w:trPr>
          <w:gridBefore w:val="1"/>
          <w:wBefore w:w="7" w:type="dxa"/>
        </w:trPr>
        <w:tc>
          <w:tcPr>
            <w:tcW w:w="4996" w:type="pct"/>
            <w:gridSpan w:val="3"/>
          </w:tcPr>
          <w:p w:rsidR="00DA711C" w:rsidRPr="00DA711C" w:rsidP="00EC01E1" w14:paraId="766601B4" w14:textId="77777777">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Pr="00DA711C" w:rsidR="00743FC9">
              <w:rPr>
                <w:rFonts w:ascii="Arial" w:hAnsi="Arial" w:cs="Arial"/>
                <w:bCs w:val="0"/>
                <w:color w:val="000000"/>
                <w:sz w:val="28"/>
                <w:szCs w:val="28"/>
              </w:rPr>
              <w:t xml:space="preserve">1. </w:t>
            </w:r>
            <w:r w:rsidRPr="00DA711C" w:rsidR="00743FC9">
              <w:rPr>
                <w:rFonts w:ascii="Arial" w:hAnsi="Arial" w:cs="Arial"/>
                <w:bCs w:val="0"/>
                <w:color w:val="000000"/>
                <w:sz w:val="28"/>
                <w:szCs w:val="28"/>
              </w:rPr>
              <w:tab/>
            </w:r>
          </w:p>
          <w:p w:rsidR="00DA711C" w:rsidP="00EC01E1" w14:paraId="27E4AF1A" w14:textId="77777777">
            <w:pPr>
              <w:rPr>
                <w:rFonts w:ascii="Arial" w:hAnsi="Arial" w:cs="Arial"/>
                <w:bCs w:val="0"/>
                <w:color w:val="000000"/>
                <w:sz w:val="28"/>
                <w:szCs w:val="28"/>
              </w:rPr>
            </w:pPr>
          </w:p>
          <w:p w:rsidR="00743FC9" w:rsidRPr="000F6A3C" w:rsidP="00EC01E1" w14:paraId="75D76723" w14:textId="419C07D6">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14:paraId="27A2AF5A" w14:textId="77777777" w:rsidTr="00C30432">
        <w:tblPrEx>
          <w:tblW w:w="5000" w:type="pct"/>
          <w:tblLook w:val="04A0"/>
        </w:tblPrEx>
        <w:trPr>
          <w:gridBefore w:val="1"/>
          <w:wBefore w:w="7" w:type="dxa"/>
          <w:trHeight w:val="1237"/>
        </w:trPr>
        <w:tc>
          <w:tcPr>
            <w:tcW w:w="4996" w:type="pct"/>
            <w:gridSpan w:val="3"/>
          </w:tcPr>
          <w:p w:rsidR="00743FC9" w:rsidRPr="000F6A3C" w:rsidP="00EC01E1" w14:paraId="0D04248D" w14:textId="77777777">
            <w:pPr>
              <w:rPr>
                <w:rFonts w:cs="Arial"/>
                <w:sz w:val="28"/>
                <w:szCs w:val="28"/>
              </w:rPr>
            </w:pPr>
          </w:p>
          <w:p w:rsidR="00DA711C" w:rsidRPr="000F6A3C" w:rsidP="00E125A1" w14:paraId="05F1C86D" w14:textId="09AD0F4F">
            <w:pPr>
              <w:rPr>
                <w:rFonts w:cs="Arial"/>
                <w:sz w:val="28"/>
                <w:szCs w:val="28"/>
              </w:rPr>
            </w:pPr>
            <w:r w:rsidRPr="00513A37">
              <w:rPr>
                <w:rFonts w:cs="Arial"/>
                <w:b w:val="0"/>
                <w:bCs w:val="0"/>
                <w:sz w:val="28"/>
                <w:szCs w:val="28"/>
              </w:rPr>
              <w:t>The proposal is for Cabinet approval in relation to the  Policy</w:t>
            </w:r>
            <w:r w:rsidR="00E125A1">
              <w:rPr>
                <w:rFonts w:cs="Arial"/>
                <w:b w:val="0"/>
                <w:bCs w:val="0"/>
                <w:sz w:val="28"/>
                <w:szCs w:val="28"/>
              </w:rPr>
              <w:t>.</w:t>
            </w:r>
          </w:p>
        </w:tc>
      </w:tr>
      <w:tr w14:paraId="2526184F" w14:textId="77777777" w:rsidTr="00743FC9">
        <w:tblPrEx>
          <w:tblW w:w="5000" w:type="pct"/>
          <w:tblLook w:val="04A0"/>
        </w:tblPrEx>
        <w:trPr>
          <w:gridBefore w:val="1"/>
          <w:gridAfter w:val="1"/>
          <w:wBefore w:w="7" w:type="dxa"/>
          <w:wAfter w:w="8" w:type="dxa"/>
        </w:trPr>
        <w:tc>
          <w:tcPr>
            <w:tcW w:w="4992" w:type="pct"/>
            <w:gridSpan w:val="2"/>
          </w:tcPr>
          <w:p w:rsidR="00DA711C" w:rsidRPr="00DA711C" w:rsidP="00DA711C" w14:paraId="6960A328" w14:textId="634D4C7E">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rsidR="00DA711C" w:rsidP="00DA711C" w14:paraId="3B6015AB" w14:textId="77777777">
            <w:pPr>
              <w:rPr>
                <w:rFonts w:ascii="Arial" w:hAnsi="Arial" w:cs="Arial"/>
                <w:bCs w:val="0"/>
                <w:color w:val="000000"/>
                <w:sz w:val="28"/>
                <w:szCs w:val="28"/>
              </w:rPr>
            </w:pPr>
          </w:p>
          <w:p w:rsidR="00743FC9" w:rsidRPr="000F6A3C" w:rsidP="00EC01E1" w14:paraId="272DDA8D" w14:textId="608DF926">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14:paraId="4CD22AB9" w14:textId="77777777" w:rsidTr="00743FC9">
        <w:tblPrEx>
          <w:tblW w:w="5000" w:type="pct"/>
          <w:tblLook w:val="04A0"/>
        </w:tblPrEx>
        <w:trPr>
          <w:gridBefore w:val="1"/>
          <w:gridAfter w:val="2"/>
          <w:wBefore w:w="7" w:type="dxa"/>
          <w:wAfter w:w="14" w:type="dxa"/>
          <w:trHeight w:val="2621"/>
        </w:trPr>
        <w:tc>
          <w:tcPr>
            <w:tcW w:w="4989" w:type="pct"/>
          </w:tcPr>
          <w:p w:rsidR="00743FC9" w:rsidP="00EC01E1" w14:paraId="34FD50C0" w14:textId="77777777">
            <w:pPr>
              <w:rPr>
                <w:rFonts w:cs="Arial"/>
                <w:b w:val="0"/>
                <w:bCs w:val="0"/>
                <w:sz w:val="28"/>
                <w:szCs w:val="28"/>
              </w:rPr>
            </w:pPr>
          </w:p>
          <w:p w:rsidR="00513A37" w:rsidRPr="00513A37" w:rsidP="00513A37" w14:paraId="1574108D" w14:textId="77777777">
            <w:pPr>
              <w:rPr>
                <w:rFonts w:cs="Arial"/>
                <w:b w:val="0"/>
                <w:bCs w:val="0"/>
                <w:sz w:val="28"/>
                <w:szCs w:val="28"/>
              </w:rPr>
            </w:pPr>
            <w:r w:rsidRPr="00513A37">
              <w:rPr>
                <w:rFonts w:cs="Arial"/>
                <w:b w:val="0"/>
                <w:bCs w:val="0"/>
                <w:sz w:val="28"/>
                <w:szCs w:val="28"/>
              </w:rPr>
              <w:t>The policy outputs outlined in the document have been formulated around a considerable amount of research and associated data. Sources include:</w:t>
            </w:r>
          </w:p>
          <w:p w:rsidR="00513A37" w:rsidRPr="00513A37" w:rsidP="00513A37" w14:paraId="20ABBE07" w14:textId="77777777">
            <w:pPr>
              <w:numPr>
                <w:ilvl w:val="0"/>
                <w:numId w:val="14"/>
              </w:numPr>
              <w:rPr>
                <w:rFonts w:cs="Arial"/>
                <w:sz w:val="28"/>
                <w:szCs w:val="28"/>
              </w:rPr>
            </w:pPr>
            <w:hyperlink r:id="rId17" w:history="1">
              <w:r w:rsidRPr="00513A37">
                <w:rPr>
                  <w:rStyle w:val="Hyperlink"/>
                  <w:rFonts w:cs="Arial"/>
                  <w:b w:val="0"/>
                  <w:bCs w:val="0"/>
                  <w:sz w:val="28"/>
                  <w:szCs w:val="28"/>
                </w:rPr>
                <w:t>Sandwell Council Housing Strategy 2023-2028</w:t>
              </w:r>
            </w:hyperlink>
            <w:r w:rsidRPr="00513A37">
              <w:rPr>
                <w:rFonts w:cs="Arial"/>
                <w:sz w:val="28"/>
                <w:szCs w:val="28"/>
              </w:rPr>
              <w:t xml:space="preserve"> </w:t>
            </w:r>
          </w:p>
          <w:p w:rsidR="00513A37" w:rsidRPr="00513A37" w:rsidP="00513A37" w14:paraId="77A5CCFC" w14:textId="77777777">
            <w:pPr>
              <w:numPr>
                <w:ilvl w:val="0"/>
                <w:numId w:val="14"/>
              </w:numPr>
              <w:rPr>
                <w:rFonts w:cs="Arial"/>
                <w:sz w:val="28"/>
                <w:szCs w:val="28"/>
              </w:rPr>
            </w:pPr>
            <w:hyperlink r:id="rId18" w:history="1">
              <w:r w:rsidRPr="00513A37">
                <w:rPr>
                  <w:rStyle w:val="Hyperlink"/>
                  <w:rFonts w:cs="Arial"/>
                  <w:b w:val="0"/>
                  <w:bCs w:val="0"/>
                  <w:sz w:val="28"/>
                  <w:szCs w:val="28"/>
                </w:rPr>
                <w:t>Sandwell 2030 Vision: Corporate Plan 2021-2025</w:t>
              </w:r>
            </w:hyperlink>
          </w:p>
          <w:p w:rsidR="00513A37" w:rsidRPr="00513A37" w:rsidP="00513A37" w14:paraId="2EB5D376" w14:textId="77777777">
            <w:pPr>
              <w:numPr>
                <w:ilvl w:val="0"/>
                <w:numId w:val="14"/>
              </w:numPr>
              <w:rPr>
                <w:rFonts w:cs="Arial"/>
                <w:sz w:val="28"/>
                <w:szCs w:val="28"/>
              </w:rPr>
            </w:pPr>
            <w:hyperlink r:id="rId19" w:history="1">
              <w:r w:rsidRPr="00513A37">
                <w:rPr>
                  <w:rStyle w:val="Hyperlink"/>
                  <w:rFonts w:cs="Arial"/>
                  <w:b w:val="0"/>
                  <w:bCs w:val="0"/>
                  <w:sz w:val="28"/>
                  <w:szCs w:val="28"/>
                </w:rPr>
                <w:t>Housing Revenue Account 30 Year Business Plan 2023-2053</w:t>
              </w:r>
            </w:hyperlink>
          </w:p>
          <w:p w:rsidR="00513A37" w:rsidRPr="00513A37" w:rsidP="00513A37" w14:paraId="107E2FB6" w14:textId="77777777">
            <w:pPr>
              <w:numPr>
                <w:ilvl w:val="0"/>
                <w:numId w:val="14"/>
              </w:numPr>
              <w:rPr>
                <w:rFonts w:cs="Arial"/>
                <w:sz w:val="28"/>
                <w:szCs w:val="28"/>
              </w:rPr>
            </w:pPr>
            <w:hyperlink r:id="rId20" w:history="1">
              <w:r w:rsidRPr="00513A37">
                <w:rPr>
                  <w:rStyle w:val="Hyperlink"/>
                  <w:rFonts w:cs="Arial"/>
                  <w:b w:val="0"/>
                  <w:bCs w:val="0"/>
                  <w:sz w:val="28"/>
                  <w:szCs w:val="28"/>
                </w:rPr>
                <w:t>Regulatory Standards for Landlords</w:t>
              </w:r>
            </w:hyperlink>
          </w:p>
          <w:p w:rsidR="00513A37" w:rsidRPr="00513A37" w:rsidP="00513A37" w14:paraId="53F9046D" w14:textId="77777777">
            <w:pPr>
              <w:numPr>
                <w:ilvl w:val="0"/>
                <w:numId w:val="14"/>
              </w:numPr>
              <w:rPr>
                <w:rFonts w:cs="Arial"/>
                <w:sz w:val="28"/>
                <w:szCs w:val="28"/>
              </w:rPr>
            </w:pPr>
            <w:hyperlink r:id="rId21" w:history="1">
              <w:r w:rsidRPr="00513A37">
                <w:rPr>
                  <w:rStyle w:val="Hyperlink"/>
                  <w:rFonts w:cs="Arial"/>
                  <w:b w:val="0"/>
                  <w:bCs w:val="0"/>
                  <w:sz w:val="28"/>
                  <w:szCs w:val="28"/>
                </w:rPr>
                <w:t>Reasonable Adjustments Policy</w:t>
              </w:r>
            </w:hyperlink>
          </w:p>
          <w:p w:rsidR="00513A37" w:rsidRPr="00513A37" w:rsidP="00513A37" w14:paraId="0C189224" w14:textId="77777777">
            <w:pPr>
              <w:numPr>
                <w:ilvl w:val="0"/>
                <w:numId w:val="14"/>
              </w:numPr>
              <w:rPr>
                <w:rFonts w:cs="Arial"/>
                <w:sz w:val="28"/>
                <w:szCs w:val="28"/>
              </w:rPr>
            </w:pPr>
            <w:hyperlink r:id="rId22" w:history="1">
              <w:r w:rsidRPr="00513A37">
                <w:rPr>
                  <w:rStyle w:val="Hyperlink"/>
                  <w:rFonts w:cs="Arial"/>
                  <w:b w:val="0"/>
                  <w:bCs w:val="0"/>
                  <w:sz w:val="28"/>
                  <w:szCs w:val="28"/>
                </w:rPr>
                <w:t>Tenant Handbook</w:t>
              </w:r>
            </w:hyperlink>
          </w:p>
          <w:p w:rsidR="00513A37" w:rsidRPr="00513A37" w:rsidP="00513A37" w14:paraId="25AB1478" w14:textId="77777777">
            <w:pPr>
              <w:numPr>
                <w:ilvl w:val="0"/>
                <w:numId w:val="14"/>
              </w:numPr>
              <w:rPr>
                <w:rFonts w:cs="Arial"/>
                <w:sz w:val="28"/>
                <w:szCs w:val="28"/>
              </w:rPr>
            </w:pPr>
            <w:hyperlink r:id="rId23" w:history="1">
              <w:r w:rsidRPr="00513A37">
                <w:rPr>
                  <w:rStyle w:val="Hyperlink"/>
                  <w:rFonts w:cs="Arial"/>
                  <w:b w:val="0"/>
                  <w:bCs w:val="0"/>
                  <w:sz w:val="28"/>
                  <w:szCs w:val="28"/>
                </w:rPr>
                <w:t>Tenancy Conditions</w:t>
              </w:r>
            </w:hyperlink>
          </w:p>
          <w:p w:rsidR="009E7427" w:rsidRPr="000F6A3C" w:rsidP="00EC01E1" w14:paraId="417F544F" w14:textId="03FE1FA6">
            <w:pPr>
              <w:rPr>
                <w:rFonts w:cs="Arial"/>
                <w:sz w:val="28"/>
                <w:szCs w:val="28"/>
              </w:rPr>
            </w:pPr>
          </w:p>
        </w:tc>
      </w:tr>
      <w:tr w14:paraId="4E977F8C" w14:textId="77777777" w:rsidTr="00743FC9">
        <w:tblPrEx>
          <w:tblW w:w="5000" w:type="pct"/>
          <w:tblLook w:val="04A0"/>
        </w:tblPrEx>
        <w:trPr>
          <w:gridBefore w:val="1"/>
          <w:gridAfter w:val="2"/>
          <w:wBefore w:w="7" w:type="dxa"/>
          <w:wAfter w:w="14" w:type="dxa"/>
        </w:trPr>
        <w:tc>
          <w:tcPr>
            <w:tcW w:w="4989" w:type="pct"/>
          </w:tcPr>
          <w:p w:rsidR="00DA711C" w:rsidRPr="00DA711C" w:rsidP="00DA711C" w14:paraId="01DD051D" w14:textId="505E9FE7">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rsidR="00DA711C" w:rsidP="00DA711C" w14:paraId="1719DD3D" w14:textId="77777777">
            <w:pPr>
              <w:rPr>
                <w:rFonts w:ascii="Arial" w:hAnsi="Arial" w:cs="Arial"/>
                <w:bCs w:val="0"/>
                <w:color w:val="000000"/>
                <w:sz w:val="28"/>
                <w:szCs w:val="28"/>
              </w:rPr>
            </w:pPr>
          </w:p>
          <w:p w:rsidR="00743FC9" w:rsidRPr="000F6A3C" w:rsidP="00EC01E1" w14:paraId="35BDD4BF" w14:textId="63926296">
            <w:pPr>
              <w:rPr>
                <w:rFonts w:ascii="Arial" w:hAnsi="Arial" w:cs="Arial"/>
                <w:b w:val="0"/>
                <w:color w:val="000000"/>
                <w:sz w:val="28"/>
                <w:szCs w:val="28"/>
              </w:rPr>
            </w:pPr>
            <w:r w:rsidRPr="000F6A3C">
              <w:rPr>
                <w:rFonts w:ascii="Arial" w:hAnsi="Arial" w:cs="Arial"/>
                <w:b w:val="0"/>
                <w:color w:val="000000"/>
                <w:sz w:val="28"/>
                <w:szCs w:val="28"/>
              </w:rPr>
              <w:t>Consultation</w:t>
            </w:r>
          </w:p>
        </w:tc>
      </w:tr>
      <w:tr w14:paraId="4D068406" w14:textId="77777777" w:rsidTr="00E87057">
        <w:tblPrEx>
          <w:tblW w:w="5000" w:type="pct"/>
          <w:tblLook w:val="04A0"/>
        </w:tblPrEx>
        <w:trPr>
          <w:gridBefore w:val="1"/>
          <w:gridAfter w:val="2"/>
          <w:wBefore w:w="7" w:type="dxa"/>
          <w:wAfter w:w="14" w:type="dxa"/>
          <w:trHeight w:val="820"/>
        </w:trPr>
        <w:tc>
          <w:tcPr>
            <w:tcW w:w="4989" w:type="pct"/>
          </w:tcPr>
          <w:p w:rsidR="00DA711C" w:rsidP="00EC01E1" w14:paraId="3FFA006D" w14:textId="77777777">
            <w:pPr>
              <w:rPr>
                <w:rFonts w:cs="Arial"/>
                <w:b w:val="0"/>
                <w:bCs w:val="0"/>
                <w:sz w:val="28"/>
                <w:szCs w:val="28"/>
              </w:rPr>
            </w:pPr>
          </w:p>
          <w:p w:rsidR="00E87057" w:rsidRPr="00E87057" w:rsidP="00E87057" w14:paraId="2DD87B7D" w14:textId="77777777">
            <w:pPr>
              <w:rPr>
                <w:rFonts w:cs="Arial"/>
                <w:b w:val="0"/>
                <w:bCs w:val="0"/>
                <w:sz w:val="28"/>
                <w:szCs w:val="28"/>
                <w:u w:val="single"/>
              </w:rPr>
            </w:pPr>
            <w:r w:rsidRPr="00E87057">
              <w:rPr>
                <w:rFonts w:cs="Arial"/>
                <w:b w:val="0"/>
                <w:bCs w:val="0"/>
                <w:sz w:val="28"/>
                <w:szCs w:val="28"/>
                <w:u w:val="single"/>
              </w:rPr>
              <w:t>Online consultation</w:t>
            </w:r>
          </w:p>
          <w:p w:rsidR="00E87057" w:rsidRPr="00E87057" w:rsidP="00E87057" w14:paraId="3CBCF9B0" w14:textId="27C8A114">
            <w:pPr>
              <w:rPr>
                <w:rFonts w:cs="Arial"/>
                <w:b w:val="0"/>
                <w:bCs w:val="0"/>
                <w:sz w:val="28"/>
                <w:szCs w:val="28"/>
              </w:rPr>
            </w:pPr>
            <w:r w:rsidRPr="00E87057">
              <w:rPr>
                <w:rFonts w:cs="Arial"/>
                <w:b w:val="0"/>
                <w:bCs w:val="0"/>
                <w:sz w:val="28"/>
                <w:szCs w:val="28"/>
              </w:rPr>
              <w:t xml:space="preserve">The online consultation for the draft policies </w:t>
            </w:r>
            <w:r>
              <w:rPr>
                <w:rFonts w:cs="Arial"/>
                <w:b w:val="0"/>
                <w:bCs w:val="0"/>
                <w:sz w:val="28"/>
                <w:szCs w:val="28"/>
              </w:rPr>
              <w:t>will be</w:t>
            </w:r>
            <w:r w:rsidRPr="00E87057">
              <w:rPr>
                <w:rFonts w:cs="Arial"/>
                <w:b w:val="0"/>
                <w:bCs w:val="0"/>
                <w:sz w:val="28"/>
                <w:szCs w:val="28"/>
              </w:rPr>
              <w:t xml:space="preserve"> open for five weeks, </w:t>
            </w:r>
            <w:r>
              <w:rPr>
                <w:rFonts w:cs="Arial"/>
                <w:b w:val="0"/>
                <w:bCs w:val="0"/>
                <w:sz w:val="28"/>
                <w:szCs w:val="28"/>
              </w:rPr>
              <w:t>commencing early May</w:t>
            </w:r>
            <w:r w:rsidRPr="00E87057">
              <w:rPr>
                <w:rFonts w:cs="Arial"/>
                <w:b w:val="0"/>
                <w:bCs w:val="0"/>
                <w:sz w:val="28"/>
                <w:szCs w:val="28"/>
              </w:rPr>
              <w:t>, via Citizenspace.</w:t>
            </w:r>
          </w:p>
          <w:p w:rsidR="00E87057" w:rsidRPr="00E87057" w:rsidP="00E87057" w14:paraId="47D265EB" w14:textId="60F16550">
            <w:pPr>
              <w:rPr>
                <w:rFonts w:cs="Arial"/>
                <w:b w:val="0"/>
                <w:bCs w:val="0"/>
                <w:sz w:val="28"/>
                <w:szCs w:val="28"/>
              </w:rPr>
            </w:pPr>
            <w:r w:rsidRPr="00E87057">
              <w:rPr>
                <w:rFonts w:cs="Arial"/>
                <w:b w:val="0"/>
                <w:bCs w:val="0"/>
                <w:sz w:val="28"/>
                <w:szCs w:val="28"/>
              </w:rPr>
              <w:t>The surveys included a mix of qualitative and quantitative questions, giving respondents the chance to provide feedback on each of the policy proposals. This included whether the document was resident-friendly and if there were any aspects missing from the policy.</w:t>
            </w:r>
          </w:p>
          <w:p w:rsidR="00E87057" w:rsidRPr="00E87057" w:rsidP="00E87057" w14:paraId="6D9CCF2C" w14:textId="177A378D">
            <w:pPr>
              <w:rPr>
                <w:rFonts w:cs="Arial"/>
                <w:b w:val="0"/>
                <w:bCs w:val="0"/>
                <w:sz w:val="28"/>
                <w:szCs w:val="28"/>
              </w:rPr>
            </w:pPr>
            <w:r w:rsidRPr="00E87057">
              <w:rPr>
                <w:rFonts w:cs="Arial"/>
                <w:b w:val="0"/>
                <w:bCs w:val="0"/>
                <w:sz w:val="28"/>
                <w:szCs w:val="28"/>
              </w:rPr>
              <w:t xml:space="preserve">In response to the feedback received, comments on each policy were reviewed, and amendments were made to the documents where necessary. The finalised policies will be presented to Cabinet in </w:t>
            </w:r>
            <w:r>
              <w:rPr>
                <w:rFonts w:cs="Arial"/>
                <w:b w:val="0"/>
                <w:bCs w:val="0"/>
                <w:sz w:val="28"/>
                <w:szCs w:val="28"/>
              </w:rPr>
              <w:t>June</w:t>
            </w:r>
            <w:r w:rsidRPr="00E87057">
              <w:rPr>
                <w:rFonts w:cs="Arial"/>
                <w:b w:val="0"/>
                <w:bCs w:val="0"/>
                <w:sz w:val="28"/>
                <w:szCs w:val="28"/>
              </w:rPr>
              <w:t xml:space="preserve"> 2025.</w:t>
            </w:r>
          </w:p>
          <w:p w:rsidR="00E87057" w:rsidRPr="00E87057" w:rsidP="00E87057" w14:paraId="7D37CE47" w14:textId="77777777">
            <w:pPr>
              <w:rPr>
                <w:rFonts w:cs="Arial"/>
                <w:b w:val="0"/>
                <w:bCs w:val="0"/>
                <w:sz w:val="28"/>
                <w:szCs w:val="28"/>
              </w:rPr>
            </w:pPr>
          </w:p>
          <w:p w:rsidR="00E87057" w:rsidRPr="00E87057" w:rsidP="00E87057" w14:paraId="470E499B" w14:textId="77777777">
            <w:pPr>
              <w:rPr>
                <w:rFonts w:cs="Arial"/>
                <w:b w:val="0"/>
                <w:bCs w:val="0"/>
                <w:sz w:val="28"/>
                <w:szCs w:val="28"/>
                <w:u w:val="single"/>
              </w:rPr>
            </w:pPr>
            <w:r w:rsidRPr="00E87057">
              <w:rPr>
                <w:rFonts w:cs="Arial"/>
                <w:b w:val="0"/>
                <w:bCs w:val="0"/>
                <w:sz w:val="28"/>
                <w:szCs w:val="28"/>
                <w:u w:val="single"/>
              </w:rPr>
              <w:t>Policy Engagement Sessions with Stakeholders:</w:t>
            </w:r>
          </w:p>
          <w:p w:rsidR="00E87057" w:rsidRPr="00E87057" w:rsidP="00E87057" w14:paraId="0A2A8B84" w14:textId="77777777">
            <w:pPr>
              <w:rPr>
                <w:rFonts w:cs="Arial"/>
                <w:b w:val="0"/>
                <w:bCs w:val="0"/>
                <w:sz w:val="28"/>
                <w:szCs w:val="28"/>
              </w:rPr>
            </w:pPr>
            <w:r w:rsidRPr="00E87057">
              <w:rPr>
                <w:rFonts w:cs="Arial"/>
                <w:b w:val="0"/>
                <w:bCs w:val="0"/>
                <w:sz w:val="28"/>
                <w:szCs w:val="28"/>
              </w:rPr>
              <w:t>Throughout the drafting of these documents, Sandwell Council have conducted various engagement sessions with stakeholders to ensure we capture as many opinions as possible in order to share this policy. These include the following:</w:t>
            </w:r>
          </w:p>
          <w:p w:rsidR="00E87057" w:rsidRPr="00E87057" w:rsidP="00E87057" w14:paraId="1D36F004" w14:textId="025D060E">
            <w:pPr>
              <w:pStyle w:val="ListParagraph"/>
              <w:numPr>
                <w:ilvl w:val="0"/>
                <w:numId w:val="19"/>
              </w:numPr>
              <w:rPr>
                <w:rFonts w:cs="Arial"/>
                <w:b w:val="0"/>
                <w:bCs w:val="0"/>
                <w:sz w:val="28"/>
                <w:szCs w:val="28"/>
              </w:rPr>
            </w:pPr>
            <w:r w:rsidRPr="00E87057">
              <w:rPr>
                <w:rFonts w:cs="Arial"/>
                <w:sz w:val="28"/>
                <w:szCs w:val="28"/>
              </w:rPr>
              <w:t>Collaboration Across Housing Teams and Partner Services:</w:t>
            </w:r>
            <w:r w:rsidRPr="00E87057">
              <w:rPr>
                <w:rFonts w:cs="Arial"/>
                <w:b w:val="0"/>
                <w:bCs w:val="0"/>
                <w:sz w:val="28"/>
                <w:szCs w:val="28"/>
              </w:rPr>
              <w:t xml:space="preserve"> These policies have been developed through collaboration across various housing teams and other relevant services, including </w:t>
            </w:r>
            <w:r w:rsidR="009E4F1E">
              <w:rPr>
                <w:rFonts w:cs="Arial"/>
                <w:b w:val="0"/>
                <w:bCs w:val="0"/>
                <w:sz w:val="28"/>
                <w:szCs w:val="28"/>
              </w:rPr>
              <w:t>H</w:t>
            </w:r>
            <w:r w:rsidRPr="00E87057">
              <w:rPr>
                <w:rFonts w:cs="Arial"/>
                <w:b w:val="0"/>
                <w:bCs w:val="0"/>
                <w:sz w:val="28"/>
                <w:szCs w:val="28"/>
              </w:rPr>
              <w:t xml:space="preserve">ousing </w:t>
            </w:r>
            <w:r w:rsidR="009E4F1E">
              <w:rPr>
                <w:rFonts w:cs="Arial"/>
                <w:b w:val="0"/>
                <w:bCs w:val="0"/>
                <w:sz w:val="28"/>
                <w:szCs w:val="28"/>
              </w:rPr>
              <w:t>M</w:t>
            </w:r>
            <w:r w:rsidRPr="00E87057">
              <w:rPr>
                <w:rFonts w:cs="Arial"/>
                <w:b w:val="0"/>
                <w:bCs w:val="0"/>
                <w:sz w:val="28"/>
                <w:szCs w:val="28"/>
              </w:rPr>
              <w:t xml:space="preserve">anagement, </w:t>
            </w:r>
            <w:r w:rsidR="009E4F1E">
              <w:rPr>
                <w:rFonts w:cs="Arial"/>
                <w:b w:val="0"/>
                <w:bCs w:val="0"/>
                <w:sz w:val="28"/>
                <w:szCs w:val="28"/>
              </w:rPr>
              <w:t>Equality and Diversity,</w:t>
            </w:r>
            <w:r w:rsidRPr="00E87057">
              <w:rPr>
                <w:rFonts w:cs="Arial"/>
                <w:b w:val="0"/>
                <w:bCs w:val="0"/>
                <w:sz w:val="28"/>
                <w:szCs w:val="28"/>
              </w:rPr>
              <w:t xml:space="preserve"> </w:t>
            </w:r>
            <w:r w:rsidR="009E4F1E">
              <w:rPr>
                <w:rFonts w:cs="Arial"/>
                <w:b w:val="0"/>
                <w:bCs w:val="0"/>
                <w:sz w:val="28"/>
                <w:szCs w:val="28"/>
              </w:rPr>
              <w:t>Legal and Corporate Improvement teams.</w:t>
            </w:r>
          </w:p>
          <w:p w:rsidR="00E87057" w:rsidRPr="00E87057" w:rsidP="00E87057" w14:paraId="1E6B20B8" w14:textId="77777777">
            <w:pPr>
              <w:rPr>
                <w:rFonts w:cs="Arial"/>
                <w:b w:val="0"/>
                <w:bCs w:val="0"/>
                <w:sz w:val="28"/>
                <w:szCs w:val="28"/>
              </w:rPr>
            </w:pPr>
          </w:p>
          <w:p w:rsidR="00E87057" w:rsidRPr="00E87057" w:rsidP="00E87057" w14:paraId="0ED2F16A" w14:textId="77777777">
            <w:pPr>
              <w:rPr>
                <w:rFonts w:cs="Arial"/>
                <w:b w:val="0"/>
                <w:bCs w:val="0"/>
                <w:sz w:val="28"/>
                <w:szCs w:val="28"/>
                <w:u w:val="single"/>
              </w:rPr>
            </w:pPr>
            <w:r w:rsidRPr="00E87057">
              <w:rPr>
                <w:rFonts w:cs="Arial"/>
                <w:b w:val="0"/>
                <w:bCs w:val="0"/>
                <w:sz w:val="28"/>
                <w:szCs w:val="28"/>
                <w:u w:val="single"/>
              </w:rPr>
              <w:t>Policy Scrutiny Working Group</w:t>
            </w:r>
          </w:p>
          <w:p w:rsidR="00E87057" w:rsidRPr="00E87057" w:rsidP="00E87057" w14:paraId="4D841652" w14:textId="6FF90893">
            <w:pPr>
              <w:rPr>
                <w:rFonts w:cs="Arial"/>
                <w:b w:val="0"/>
                <w:bCs w:val="0"/>
                <w:sz w:val="28"/>
                <w:szCs w:val="28"/>
              </w:rPr>
            </w:pPr>
            <w:r w:rsidRPr="00E87057">
              <w:rPr>
                <w:rFonts w:cs="Arial"/>
                <w:b w:val="0"/>
                <w:bCs w:val="0"/>
                <w:sz w:val="28"/>
                <w:szCs w:val="28"/>
              </w:rPr>
              <w:t xml:space="preserve">The policies </w:t>
            </w:r>
            <w:r w:rsidR="00891164">
              <w:rPr>
                <w:rFonts w:cs="Arial"/>
                <w:b w:val="0"/>
                <w:bCs w:val="0"/>
                <w:sz w:val="28"/>
                <w:szCs w:val="28"/>
              </w:rPr>
              <w:t>will also be</w:t>
            </w:r>
            <w:r w:rsidRPr="00E87057">
              <w:rPr>
                <w:rFonts w:cs="Arial"/>
                <w:b w:val="0"/>
                <w:bCs w:val="0"/>
                <w:sz w:val="28"/>
                <w:szCs w:val="28"/>
              </w:rPr>
              <w:t xml:space="preserve"> cascaded to the group consisting of Elected Members, with a brief meeting scheduled on Teams approximately one week after they have received the policies. This meeting </w:t>
            </w:r>
            <w:r w:rsidR="00891164">
              <w:rPr>
                <w:rFonts w:cs="Arial"/>
                <w:b w:val="0"/>
                <w:bCs w:val="0"/>
                <w:sz w:val="28"/>
                <w:szCs w:val="28"/>
              </w:rPr>
              <w:t xml:space="preserve">will include </w:t>
            </w:r>
            <w:r w:rsidRPr="00E87057">
              <w:rPr>
                <w:rFonts w:cs="Arial"/>
                <w:b w:val="0"/>
                <w:bCs w:val="0"/>
                <w:sz w:val="28"/>
                <w:szCs w:val="28"/>
              </w:rPr>
              <w:t xml:space="preserve">relevant individuals such as the report author, housing colleagues, and any additional participants, as necessary. Its purpose </w:t>
            </w:r>
            <w:r w:rsidR="00891164">
              <w:rPr>
                <w:rFonts w:cs="Arial"/>
                <w:b w:val="0"/>
                <w:bCs w:val="0"/>
                <w:sz w:val="28"/>
                <w:szCs w:val="28"/>
              </w:rPr>
              <w:t xml:space="preserve">is </w:t>
            </w:r>
            <w:r w:rsidRPr="00E87057">
              <w:rPr>
                <w:rFonts w:cs="Arial"/>
                <w:b w:val="0"/>
                <w:bCs w:val="0"/>
                <w:sz w:val="28"/>
                <w:szCs w:val="28"/>
              </w:rPr>
              <w:t xml:space="preserve">to address any questions that arise and provide an opportunity for officers to seek specific guidance or direction from the scrutiny board. This meeting </w:t>
            </w:r>
            <w:r w:rsidR="00891164">
              <w:rPr>
                <w:rFonts w:cs="Arial"/>
                <w:b w:val="0"/>
                <w:bCs w:val="0"/>
                <w:sz w:val="28"/>
                <w:szCs w:val="28"/>
              </w:rPr>
              <w:t>will take place in May</w:t>
            </w:r>
            <w:r w:rsidRPr="00E87057">
              <w:rPr>
                <w:rFonts w:cs="Arial"/>
                <w:b w:val="0"/>
                <w:bCs w:val="0"/>
                <w:sz w:val="28"/>
                <w:szCs w:val="28"/>
              </w:rPr>
              <w:t>.</w:t>
            </w:r>
          </w:p>
          <w:p w:rsidR="00DA711C" w:rsidRPr="000F6A3C" w:rsidP="00EC01E1" w14:paraId="250507BC" w14:textId="4B8D0F85">
            <w:pPr>
              <w:rPr>
                <w:rFonts w:cs="Arial"/>
                <w:sz w:val="28"/>
                <w:szCs w:val="28"/>
              </w:rPr>
            </w:pPr>
          </w:p>
        </w:tc>
      </w:tr>
      <w:tr w14:paraId="3F1DF57D" w14:textId="77777777" w:rsidTr="00743FC9">
        <w:tblPrEx>
          <w:tblW w:w="5000" w:type="pct"/>
          <w:tblLook w:val="04A0"/>
        </w:tblPrEx>
        <w:trPr>
          <w:gridAfter w:val="2"/>
          <w:wAfter w:w="14" w:type="dxa"/>
        </w:trPr>
        <w:tc>
          <w:tcPr>
            <w:tcW w:w="4993" w:type="pct"/>
            <w:gridSpan w:val="2"/>
          </w:tcPr>
          <w:p w:rsidR="00DA711C" w:rsidRPr="00DA711C" w:rsidP="00DA711C" w14:paraId="6A947EB2" w14:textId="6ED26904">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rsidR="00DA711C" w:rsidP="00DA711C" w14:paraId="5DCD6C1F" w14:textId="77777777">
            <w:pPr>
              <w:rPr>
                <w:rFonts w:ascii="Arial" w:hAnsi="Arial" w:cs="Arial"/>
                <w:bCs w:val="0"/>
                <w:color w:val="000000"/>
                <w:sz w:val="28"/>
                <w:szCs w:val="28"/>
              </w:rPr>
            </w:pPr>
          </w:p>
          <w:p w:rsidR="00743FC9" w:rsidRPr="000F6A3C" w:rsidP="00EC01E1" w14:paraId="0E03B406" w14:textId="0B9B9449">
            <w:pPr>
              <w:rPr>
                <w:rFonts w:ascii="Arial" w:hAnsi="Arial" w:cs="Arial"/>
                <w:b w:val="0"/>
                <w:color w:val="000000"/>
                <w:sz w:val="28"/>
                <w:szCs w:val="28"/>
              </w:rPr>
            </w:pPr>
            <w:r>
              <w:rPr>
                <w:rFonts w:ascii="Arial" w:hAnsi="Arial" w:cs="Arial"/>
                <w:b w:val="0"/>
                <w:color w:val="000000"/>
                <w:sz w:val="28"/>
                <w:szCs w:val="28"/>
              </w:rPr>
              <w:t>Summary a</w:t>
            </w:r>
            <w:r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14:paraId="15C73332" w14:textId="77777777" w:rsidTr="00D12407">
        <w:tblPrEx>
          <w:tblW w:w="5000" w:type="pct"/>
          <w:tblLook w:val="04A0"/>
        </w:tblPrEx>
        <w:trPr>
          <w:gridAfter w:val="2"/>
          <w:wAfter w:w="14" w:type="dxa"/>
          <w:trHeight w:val="7340"/>
        </w:trPr>
        <w:tc>
          <w:tcPr>
            <w:tcW w:w="4993" w:type="pct"/>
            <w:gridSpan w:val="2"/>
          </w:tcPr>
          <w:p w:rsidR="00D12407" w:rsidRPr="00D12407" w:rsidP="00D12407" w14:paraId="292B6623" w14:textId="77777777">
            <w:pPr>
              <w:rPr>
                <w:rFonts w:ascii="Arial" w:hAnsi="Arial" w:cs="Arial"/>
                <w:b w:val="0"/>
                <w:bCs w:val="0"/>
                <w:color w:val="000000"/>
                <w:sz w:val="28"/>
                <w:szCs w:val="28"/>
              </w:rPr>
            </w:pPr>
            <w:r w:rsidRPr="00D12407">
              <w:rPr>
                <w:rFonts w:ascii="Arial" w:hAnsi="Arial" w:cs="Arial"/>
                <w:b w:val="0"/>
                <w:bCs w:val="0"/>
                <w:color w:val="000000"/>
                <w:sz w:val="28"/>
                <w:szCs w:val="28"/>
              </w:rPr>
              <w:t>The key equality impacts identified within this assessment are the following:</w:t>
            </w:r>
          </w:p>
          <w:p w:rsidR="00D12407" w:rsidRPr="00D12407" w:rsidP="00D12407" w14:paraId="00FA0A16"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Disability</w:t>
            </w:r>
          </w:p>
          <w:p w:rsidR="00D12407" w:rsidRPr="00D12407" w:rsidP="00D12407" w14:paraId="13619868"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Age</w:t>
            </w:r>
          </w:p>
          <w:p w:rsidR="00D12407" w:rsidRPr="00D12407" w:rsidP="00D12407" w14:paraId="222079E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Race </w:t>
            </w:r>
          </w:p>
          <w:p w:rsidR="00D12407" w:rsidRPr="00D12407" w:rsidP="00D12407" w14:paraId="52F1EAD3"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Marriage and civil partnership</w:t>
            </w:r>
          </w:p>
          <w:p w:rsidR="00D12407" w:rsidRPr="00D12407" w:rsidP="00D12407" w14:paraId="25CA768F"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Religion </w:t>
            </w:r>
          </w:p>
          <w:p w:rsidR="00D12407" w:rsidRPr="00D12407" w:rsidP="00D12407" w14:paraId="63331C4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Sexual orientation</w:t>
            </w:r>
          </w:p>
          <w:p w:rsidR="00D12407" w:rsidRPr="00D12407" w:rsidP="00D12407" w14:paraId="3AD0787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Pregnancy and maternity</w:t>
            </w:r>
          </w:p>
          <w:p w:rsidR="00D12407" w:rsidRPr="00D12407" w:rsidP="00D12407" w14:paraId="6AAAD25C"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Low income groups</w:t>
            </w:r>
          </w:p>
          <w:p w:rsidR="00D12407" w:rsidRPr="00D12407" w:rsidP="00D12407" w14:paraId="3654FECC" w14:textId="77777777">
            <w:pPr>
              <w:rPr>
                <w:rFonts w:ascii="Arial" w:hAnsi="Arial" w:cs="Arial"/>
                <w:b w:val="0"/>
                <w:bCs w:val="0"/>
                <w:color w:val="000000"/>
                <w:sz w:val="28"/>
                <w:szCs w:val="28"/>
              </w:rPr>
            </w:pPr>
          </w:p>
          <w:p w:rsidR="00D12407" w:rsidRPr="00D12407" w:rsidP="00D12407" w14:paraId="75BF96BF" w14:textId="77777777">
            <w:pPr>
              <w:rPr>
                <w:rFonts w:ascii="Arial" w:hAnsi="Arial" w:cs="Arial"/>
                <w:b w:val="0"/>
                <w:bCs w:val="0"/>
                <w:color w:val="000000"/>
                <w:sz w:val="28"/>
                <w:szCs w:val="28"/>
              </w:rPr>
            </w:pPr>
            <w:r w:rsidRPr="00D12407">
              <w:rPr>
                <w:rFonts w:ascii="Arial" w:hAnsi="Arial" w:cs="Arial"/>
                <w:b w:val="0"/>
                <w:bCs w:val="0"/>
                <w:color w:val="000000"/>
                <w:sz w:val="28"/>
                <w:szCs w:val="28"/>
              </w:rPr>
              <w:t>In order to address these, the following measures will help to mitigate any of these circumstances:</w:t>
            </w:r>
          </w:p>
          <w:p w:rsidR="00D12407" w:rsidRPr="00D12407" w:rsidP="00D12407" w14:paraId="520717E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Accessible communication within these policies</w:t>
            </w:r>
          </w:p>
          <w:p w:rsidR="00D12407" w:rsidRPr="00D12407" w:rsidP="00D12407" w14:paraId="752C856E"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Making reasonable adjustments</w:t>
            </w:r>
          </w:p>
          <w:p w:rsidR="00D12407" w:rsidRPr="00D12407" w:rsidP="00D12407" w14:paraId="4807B39D"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Regular monitoring and feedback</w:t>
            </w:r>
          </w:p>
          <w:p w:rsidR="00743FC9" w:rsidRPr="00D12407" w:rsidP="00D12407" w14:paraId="1D02A7B3" w14:textId="6A82622D">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Reviewing policies on a periodical basis.</w:t>
            </w:r>
          </w:p>
          <w:p w:rsidR="009E7427" w:rsidRPr="000F6A3C" w:rsidP="00EC01E1" w14:paraId="0F003392" w14:textId="4CDE12A6">
            <w:pPr>
              <w:rPr>
                <w:rFonts w:ascii="Arial" w:hAnsi="Arial" w:cs="Arial"/>
                <w:b w:val="0"/>
                <w:color w:val="000000"/>
                <w:sz w:val="28"/>
                <w:szCs w:val="28"/>
              </w:rPr>
            </w:pPr>
          </w:p>
        </w:tc>
      </w:tr>
    </w:tbl>
    <w:p w:rsidR="00743FC9" w:rsidP="00743FC9" w14:paraId="66706AFF" w14:textId="77777777">
      <w:pPr>
        <w:rPr>
          <w:rFonts w:ascii="Arial" w:hAnsi="Arial" w:cs="Arial"/>
          <w:b/>
          <w:color w:val="000000"/>
          <w:sz w:val="28"/>
          <w:szCs w:val="28"/>
        </w:rPr>
        <w:sectPr w:rsidSect="00EC01E1">
          <w:pgSz w:w="11906" w:h="16838"/>
          <w:pgMar w:top="851" w:right="1134" w:bottom="851" w:left="1134" w:header="709" w:footer="709" w:gutter="0"/>
          <w:pgNumType w:start="0"/>
          <w:cols w:space="708"/>
          <w:titlePg/>
          <w:docGrid w:linePitch="360"/>
        </w:sectPr>
      </w:pPr>
    </w:p>
    <w:p w:rsidR="000B1B36" w:rsidP="00743FC9" w14:paraId="27C662D0" w14:textId="77777777"/>
    <w:tbl>
      <w:tblPr>
        <w:tblStyle w:val="GridTable3Accent1"/>
        <w:tblW w:w="5000" w:type="pct"/>
        <w:tblLook w:val="04A0"/>
      </w:tblPr>
      <w:tblGrid>
        <w:gridCol w:w="15126"/>
      </w:tblGrid>
      <w:tr w14:paraId="188202DE" w14:textId="77777777" w:rsidTr="00E50083">
        <w:tblPrEx>
          <w:tblW w:w="5000" w:type="pct"/>
          <w:tblLook w:val="04A0"/>
        </w:tblPrEx>
        <w:trPr>
          <w:trHeight w:val="372"/>
          <w:tblHeader/>
        </w:trPr>
        <w:tc>
          <w:tcPr>
            <w:tcW w:w="5000" w:type="pct"/>
            <w:tcBorders>
              <w:top w:val="none" w:sz="0" w:space="0" w:color="auto"/>
              <w:left w:val="none" w:sz="0" w:space="0" w:color="auto"/>
              <w:bottom w:val="none" w:sz="0" w:space="0" w:color="auto"/>
              <w:right w:val="none" w:sz="0" w:space="0" w:color="auto"/>
            </w:tcBorders>
          </w:tcPr>
          <w:p w:rsidR="00E477AA" w:rsidRPr="008477EF" w:rsidP="003A29A5" w14:paraId="47B57CD0" w14:textId="7B0F8E53">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Pr="008477EF">
              <w:rPr>
                <w:rFonts w:ascii="Arial" w:hAnsi="Arial" w:cs="Arial"/>
                <w:color w:val="000000"/>
                <w:sz w:val="28"/>
                <w:szCs w:val="28"/>
              </w:rPr>
              <w:t>characteristics?</w:t>
            </w:r>
          </w:p>
        </w:tc>
      </w:tr>
    </w:tbl>
    <w:p w:rsidR="00D12407" w:rsidRPr="00E125A1" w:rsidP="006959C1" w14:paraId="223EE6E2" w14:textId="77777777">
      <w:pPr>
        <w:rPr>
          <w:rFonts w:cs="Arial"/>
          <w:b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6"/>
        <w:gridCol w:w="1292"/>
        <w:gridCol w:w="4162"/>
        <w:gridCol w:w="4064"/>
        <w:gridCol w:w="3272"/>
      </w:tblGrid>
      <w:tr w14:paraId="5BF5E92E" w14:textId="77777777" w:rsidTr="00C30432">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8F3D3" w:themeFill="accent2" w:themeFillTint="33"/>
            <w:vAlign w:val="center"/>
            <w:hideMark/>
          </w:tcPr>
          <w:p w:rsidR="00C30432" w:rsidRPr="00C30432" w:rsidP="00C30432" w14:paraId="0A785C6D" w14:textId="77777777">
            <w:pPr>
              <w:rPr>
                <w:rFonts w:cs="Arial"/>
                <w:b/>
                <w:bCs/>
                <w:color w:val="000000"/>
                <w:sz w:val="28"/>
                <w:szCs w:val="28"/>
              </w:rPr>
            </w:pPr>
            <w:r w:rsidRPr="00C30432">
              <w:rPr>
                <w:rFonts w:cs="Arial"/>
                <w:b/>
                <w:bCs/>
                <w:color w:val="000000"/>
                <w:sz w:val="28"/>
                <w:szCs w:val="28"/>
              </w:rPr>
              <w:t>Reviewed Characteristic</w:t>
            </w:r>
          </w:p>
        </w:tc>
        <w:tc>
          <w:tcPr>
            <w:tcW w:w="0" w:type="auto"/>
            <w:shd w:val="clear" w:color="auto" w:fill="E8F3D3" w:themeFill="accent2" w:themeFillTint="33"/>
            <w:vAlign w:val="center"/>
            <w:hideMark/>
          </w:tcPr>
          <w:p w:rsidR="00C30432" w:rsidRPr="00C30432" w:rsidP="00C30432" w14:paraId="467E6A82" w14:textId="77777777">
            <w:pPr>
              <w:rPr>
                <w:rFonts w:cs="Arial"/>
                <w:b/>
                <w:bCs/>
                <w:color w:val="000000"/>
                <w:sz w:val="28"/>
                <w:szCs w:val="28"/>
              </w:rPr>
            </w:pPr>
            <w:r w:rsidRPr="00C30432">
              <w:rPr>
                <w:rFonts w:cs="Arial"/>
                <w:b/>
                <w:bCs/>
                <w:color w:val="000000"/>
                <w:sz w:val="28"/>
                <w:szCs w:val="28"/>
              </w:rPr>
              <w:t>Impact? (P/N/Ne)</w:t>
            </w:r>
          </w:p>
        </w:tc>
        <w:tc>
          <w:tcPr>
            <w:tcW w:w="0" w:type="auto"/>
            <w:shd w:val="clear" w:color="auto" w:fill="E8F3D3" w:themeFill="accent2" w:themeFillTint="33"/>
            <w:vAlign w:val="center"/>
            <w:hideMark/>
          </w:tcPr>
          <w:p w:rsidR="00C30432" w:rsidRPr="00C30432" w:rsidP="00C30432" w14:paraId="7AC8DDCE" w14:textId="77777777">
            <w:pPr>
              <w:rPr>
                <w:rFonts w:cs="Arial"/>
                <w:b/>
                <w:bCs/>
                <w:color w:val="000000"/>
                <w:sz w:val="28"/>
                <w:szCs w:val="28"/>
              </w:rPr>
            </w:pPr>
            <w:r w:rsidRPr="00C30432">
              <w:rPr>
                <w:rFonts w:cs="Arial"/>
                <w:b/>
                <w:bCs/>
                <w:color w:val="000000"/>
                <w:sz w:val="28"/>
                <w:szCs w:val="28"/>
              </w:rPr>
              <w:t>Details of Impact</w:t>
            </w:r>
          </w:p>
        </w:tc>
        <w:tc>
          <w:tcPr>
            <w:tcW w:w="0" w:type="auto"/>
            <w:shd w:val="clear" w:color="auto" w:fill="E8F3D3" w:themeFill="accent2" w:themeFillTint="33"/>
            <w:vAlign w:val="center"/>
            <w:hideMark/>
          </w:tcPr>
          <w:p w:rsidR="00C30432" w:rsidRPr="00C30432" w:rsidP="00C30432" w14:paraId="06F22D36" w14:textId="77777777">
            <w:pPr>
              <w:rPr>
                <w:rFonts w:cs="Arial"/>
                <w:b/>
                <w:bCs/>
                <w:color w:val="000000"/>
                <w:sz w:val="28"/>
                <w:szCs w:val="28"/>
              </w:rPr>
            </w:pPr>
            <w:r w:rsidRPr="00C30432">
              <w:rPr>
                <w:rFonts w:cs="Arial"/>
                <w:b/>
                <w:bCs/>
                <w:color w:val="000000"/>
                <w:sz w:val="28"/>
                <w:szCs w:val="28"/>
              </w:rPr>
              <w:t>Actions to address negative impact or promote positive impact (see Section 8)</w:t>
            </w:r>
          </w:p>
        </w:tc>
        <w:tc>
          <w:tcPr>
            <w:tcW w:w="0" w:type="auto"/>
            <w:shd w:val="clear" w:color="auto" w:fill="E8F3D3" w:themeFill="accent2" w:themeFillTint="33"/>
            <w:vAlign w:val="center"/>
            <w:hideMark/>
          </w:tcPr>
          <w:p w:rsidR="00C30432" w:rsidRPr="00C30432" w:rsidP="00C30432" w14:paraId="13BD3062" w14:textId="77777777">
            <w:pPr>
              <w:rPr>
                <w:rFonts w:cs="Arial"/>
                <w:b/>
                <w:bCs/>
                <w:color w:val="000000"/>
                <w:sz w:val="28"/>
                <w:szCs w:val="28"/>
              </w:rPr>
            </w:pPr>
            <w:r w:rsidRPr="00C30432">
              <w:rPr>
                <w:rFonts w:cs="Arial"/>
                <w:b/>
                <w:bCs/>
                <w:color w:val="000000"/>
                <w:sz w:val="28"/>
                <w:szCs w:val="28"/>
              </w:rPr>
              <w:t>Owner of Action / Timescale</w:t>
            </w:r>
          </w:p>
        </w:tc>
      </w:tr>
      <w:tr w14:paraId="3EE8BCA8"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C30432" w:rsidRPr="00C30432" w:rsidP="00C30432" w14:paraId="03FF71CA" w14:textId="77777777">
            <w:pPr>
              <w:rPr>
                <w:rFonts w:cs="Arial"/>
                <w:bCs/>
                <w:color w:val="000000"/>
                <w:sz w:val="28"/>
                <w:szCs w:val="28"/>
              </w:rPr>
            </w:pPr>
            <w:r w:rsidRPr="00C30432">
              <w:rPr>
                <w:rFonts w:cs="Arial"/>
                <w:b/>
                <w:bCs/>
                <w:color w:val="000000"/>
                <w:sz w:val="28"/>
                <w:szCs w:val="28"/>
              </w:rPr>
              <w:t>Age</w:t>
            </w:r>
          </w:p>
        </w:tc>
        <w:tc>
          <w:tcPr>
            <w:tcW w:w="0" w:type="auto"/>
            <w:vAlign w:val="center"/>
            <w:hideMark/>
          </w:tcPr>
          <w:p w:rsidR="00C30432" w:rsidRPr="00C30432" w:rsidP="00C30432" w14:paraId="79BD1152"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C30432" w:rsidRPr="00C30432" w:rsidP="00C30432" w14:paraId="654E66CE" w14:textId="77777777">
            <w:pPr>
              <w:rPr>
                <w:rFonts w:cs="Arial"/>
                <w:bCs/>
                <w:color w:val="000000"/>
                <w:sz w:val="28"/>
                <w:szCs w:val="28"/>
              </w:rPr>
            </w:pPr>
            <w:r w:rsidRPr="00C30432">
              <w:rPr>
                <w:rFonts w:cs="Arial"/>
                <w:bCs/>
                <w:color w:val="000000"/>
                <w:sz w:val="28"/>
                <w:szCs w:val="28"/>
              </w:rPr>
              <w:t>Older tenants may find moving more physically and emotionally difficult. Young families may be disrupted by relocation from schools/childcare.</w:t>
            </w:r>
          </w:p>
        </w:tc>
        <w:tc>
          <w:tcPr>
            <w:tcW w:w="0" w:type="auto"/>
            <w:vAlign w:val="center"/>
            <w:hideMark/>
          </w:tcPr>
          <w:p w:rsidR="00C30432" w:rsidRPr="00C30432" w:rsidP="00C30432" w14:paraId="0BCADBF5" w14:textId="77777777">
            <w:pPr>
              <w:rPr>
                <w:rFonts w:cs="Arial"/>
                <w:bCs/>
                <w:color w:val="000000"/>
                <w:sz w:val="28"/>
                <w:szCs w:val="28"/>
              </w:rPr>
            </w:pPr>
            <w:r w:rsidRPr="00C30432">
              <w:rPr>
                <w:rFonts w:cs="Arial"/>
                <w:bCs/>
                <w:color w:val="000000"/>
                <w:sz w:val="28"/>
                <w:szCs w:val="28"/>
              </w:rPr>
              <w:t>Offer additional support with removals, prioritise proximity to schools and community links.</w:t>
            </w:r>
          </w:p>
        </w:tc>
        <w:tc>
          <w:tcPr>
            <w:tcW w:w="0" w:type="auto"/>
            <w:vAlign w:val="center"/>
            <w:hideMark/>
          </w:tcPr>
          <w:p w:rsidR="00C30432" w:rsidRPr="00C30432" w:rsidP="00C30432" w14:paraId="006507CC" w14:textId="4F4C8CA0">
            <w:pPr>
              <w:rPr>
                <w:rFonts w:cs="Arial"/>
                <w:bCs/>
                <w:color w:val="000000"/>
                <w:sz w:val="28"/>
                <w:szCs w:val="28"/>
              </w:rPr>
            </w:pPr>
            <w:r>
              <w:rPr>
                <w:rFonts w:cs="Arial"/>
                <w:bCs/>
                <w:color w:val="000000"/>
                <w:sz w:val="28"/>
                <w:szCs w:val="28"/>
              </w:rPr>
              <w:t>Tenancy and Estate Management Team</w:t>
            </w:r>
          </w:p>
        </w:tc>
      </w:tr>
      <w:tr w14:paraId="1445F2AE"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C30432" w:rsidRPr="00C30432" w:rsidP="00C30432" w14:paraId="019A3E92" w14:textId="77777777">
            <w:pPr>
              <w:rPr>
                <w:rFonts w:cs="Arial"/>
                <w:bCs/>
                <w:color w:val="000000"/>
                <w:sz w:val="28"/>
                <w:szCs w:val="28"/>
              </w:rPr>
            </w:pPr>
            <w:r w:rsidRPr="00C30432">
              <w:rPr>
                <w:rFonts w:cs="Arial"/>
                <w:b/>
                <w:bCs/>
                <w:color w:val="000000"/>
                <w:sz w:val="28"/>
                <w:szCs w:val="28"/>
              </w:rPr>
              <w:t>Disability</w:t>
            </w:r>
          </w:p>
        </w:tc>
        <w:tc>
          <w:tcPr>
            <w:tcW w:w="0" w:type="auto"/>
            <w:vAlign w:val="center"/>
            <w:hideMark/>
          </w:tcPr>
          <w:p w:rsidR="00C30432" w:rsidRPr="00C30432" w:rsidP="00C30432" w14:paraId="155F181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C30432" w:rsidRPr="00C30432" w:rsidP="00C30432" w14:paraId="7C2D0FC3" w14:textId="77777777">
            <w:pPr>
              <w:rPr>
                <w:rFonts w:cs="Arial"/>
                <w:bCs/>
                <w:color w:val="000000"/>
                <w:sz w:val="28"/>
                <w:szCs w:val="28"/>
              </w:rPr>
            </w:pPr>
            <w:r w:rsidRPr="00C30432">
              <w:rPr>
                <w:rFonts w:cs="Arial"/>
                <w:bCs/>
                <w:color w:val="000000"/>
                <w:sz w:val="28"/>
                <w:szCs w:val="28"/>
              </w:rPr>
              <w:t>Decant could negatively impact those needing adapted homes, support networks, or familiar environments.</w:t>
            </w:r>
          </w:p>
        </w:tc>
        <w:tc>
          <w:tcPr>
            <w:tcW w:w="0" w:type="auto"/>
            <w:vAlign w:val="center"/>
            <w:hideMark/>
          </w:tcPr>
          <w:p w:rsidR="00C30432" w:rsidRPr="00C30432" w:rsidP="00C30432" w14:paraId="67C2A183" w14:textId="77777777">
            <w:pPr>
              <w:rPr>
                <w:rFonts w:cs="Arial"/>
                <w:bCs/>
                <w:color w:val="000000"/>
                <w:sz w:val="28"/>
                <w:szCs w:val="28"/>
              </w:rPr>
            </w:pPr>
            <w:r w:rsidRPr="00C30432">
              <w:rPr>
                <w:rFonts w:cs="Arial"/>
                <w:bCs/>
                <w:color w:val="000000"/>
                <w:sz w:val="28"/>
                <w:szCs w:val="28"/>
              </w:rPr>
              <w:t>Ensure new accommodation meets accessibility needs; prioritise like-for-like relocation.</w:t>
            </w:r>
          </w:p>
        </w:tc>
        <w:tc>
          <w:tcPr>
            <w:tcW w:w="0" w:type="auto"/>
            <w:vAlign w:val="center"/>
            <w:hideMark/>
          </w:tcPr>
          <w:p w:rsidR="00C30432" w:rsidRPr="00C30432" w:rsidP="00C30432" w14:paraId="30BB15F4" w14:textId="251D208C">
            <w:pPr>
              <w:rPr>
                <w:rFonts w:cs="Arial"/>
                <w:bCs/>
                <w:color w:val="000000"/>
                <w:sz w:val="28"/>
                <w:szCs w:val="28"/>
              </w:rPr>
            </w:pPr>
            <w:r w:rsidRPr="00C30432">
              <w:rPr>
                <w:rFonts w:cs="Arial"/>
                <w:bCs/>
                <w:color w:val="000000"/>
                <w:sz w:val="28"/>
                <w:szCs w:val="28"/>
              </w:rPr>
              <w:t>Tenancy and Estate Management Team</w:t>
            </w:r>
            <w:r>
              <w:rPr>
                <w:rFonts w:cs="Arial"/>
                <w:bCs/>
                <w:color w:val="000000"/>
                <w:sz w:val="28"/>
                <w:szCs w:val="28"/>
              </w:rPr>
              <w:t xml:space="preserve"> and Housing Adaptations Team </w:t>
            </w:r>
            <w:r w:rsidRPr="00C30432">
              <w:rPr>
                <w:rFonts w:cs="Arial"/>
                <w:bCs/>
                <w:color w:val="000000"/>
                <w:sz w:val="28"/>
                <w:szCs w:val="28"/>
              </w:rPr>
              <w:t>/ Pre-move assessment and post-move review</w:t>
            </w:r>
          </w:p>
        </w:tc>
      </w:tr>
      <w:tr w14:paraId="6710A434" w14:textId="77777777" w:rsidTr="00CB0D56">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5A7BCA29" w14:textId="77777777">
            <w:pPr>
              <w:rPr>
                <w:rFonts w:cs="Arial"/>
                <w:bCs/>
                <w:color w:val="000000"/>
                <w:sz w:val="28"/>
                <w:szCs w:val="28"/>
              </w:rPr>
            </w:pPr>
            <w:r w:rsidRPr="00C30432">
              <w:rPr>
                <w:rFonts w:cs="Arial"/>
                <w:b/>
                <w:bCs/>
                <w:color w:val="000000"/>
                <w:sz w:val="28"/>
                <w:szCs w:val="28"/>
              </w:rPr>
              <w:t>Gender Reassignment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5A0775A3" w14:textId="3E2D5E41">
            <w:pPr>
              <w:rPr>
                <w:rFonts w:cs="Arial"/>
                <w:bCs/>
                <w:color w:val="000000"/>
                <w:sz w:val="28"/>
                <w:szCs w:val="28"/>
              </w:rPr>
            </w:pPr>
            <w:r>
              <w:rPr>
                <w:rFonts w:cs="Arial"/>
                <w:bCs/>
                <w:color w:val="000000"/>
                <w:sz w:val="28"/>
                <w:szCs w:val="28"/>
              </w:rPr>
              <w:t>Ne</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6B38D9E2" w14:textId="6D85A612">
            <w:pPr>
              <w:rPr>
                <w:rFonts w:cs="Arial"/>
                <w:bCs/>
                <w:color w:val="000000"/>
                <w:sz w:val="28"/>
                <w:szCs w:val="28"/>
              </w:rPr>
            </w:pPr>
            <w:r>
              <w:rPr>
                <w:rFonts w:cs="Arial"/>
                <w:bCs/>
                <w:color w:val="000000"/>
                <w:sz w:val="28"/>
                <w:szCs w:val="28"/>
              </w:rPr>
              <w:t>Unlikely to be impacted directly by the policy in terms of accessing housing services.</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F0BB3FA" w14:textId="37433216">
            <w:pPr>
              <w:rPr>
                <w:rFonts w:cs="Arial"/>
                <w:bCs/>
                <w:color w:val="000000"/>
                <w:sz w:val="28"/>
                <w:szCs w:val="28"/>
              </w:rPr>
            </w:pPr>
            <w:r>
              <w:rPr>
                <w:rFonts w:cs="Arial"/>
                <w:bCs/>
                <w:color w:val="000000"/>
                <w:sz w:val="28"/>
                <w:szCs w:val="28"/>
              </w:rPr>
              <w:t>Ensure policy is applied consistently regardless of gender reassignment.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F0467D7" w14:textId="486FE337">
            <w:pPr>
              <w:rPr>
                <w:rFonts w:cs="Arial"/>
                <w:bCs/>
                <w:color w:val="000000"/>
                <w:sz w:val="28"/>
                <w:szCs w:val="28"/>
              </w:rPr>
            </w:pPr>
            <w:r>
              <w:rPr>
                <w:rFonts w:cs="Arial"/>
                <w:bCs/>
                <w:color w:val="000000"/>
                <w:sz w:val="28"/>
                <w:szCs w:val="28"/>
              </w:rPr>
              <w:t>N/A</w:t>
            </w:r>
          </w:p>
        </w:tc>
      </w:tr>
      <w:tr w14:paraId="1A8D6FB9" w14:textId="77777777" w:rsidTr="0057675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04785DE6" w14:textId="77777777">
            <w:pPr>
              <w:rPr>
                <w:rFonts w:cs="Arial"/>
                <w:bCs/>
                <w:color w:val="000000"/>
                <w:sz w:val="28"/>
                <w:szCs w:val="28"/>
              </w:rPr>
            </w:pPr>
            <w:r w:rsidRPr="00C30432">
              <w:rPr>
                <w:rFonts w:cs="Arial"/>
                <w:b/>
                <w:bCs/>
                <w:color w:val="000000"/>
                <w:sz w:val="28"/>
                <w:szCs w:val="28"/>
              </w:rPr>
              <w:t>Marriage and Civil Partnership</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18B6EF76" w14:textId="7AF37CD1">
            <w:pPr>
              <w:rPr>
                <w:rFonts w:cs="Arial"/>
                <w:bCs/>
                <w:color w:val="000000"/>
                <w:sz w:val="28"/>
                <w:szCs w:val="28"/>
              </w:rPr>
            </w:pPr>
            <w:r>
              <w:rPr>
                <w:rFonts w:cs="Arial"/>
                <w:bCs/>
                <w:color w:val="000000"/>
                <w:sz w:val="28"/>
                <w:szCs w:val="28"/>
              </w:rPr>
              <w:t>Ne</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3D0D5078" w14:textId="6A08518A">
            <w:pPr>
              <w:rPr>
                <w:rFonts w:cs="Arial"/>
                <w:bCs/>
                <w:color w:val="000000"/>
                <w:sz w:val="28"/>
                <w:szCs w:val="28"/>
              </w:rPr>
            </w:pPr>
            <w:r>
              <w:rPr>
                <w:rFonts w:cs="Arial"/>
                <w:bCs/>
                <w:color w:val="000000"/>
                <w:sz w:val="28"/>
                <w:szCs w:val="28"/>
              </w:rPr>
              <w:t>Unlikely to be impacted directly by the policy in terms of accessing housing services.</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42D4D3D3" w14:textId="5C2CFF76">
            <w:pPr>
              <w:rPr>
                <w:rFonts w:cs="Arial"/>
                <w:bCs/>
                <w:color w:val="000000"/>
                <w:sz w:val="28"/>
                <w:szCs w:val="28"/>
              </w:rPr>
            </w:pPr>
            <w:r>
              <w:rPr>
                <w:rFonts w:cs="Arial"/>
                <w:bCs/>
                <w:color w:val="000000"/>
                <w:sz w:val="28"/>
                <w:szCs w:val="28"/>
              </w:rPr>
              <w:t>Ensure policy is applied consistently regardless of gender reassignment.</w:t>
            </w:r>
          </w:p>
        </w:tc>
        <w:tc>
          <w:tcPr>
            <w:tcW w:w="0" w:type="auto"/>
            <w:tcBorders>
              <w:top w:val="single" w:sz="4" w:space="0" w:color="auto"/>
              <w:left w:val="single" w:sz="4" w:space="0" w:color="auto"/>
              <w:bottom w:val="single" w:sz="4" w:space="0" w:color="auto"/>
              <w:right w:val="single" w:sz="4" w:space="0" w:color="auto"/>
            </w:tcBorders>
            <w:vAlign w:val="center"/>
          </w:tcPr>
          <w:p w:rsidR="000547F4" w:rsidRPr="00C30432" w:rsidP="000547F4" w14:paraId="79CF2362" w14:textId="45513406">
            <w:pPr>
              <w:rPr>
                <w:rFonts w:cs="Arial"/>
                <w:bCs/>
                <w:color w:val="000000"/>
                <w:sz w:val="28"/>
                <w:szCs w:val="28"/>
              </w:rPr>
            </w:pPr>
            <w:r>
              <w:rPr>
                <w:rFonts w:cs="Arial"/>
                <w:bCs/>
                <w:color w:val="000000"/>
                <w:sz w:val="28"/>
                <w:szCs w:val="28"/>
              </w:rPr>
              <w:t>N/A</w:t>
            </w:r>
          </w:p>
        </w:tc>
      </w:tr>
      <w:tr w14:paraId="7FA14A8D"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F03CF45" w14:textId="77777777">
            <w:pPr>
              <w:rPr>
                <w:rFonts w:cs="Arial"/>
                <w:bCs/>
                <w:color w:val="000000"/>
                <w:sz w:val="28"/>
                <w:szCs w:val="28"/>
              </w:rPr>
            </w:pPr>
            <w:r w:rsidRPr="00C30432">
              <w:rPr>
                <w:rFonts w:cs="Arial"/>
                <w:b/>
                <w:bCs/>
                <w:color w:val="000000"/>
                <w:sz w:val="28"/>
                <w:szCs w:val="28"/>
              </w:rPr>
              <w:t>Pregnancy and Maternity</w:t>
            </w:r>
          </w:p>
        </w:tc>
        <w:tc>
          <w:tcPr>
            <w:tcW w:w="0" w:type="auto"/>
            <w:vAlign w:val="center"/>
            <w:hideMark/>
          </w:tcPr>
          <w:p w:rsidR="000547F4" w:rsidRPr="00C30432" w:rsidP="000547F4" w14:paraId="10335359"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1C114989" w14:textId="77777777">
            <w:pPr>
              <w:rPr>
                <w:rFonts w:cs="Arial"/>
                <w:bCs/>
                <w:color w:val="000000"/>
                <w:sz w:val="28"/>
                <w:szCs w:val="28"/>
              </w:rPr>
            </w:pPr>
            <w:r w:rsidRPr="00C30432">
              <w:rPr>
                <w:rFonts w:cs="Arial"/>
                <w:bCs/>
                <w:color w:val="000000"/>
                <w:sz w:val="28"/>
                <w:szCs w:val="28"/>
              </w:rPr>
              <w:t>Pregnant tenants or new parents may have difficulty with moving or unsuitable temporary housing.</w:t>
            </w:r>
          </w:p>
        </w:tc>
        <w:tc>
          <w:tcPr>
            <w:tcW w:w="0" w:type="auto"/>
            <w:vAlign w:val="center"/>
            <w:hideMark/>
          </w:tcPr>
          <w:p w:rsidR="000547F4" w:rsidRPr="00C30432" w:rsidP="000547F4" w14:paraId="5E3EDC31" w14:textId="77777777">
            <w:pPr>
              <w:rPr>
                <w:rFonts w:cs="Arial"/>
                <w:bCs/>
                <w:color w:val="000000"/>
                <w:sz w:val="28"/>
                <w:szCs w:val="28"/>
              </w:rPr>
            </w:pPr>
            <w:r w:rsidRPr="00C30432">
              <w:rPr>
                <w:rFonts w:cs="Arial"/>
                <w:bCs/>
                <w:color w:val="000000"/>
                <w:sz w:val="28"/>
                <w:szCs w:val="28"/>
              </w:rPr>
              <w:t>Prioritise ground floor or lift access, flexible scheduling, and additional support.</w:t>
            </w:r>
          </w:p>
        </w:tc>
        <w:tc>
          <w:tcPr>
            <w:tcW w:w="0" w:type="auto"/>
            <w:vAlign w:val="center"/>
            <w:hideMark/>
          </w:tcPr>
          <w:p w:rsidR="000547F4" w:rsidRPr="00C30432" w:rsidP="000547F4" w14:paraId="2C923252" w14:textId="259DF56A">
            <w:pPr>
              <w:rPr>
                <w:rFonts w:cs="Arial"/>
                <w:bCs/>
                <w:color w:val="000000"/>
                <w:sz w:val="28"/>
                <w:szCs w:val="28"/>
              </w:rPr>
            </w:pPr>
            <w:r w:rsidRPr="000547F4">
              <w:rPr>
                <w:rFonts w:cs="Arial"/>
                <w:bCs/>
                <w:color w:val="000000"/>
                <w:sz w:val="28"/>
                <w:szCs w:val="28"/>
              </w:rPr>
              <w:t>Tenancy and Estate Management Team</w:t>
            </w:r>
          </w:p>
        </w:tc>
      </w:tr>
      <w:tr w14:paraId="22997E02"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69B61076" w14:textId="77777777">
            <w:pPr>
              <w:rPr>
                <w:rFonts w:cs="Arial"/>
                <w:bCs/>
                <w:color w:val="000000"/>
                <w:sz w:val="28"/>
                <w:szCs w:val="28"/>
              </w:rPr>
            </w:pPr>
            <w:r w:rsidRPr="00C30432">
              <w:rPr>
                <w:rFonts w:cs="Arial"/>
                <w:b/>
                <w:bCs/>
                <w:color w:val="000000"/>
                <w:sz w:val="28"/>
                <w:szCs w:val="28"/>
              </w:rPr>
              <w:t>Race</w:t>
            </w:r>
          </w:p>
        </w:tc>
        <w:tc>
          <w:tcPr>
            <w:tcW w:w="0" w:type="auto"/>
            <w:vAlign w:val="center"/>
            <w:hideMark/>
          </w:tcPr>
          <w:p w:rsidR="000547F4" w:rsidRPr="00C30432" w:rsidP="000547F4" w14:paraId="08A267D8"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59768F4D" w14:textId="77777777">
            <w:pPr>
              <w:rPr>
                <w:rFonts w:cs="Arial"/>
                <w:bCs/>
                <w:color w:val="000000"/>
                <w:sz w:val="28"/>
                <w:szCs w:val="28"/>
              </w:rPr>
            </w:pPr>
            <w:r w:rsidRPr="00C30432">
              <w:rPr>
                <w:rFonts w:cs="Arial"/>
                <w:bCs/>
                <w:color w:val="000000"/>
                <w:sz w:val="28"/>
                <w:szCs w:val="28"/>
              </w:rPr>
              <w:t>Cultural/language barriers could affect understanding of the process or housing preferences.</w:t>
            </w:r>
          </w:p>
        </w:tc>
        <w:tc>
          <w:tcPr>
            <w:tcW w:w="0" w:type="auto"/>
            <w:vAlign w:val="center"/>
            <w:hideMark/>
          </w:tcPr>
          <w:p w:rsidR="000547F4" w:rsidRPr="00C30432" w:rsidP="000547F4" w14:paraId="346461E7" w14:textId="77777777">
            <w:pPr>
              <w:rPr>
                <w:rFonts w:cs="Arial"/>
                <w:bCs/>
                <w:color w:val="000000"/>
                <w:sz w:val="28"/>
                <w:szCs w:val="28"/>
              </w:rPr>
            </w:pPr>
            <w:r w:rsidRPr="00C30432">
              <w:rPr>
                <w:rFonts w:cs="Arial"/>
                <w:bCs/>
                <w:color w:val="000000"/>
                <w:sz w:val="28"/>
                <w:szCs w:val="28"/>
              </w:rPr>
              <w:t>Provide interpreting services and ensure culturally appropriate communication/support.</w:t>
            </w:r>
          </w:p>
        </w:tc>
        <w:tc>
          <w:tcPr>
            <w:tcW w:w="0" w:type="auto"/>
            <w:vAlign w:val="center"/>
            <w:hideMark/>
          </w:tcPr>
          <w:p w:rsidR="000547F4" w:rsidRPr="00C30432" w:rsidP="000547F4" w14:paraId="0A0CA819" w14:textId="395FBB47">
            <w:pPr>
              <w:rPr>
                <w:rFonts w:cs="Arial"/>
                <w:bCs/>
                <w:color w:val="000000"/>
                <w:sz w:val="28"/>
                <w:szCs w:val="28"/>
              </w:rPr>
            </w:pPr>
            <w:r>
              <w:rPr>
                <w:rFonts w:cs="Arial"/>
                <w:bCs/>
                <w:color w:val="000000"/>
                <w:sz w:val="28"/>
                <w:szCs w:val="28"/>
              </w:rPr>
              <w:t>Housing</w:t>
            </w:r>
            <w:r w:rsidRPr="00C30432">
              <w:rPr>
                <w:rFonts w:cs="Arial"/>
                <w:bCs/>
                <w:color w:val="000000"/>
                <w:sz w:val="28"/>
                <w:szCs w:val="28"/>
              </w:rPr>
              <w:t xml:space="preserve"> Services, </w:t>
            </w:r>
            <w:r w:rsidRPr="000547F4">
              <w:rPr>
                <w:rFonts w:cs="Arial"/>
                <w:bCs/>
                <w:color w:val="000000"/>
                <w:sz w:val="28"/>
                <w:szCs w:val="28"/>
              </w:rPr>
              <w:t>Tenancy and Estate Management Team</w:t>
            </w:r>
            <w:r w:rsidRPr="00C30432">
              <w:rPr>
                <w:rFonts w:cs="Arial"/>
                <w:bCs/>
                <w:color w:val="000000"/>
                <w:sz w:val="28"/>
                <w:szCs w:val="28"/>
              </w:rPr>
              <w:t>/ Throughout decant process</w:t>
            </w:r>
          </w:p>
        </w:tc>
      </w:tr>
      <w:tr w14:paraId="01B60786"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7583CBAB" w14:textId="77777777">
            <w:pPr>
              <w:rPr>
                <w:rFonts w:cs="Arial"/>
                <w:bCs/>
                <w:color w:val="000000"/>
                <w:sz w:val="28"/>
                <w:szCs w:val="28"/>
              </w:rPr>
            </w:pPr>
            <w:r w:rsidRPr="00C30432">
              <w:rPr>
                <w:rFonts w:cs="Arial"/>
                <w:b/>
                <w:bCs/>
                <w:color w:val="000000"/>
                <w:sz w:val="28"/>
                <w:szCs w:val="28"/>
              </w:rPr>
              <w:t>Religion or Belief</w:t>
            </w:r>
          </w:p>
        </w:tc>
        <w:tc>
          <w:tcPr>
            <w:tcW w:w="0" w:type="auto"/>
            <w:vAlign w:val="center"/>
            <w:hideMark/>
          </w:tcPr>
          <w:p w:rsidR="000547F4" w:rsidRPr="00C30432" w:rsidP="000547F4" w14:paraId="5C29611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3A7FC1CC" w14:textId="77777777">
            <w:pPr>
              <w:rPr>
                <w:rFonts w:cs="Arial"/>
                <w:bCs/>
                <w:color w:val="000000"/>
                <w:sz w:val="28"/>
                <w:szCs w:val="28"/>
              </w:rPr>
            </w:pPr>
            <w:r w:rsidRPr="00C30432">
              <w:rPr>
                <w:rFonts w:cs="Arial"/>
                <w:bCs/>
                <w:color w:val="000000"/>
                <w:sz w:val="28"/>
                <w:szCs w:val="28"/>
              </w:rPr>
              <w:t>Beliefs may influence preferences for location, type of housing, or proximity to places of worship.</w:t>
            </w:r>
          </w:p>
        </w:tc>
        <w:tc>
          <w:tcPr>
            <w:tcW w:w="0" w:type="auto"/>
            <w:vAlign w:val="center"/>
            <w:hideMark/>
          </w:tcPr>
          <w:p w:rsidR="000547F4" w:rsidRPr="00C30432" w:rsidP="000547F4" w14:paraId="523A794A" w14:textId="77777777">
            <w:pPr>
              <w:rPr>
                <w:rFonts w:cs="Arial"/>
                <w:bCs/>
                <w:color w:val="000000"/>
                <w:sz w:val="28"/>
                <w:szCs w:val="28"/>
              </w:rPr>
            </w:pPr>
            <w:r w:rsidRPr="00C30432">
              <w:rPr>
                <w:rFonts w:cs="Arial"/>
                <w:bCs/>
                <w:color w:val="000000"/>
                <w:sz w:val="28"/>
                <w:szCs w:val="28"/>
              </w:rPr>
              <w:t>Where possible, consider location requests and accommodate needs related to religious practice.</w:t>
            </w:r>
          </w:p>
        </w:tc>
        <w:tc>
          <w:tcPr>
            <w:tcW w:w="0" w:type="auto"/>
            <w:vAlign w:val="center"/>
            <w:hideMark/>
          </w:tcPr>
          <w:p w:rsidR="000547F4" w:rsidRPr="00C30432" w:rsidP="000547F4" w14:paraId="284BDEFB" w14:textId="77777777">
            <w:pPr>
              <w:rPr>
                <w:rFonts w:cs="Arial"/>
                <w:bCs/>
                <w:color w:val="000000"/>
                <w:sz w:val="28"/>
                <w:szCs w:val="28"/>
              </w:rPr>
            </w:pPr>
            <w:r w:rsidRPr="00C30432">
              <w:rPr>
                <w:rFonts w:cs="Arial"/>
                <w:bCs/>
                <w:color w:val="000000"/>
                <w:sz w:val="28"/>
                <w:szCs w:val="28"/>
              </w:rPr>
              <w:t>Housing Officers / During planning stage</w:t>
            </w:r>
          </w:p>
        </w:tc>
      </w:tr>
      <w:tr w14:paraId="228F7FC1"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F4B45F8" w14:textId="77777777">
            <w:pPr>
              <w:rPr>
                <w:rFonts w:cs="Arial"/>
                <w:bCs/>
                <w:color w:val="000000"/>
                <w:sz w:val="28"/>
                <w:szCs w:val="28"/>
              </w:rPr>
            </w:pPr>
            <w:r w:rsidRPr="00C30432">
              <w:rPr>
                <w:rFonts w:cs="Arial"/>
                <w:b/>
                <w:bCs/>
                <w:color w:val="000000"/>
                <w:sz w:val="28"/>
                <w:szCs w:val="28"/>
              </w:rPr>
              <w:t>Sex</w:t>
            </w:r>
          </w:p>
        </w:tc>
        <w:tc>
          <w:tcPr>
            <w:tcW w:w="0" w:type="auto"/>
            <w:vAlign w:val="center"/>
            <w:hideMark/>
          </w:tcPr>
          <w:p w:rsidR="000547F4" w:rsidRPr="00C30432" w:rsidP="000547F4" w14:paraId="45C80DF7" w14:textId="77777777">
            <w:pPr>
              <w:rPr>
                <w:rFonts w:cs="Arial"/>
                <w:bCs/>
                <w:color w:val="000000"/>
                <w:sz w:val="28"/>
                <w:szCs w:val="28"/>
              </w:rPr>
            </w:pPr>
            <w:r w:rsidRPr="00C30432">
              <w:rPr>
                <w:rFonts w:cs="Arial"/>
                <w:bCs/>
                <w:color w:val="000000"/>
                <w:sz w:val="28"/>
                <w:szCs w:val="28"/>
              </w:rPr>
              <w:t>Ne</w:t>
            </w:r>
          </w:p>
        </w:tc>
        <w:tc>
          <w:tcPr>
            <w:tcW w:w="0" w:type="auto"/>
            <w:vAlign w:val="center"/>
            <w:hideMark/>
          </w:tcPr>
          <w:p w:rsidR="000547F4" w:rsidRPr="00C30432" w:rsidP="000547F4" w14:paraId="26CCA987" w14:textId="77777777">
            <w:pPr>
              <w:rPr>
                <w:rFonts w:cs="Arial"/>
                <w:bCs/>
                <w:color w:val="000000"/>
                <w:sz w:val="28"/>
                <w:szCs w:val="28"/>
              </w:rPr>
            </w:pPr>
            <w:r w:rsidRPr="00C30432">
              <w:rPr>
                <w:rFonts w:cs="Arial"/>
                <w:bCs/>
                <w:color w:val="000000"/>
                <w:sz w:val="28"/>
                <w:szCs w:val="28"/>
              </w:rPr>
              <w:t>No direct impact, but ensure gender-specific safety concerns (e.g., domestic abuse survivors) are considered.</w:t>
            </w:r>
          </w:p>
        </w:tc>
        <w:tc>
          <w:tcPr>
            <w:tcW w:w="0" w:type="auto"/>
            <w:vAlign w:val="center"/>
            <w:hideMark/>
          </w:tcPr>
          <w:p w:rsidR="000547F4" w:rsidRPr="00C30432" w:rsidP="000547F4" w14:paraId="14906FFF" w14:textId="77777777">
            <w:pPr>
              <w:rPr>
                <w:rFonts w:cs="Arial"/>
                <w:bCs/>
                <w:color w:val="000000"/>
                <w:sz w:val="28"/>
                <w:szCs w:val="28"/>
              </w:rPr>
            </w:pPr>
            <w:r w:rsidRPr="00C30432">
              <w:rPr>
                <w:rFonts w:cs="Arial"/>
                <w:bCs/>
                <w:color w:val="000000"/>
                <w:sz w:val="28"/>
                <w:szCs w:val="28"/>
              </w:rPr>
              <w:t>Conduct risk assessments and offer safe, appropriate housing.</w:t>
            </w:r>
          </w:p>
        </w:tc>
        <w:tc>
          <w:tcPr>
            <w:tcW w:w="0" w:type="auto"/>
            <w:vAlign w:val="center"/>
            <w:hideMark/>
          </w:tcPr>
          <w:p w:rsidR="000547F4" w:rsidRPr="00C30432" w:rsidP="000547F4" w14:paraId="042535D9" w14:textId="095FC367">
            <w:pPr>
              <w:rPr>
                <w:rFonts w:cs="Arial"/>
                <w:bCs/>
                <w:color w:val="000000"/>
                <w:sz w:val="28"/>
                <w:szCs w:val="28"/>
              </w:rPr>
            </w:pPr>
            <w:r>
              <w:rPr>
                <w:rFonts w:cs="Arial"/>
                <w:bCs/>
                <w:color w:val="000000"/>
                <w:sz w:val="28"/>
                <w:szCs w:val="28"/>
              </w:rPr>
              <w:t>Tenancy and Estate Management Team</w:t>
            </w:r>
            <w:r w:rsidRPr="00C30432">
              <w:rPr>
                <w:rFonts w:cs="Arial"/>
                <w:bCs/>
                <w:color w:val="000000"/>
                <w:sz w:val="28"/>
                <w:szCs w:val="28"/>
              </w:rPr>
              <w:t xml:space="preserve"> / Ongoing</w:t>
            </w:r>
          </w:p>
        </w:tc>
      </w:tr>
      <w:tr w14:paraId="62FC5856"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7624D23F" w14:textId="77777777">
            <w:pPr>
              <w:rPr>
                <w:rFonts w:cs="Arial"/>
                <w:bCs/>
                <w:color w:val="000000"/>
                <w:sz w:val="28"/>
                <w:szCs w:val="28"/>
              </w:rPr>
            </w:pPr>
            <w:r w:rsidRPr="00C30432">
              <w:rPr>
                <w:rFonts w:cs="Arial"/>
                <w:b/>
                <w:bCs/>
                <w:color w:val="000000"/>
                <w:sz w:val="28"/>
                <w:szCs w:val="28"/>
              </w:rPr>
              <w:t>Sexual Orientation</w:t>
            </w:r>
          </w:p>
        </w:tc>
        <w:tc>
          <w:tcPr>
            <w:tcW w:w="0" w:type="auto"/>
            <w:vAlign w:val="center"/>
            <w:hideMark/>
          </w:tcPr>
          <w:p w:rsidR="000547F4" w:rsidRPr="00C30432" w:rsidP="000547F4" w14:paraId="7DA2B17F"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658043A7" w14:textId="77777777">
            <w:pPr>
              <w:rPr>
                <w:rFonts w:cs="Arial"/>
                <w:bCs/>
                <w:color w:val="000000"/>
                <w:sz w:val="28"/>
                <w:szCs w:val="28"/>
              </w:rPr>
            </w:pPr>
            <w:r w:rsidRPr="00C30432">
              <w:rPr>
                <w:rFonts w:cs="Arial"/>
                <w:bCs/>
                <w:color w:val="000000"/>
                <w:sz w:val="28"/>
                <w:szCs w:val="28"/>
              </w:rPr>
              <w:t>LGBTQ+ tenants may feel vulnerable when relocated to unfamiliar or less inclusive areas.</w:t>
            </w:r>
          </w:p>
        </w:tc>
        <w:tc>
          <w:tcPr>
            <w:tcW w:w="0" w:type="auto"/>
            <w:vAlign w:val="center"/>
            <w:hideMark/>
          </w:tcPr>
          <w:p w:rsidR="000547F4" w:rsidRPr="00C30432" w:rsidP="000547F4" w14:paraId="04B05AE1" w14:textId="77777777">
            <w:pPr>
              <w:rPr>
                <w:rFonts w:cs="Arial"/>
                <w:bCs/>
                <w:color w:val="000000"/>
                <w:sz w:val="28"/>
                <w:szCs w:val="28"/>
              </w:rPr>
            </w:pPr>
            <w:r w:rsidRPr="00C30432">
              <w:rPr>
                <w:rFonts w:cs="Arial"/>
                <w:bCs/>
                <w:color w:val="000000"/>
                <w:sz w:val="28"/>
                <w:szCs w:val="28"/>
              </w:rPr>
              <w:t>Offer discretion, consider area sensitivity, and ensure inclusive engagement throughout.</w:t>
            </w:r>
          </w:p>
        </w:tc>
        <w:tc>
          <w:tcPr>
            <w:tcW w:w="0" w:type="auto"/>
            <w:vAlign w:val="center"/>
            <w:hideMark/>
          </w:tcPr>
          <w:p w:rsidR="000547F4" w:rsidRPr="00C30432" w:rsidP="000547F4" w14:paraId="7C9B0ADA" w14:textId="5F9D1481">
            <w:pPr>
              <w:rPr>
                <w:rFonts w:cs="Arial"/>
                <w:bCs/>
                <w:color w:val="000000"/>
                <w:sz w:val="28"/>
                <w:szCs w:val="28"/>
              </w:rPr>
            </w:pPr>
            <w:r>
              <w:rPr>
                <w:rFonts w:cs="Arial"/>
                <w:bCs/>
                <w:color w:val="000000"/>
                <w:sz w:val="28"/>
                <w:szCs w:val="28"/>
              </w:rPr>
              <w:t>Tenancy and Estate Management and Housing Allocations Team</w:t>
            </w:r>
            <w:r w:rsidRPr="00C30432">
              <w:rPr>
                <w:rFonts w:cs="Arial"/>
                <w:bCs/>
                <w:color w:val="000000"/>
                <w:sz w:val="28"/>
                <w:szCs w:val="28"/>
              </w:rPr>
              <w:t xml:space="preserve"> / At offer and review stage</w:t>
            </w:r>
          </w:p>
        </w:tc>
      </w:tr>
      <w:tr w14:paraId="3BD9BA8E"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05D5C0EC" w14:textId="77777777">
            <w:pPr>
              <w:rPr>
                <w:rFonts w:cs="Arial"/>
                <w:bCs/>
                <w:color w:val="000000"/>
                <w:sz w:val="28"/>
                <w:szCs w:val="28"/>
              </w:rPr>
            </w:pPr>
            <w:r w:rsidRPr="00C30432">
              <w:rPr>
                <w:rFonts w:cs="Arial"/>
                <w:b/>
                <w:bCs/>
                <w:color w:val="000000"/>
                <w:sz w:val="28"/>
                <w:szCs w:val="28"/>
              </w:rPr>
              <w:t>Carer</w:t>
            </w:r>
          </w:p>
        </w:tc>
        <w:tc>
          <w:tcPr>
            <w:tcW w:w="0" w:type="auto"/>
            <w:vAlign w:val="center"/>
            <w:hideMark/>
          </w:tcPr>
          <w:p w:rsidR="000547F4" w:rsidRPr="00C30432" w:rsidP="000547F4" w14:paraId="7456E3DD"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44709616" w14:textId="77777777">
            <w:pPr>
              <w:rPr>
                <w:rFonts w:cs="Arial"/>
                <w:bCs/>
                <w:color w:val="000000"/>
                <w:sz w:val="28"/>
                <w:szCs w:val="28"/>
              </w:rPr>
            </w:pPr>
            <w:r w:rsidRPr="00C30432">
              <w:rPr>
                <w:rFonts w:cs="Arial"/>
                <w:bCs/>
                <w:color w:val="000000"/>
                <w:sz w:val="28"/>
                <w:szCs w:val="28"/>
              </w:rPr>
              <w:t>Carers may rely on location for proximity to those they support or for access to services.</w:t>
            </w:r>
          </w:p>
        </w:tc>
        <w:tc>
          <w:tcPr>
            <w:tcW w:w="0" w:type="auto"/>
            <w:vAlign w:val="center"/>
            <w:hideMark/>
          </w:tcPr>
          <w:p w:rsidR="000547F4" w:rsidRPr="00C30432" w:rsidP="000547F4" w14:paraId="2E3AAD20" w14:textId="77777777">
            <w:pPr>
              <w:rPr>
                <w:rFonts w:cs="Arial"/>
                <w:bCs/>
                <w:color w:val="000000"/>
                <w:sz w:val="28"/>
                <w:szCs w:val="28"/>
              </w:rPr>
            </w:pPr>
            <w:r w:rsidRPr="00C30432">
              <w:rPr>
                <w:rFonts w:cs="Arial"/>
                <w:bCs/>
                <w:color w:val="000000"/>
                <w:sz w:val="28"/>
                <w:szCs w:val="28"/>
              </w:rPr>
              <w:t>Prioritise continuity of care and assess needs of both carer and care recipient.</w:t>
            </w:r>
          </w:p>
        </w:tc>
        <w:tc>
          <w:tcPr>
            <w:tcW w:w="0" w:type="auto"/>
            <w:vAlign w:val="center"/>
            <w:hideMark/>
          </w:tcPr>
          <w:p w:rsidR="000547F4" w:rsidRPr="00C30432" w:rsidP="000547F4" w14:paraId="1C106404" w14:textId="0D41B7E0">
            <w:pPr>
              <w:rPr>
                <w:rFonts w:cs="Arial"/>
                <w:bCs/>
                <w:color w:val="000000"/>
                <w:sz w:val="28"/>
                <w:szCs w:val="28"/>
              </w:rPr>
            </w:pPr>
            <w:r w:rsidRPr="003C160B">
              <w:rPr>
                <w:rFonts w:cs="Arial"/>
                <w:bCs/>
                <w:color w:val="000000"/>
                <w:sz w:val="28"/>
                <w:szCs w:val="28"/>
              </w:rPr>
              <w:t>Tenancy and Estate Management and Housing Allocations Team</w:t>
            </w:r>
            <w:r w:rsidRPr="00C30432">
              <w:rPr>
                <w:rFonts w:cs="Arial"/>
                <w:bCs/>
                <w:color w:val="000000"/>
                <w:sz w:val="28"/>
                <w:szCs w:val="28"/>
              </w:rPr>
              <w:t xml:space="preserve"> </w:t>
            </w:r>
            <w:r w:rsidRPr="00C30432">
              <w:rPr>
                <w:rFonts w:cs="Arial"/>
                <w:bCs/>
                <w:color w:val="000000"/>
                <w:sz w:val="28"/>
                <w:szCs w:val="28"/>
              </w:rPr>
              <w:t>/ As part of housing needs assessment</w:t>
            </w:r>
          </w:p>
        </w:tc>
      </w:tr>
      <w:tr w14:paraId="0833D451"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2AD6AFE8" w14:textId="77777777">
            <w:pPr>
              <w:rPr>
                <w:rFonts w:cs="Arial"/>
                <w:bCs/>
                <w:color w:val="000000"/>
                <w:sz w:val="28"/>
                <w:szCs w:val="28"/>
              </w:rPr>
            </w:pPr>
            <w:r w:rsidRPr="00C30432">
              <w:rPr>
                <w:rFonts w:cs="Arial"/>
                <w:b/>
                <w:bCs/>
                <w:color w:val="000000"/>
                <w:sz w:val="28"/>
                <w:szCs w:val="28"/>
              </w:rPr>
              <w:t>Low Income Groups</w:t>
            </w:r>
          </w:p>
        </w:tc>
        <w:tc>
          <w:tcPr>
            <w:tcW w:w="0" w:type="auto"/>
            <w:vAlign w:val="center"/>
            <w:hideMark/>
          </w:tcPr>
          <w:p w:rsidR="000547F4" w:rsidRPr="00C30432" w:rsidP="000547F4" w14:paraId="0927145A"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3B447598" w14:textId="77777777">
            <w:pPr>
              <w:rPr>
                <w:rFonts w:cs="Arial"/>
                <w:bCs/>
                <w:color w:val="000000"/>
                <w:sz w:val="28"/>
                <w:szCs w:val="28"/>
              </w:rPr>
            </w:pPr>
            <w:r w:rsidRPr="00C30432">
              <w:rPr>
                <w:rFonts w:cs="Arial"/>
                <w:bCs/>
                <w:color w:val="000000"/>
                <w:sz w:val="28"/>
                <w:szCs w:val="28"/>
              </w:rPr>
              <w:t>Moving costs or disruption to benefits may disproportionately affect low-income tenants.</w:t>
            </w:r>
          </w:p>
        </w:tc>
        <w:tc>
          <w:tcPr>
            <w:tcW w:w="0" w:type="auto"/>
            <w:vAlign w:val="center"/>
            <w:hideMark/>
          </w:tcPr>
          <w:p w:rsidR="000547F4" w:rsidRPr="00C30432" w:rsidP="000547F4" w14:paraId="4C602B33" w14:textId="77777777">
            <w:pPr>
              <w:rPr>
                <w:rFonts w:cs="Arial"/>
                <w:bCs/>
                <w:color w:val="000000"/>
                <w:sz w:val="28"/>
                <w:szCs w:val="28"/>
              </w:rPr>
            </w:pPr>
            <w:r w:rsidRPr="00C30432">
              <w:rPr>
                <w:rFonts w:cs="Arial"/>
                <w:bCs/>
                <w:color w:val="000000"/>
                <w:sz w:val="28"/>
                <w:szCs w:val="28"/>
              </w:rPr>
              <w:t>Cover/remit removal costs, assist with benefit continuity, provide financial advice.</w:t>
            </w:r>
          </w:p>
        </w:tc>
        <w:tc>
          <w:tcPr>
            <w:tcW w:w="0" w:type="auto"/>
            <w:vAlign w:val="center"/>
            <w:hideMark/>
          </w:tcPr>
          <w:p w:rsidR="000547F4" w:rsidRPr="00C30432" w:rsidP="000547F4" w14:paraId="20661B58" w14:textId="12541506">
            <w:pPr>
              <w:rPr>
                <w:rFonts w:cs="Arial"/>
                <w:bCs/>
                <w:color w:val="000000"/>
                <w:sz w:val="28"/>
                <w:szCs w:val="28"/>
              </w:rPr>
            </w:pPr>
            <w:r w:rsidRPr="003C160B">
              <w:rPr>
                <w:rFonts w:cs="Arial"/>
                <w:bCs/>
                <w:color w:val="000000"/>
                <w:sz w:val="28"/>
                <w:szCs w:val="28"/>
              </w:rPr>
              <w:t>Tenancy and Estate Management and Housing Allocations Team</w:t>
            </w:r>
            <w:r>
              <w:rPr>
                <w:rFonts w:cs="Arial"/>
                <w:bCs/>
                <w:color w:val="000000"/>
                <w:sz w:val="28"/>
                <w:szCs w:val="28"/>
              </w:rPr>
              <w:t xml:space="preserve"> and Income Support Team</w:t>
            </w:r>
            <w:r w:rsidRPr="00C30432">
              <w:rPr>
                <w:rFonts w:cs="Arial"/>
                <w:bCs/>
                <w:color w:val="000000"/>
                <w:sz w:val="28"/>
                <w:szCs w:val="28"/>
              </w:rPr>
              <w:t xml:space="preserve"> </w:t>
            </w:r>
            <w:r w:rsidRPr="00C30432">
              <w:rPr>
                <w:rFonts w:cs="Arial"/>
                <w:bCs/>
                <w:color w:val="000000"/>
                <w:sz w:val="28"/>
                <w:szCs w:val="28"/>
              </w:rPr>
              <w:t>/ Prior to and during move</w:t>
            </w:r>
          </w:p>
        </w:tc>
      </w:tr>
      <w:tr w14:paraId="5B2BD37D"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4764D6A1" w14:textId="77777777">
            <w:pPr>
              <w:rPr>
                <w:rFonts w:cs="Arial"/>
                <w:bCs/>
                <w:color w:val="000000"/>
                <w:sz w:val="28"/>
                <w:szCs w:val="28"/>
              </w:rPr>
            </w:pPr>
            <w:r w:rsidRPr="00C30432">
              <w:rPr>
                <w:rFonts w:cs="Arial"/>
                <w:b/>
                <w:bCs/>
                <w:color w:val="000000"/>
                <w:sz w:val="28"/>
                <w:szCs w:val="28"/>
              </w:rPr>
              <w:t>Veterans / Armed Forces Community</w:t>
            </w:r>
          </w:p>
        </w:tc>
        <w:tc>
          <w:tcPr>
            <w:tcW w:w="0" w:type="auto"/>
            <w:vAlign w:val="center"/>
            <w:hideMark/>
          </w:tcPr>
          <w:p w:rsidR="000547F4" w:rsidRPr="00C30432" w:rsidP="000547F4" w14:paraId="028AC8F7"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214C637B" w14:textId="77777777">
            <w:pPr>
              <w:rPr>
                <w:rFonts w:cs="Arial"/>
                <w:bCs/>
                <w:color w:val="000000"/>
                <w:sz w:val="28"/>
                <w:szCs w:val="28"/>
              </w:rPr>
            </w:pPr>
            <w:r w:rsidRPr="00C30432">
              <w:rPr>
                <w:rFonts w:cs="Arial"/>
                <w:bCs/>
                <w:color w:val="000000"/>
                <w:sz w:val="28"/>
                <w:szCs w:val="28"/>
              </w:rPr>
              <w:t>Veterans may have mental health needs or require consistent support networks.</w:t>
            </w:r>
          </w:p>
        </w:tc>
        <w:tc>
          <w:tcPr>
            <w:tcW w:w="0" w:type="auto"/>
            <w:vAlign w:val="center"/>
            <w:hideMark/>
          </w:tcPr>
          <w:p w:rsidR="000547F4" w:rsidRPr="00C30432" w:rsidP="000547F4" w14:paraId="0A911E8F" w14:textId="77777777">
            <w:pPr>
              <w:rPr>
                <w:rFonts w:cs="Arial"/>
                <w:bCs/>
                <w:color w:val="000000"/>
                <w:sz w:val="28"/>
                <w:szCs w:val="28"/>
              </w:rPr>
            </w:pPr>
            <w:r w:rsidRPr="00C30432">
              <w:rPr>
                <w:rFonts w:cs="Arial"/>
                <w:bCs/>
                <w:color w:val="000000"/>
                <w:sz w:val="28"/>
                <w:szCs w:val="28"/>
              </w:rPr>
              <w:t>Coordinate with Armed Forces Covenant leads to ensure appropriate, stable housing.</w:t>
            </w:r>
          </w:p>
        </w:tc>
        <w:tc>
          <w:tcPr>
            <w:tcW w:w="0" w:type="auto"/>
            <w:vAlign w:val="center"/>
            <w:hideMark/>
          </w:tcPr>
          <w:p w:rsidR="000547F4" w:rsidRPr="00C30432" w:rsidP="000547F4" w14:paraId="7C4E1941" w14:textId="67D84353">
            <w:pPr>
              <w:rPr>
                <w:rFonts w:cs="Arial"/>
                <w:bCs/>
                <w:color w:val="000000"/>
                <w:sz w:val="28"/>
                <w:szCs w:val="28"/>
              </w:rPr>
            </w:pPr>
            <w:r w:rsidRPr="003C160B">
              <w:rPr>
                <w:rFonts w:cs="Arial"/>
                <w:bCs/>
                <w:color w:val="000000"/>
                <w:sz w:val="28"/>
                <w:szCs w:val="28"/>
              </w:rPr>
              <w:t>Tenancy and Estate Management and Housing Allocations Team</w:t>
            </w:r>
            <w:r w:rsidRPr="00C30432">
              <w:rPr>
                <w:rFonts w:cs="Arial"/>
                <w:bCs/>
                <w:color w:val="000000"/>
                <w:sz w:val="28"/>
                <w:szCs w:val="28"/>
              </w:rPr>
              <w:t xml:space="preserve"> </w:t>
            </w:r>
            <w:r w:rsidRPr="00C30432">
              <w:rPr>
                <w:rFonts w:cs="Arial"/>
                <w:bCs/>
                <w:color w:val="000000"/>
                <w:sz w:val="28"/>
                <w:szCs w:val="28"/>
              </w:rPr>
              <w:t>/ Ongoing</w:t>
            </w:r>
          </w:p>
        </w:tc>
      </w:tr>
      <w:tr w14:paraId="14B4300C" w14:textId="77777777" w:rsidTr="00C30432">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0547F4" w:rsidRPr="00C30432" w:rsidP="000547F4" w14:paraId="3B5D4C6F" w14:textId="77777777">
            <w:pPr>
              <w:rPr>
                <w:rFonts w:cs="Arial"/>
                <w:bCs/>
                <w:color w:val="000000"/>
                <w:sz w:val="28"/>
                <w:szCs w:val="28"/>
              </w:rPr>
            </w:pPr>
            <w:r w:rsidRPr="00C30432">
              <w:rPr>
                <w:rFonts w:cs="Arial"/>
                <w:b/>
                <w:bCs/>
                <w:color w:val="000000"/>
                <w:sz w:val="28"/>
                <w:szCs w:val="28"/>
              </w:rPr>
              <w:t>Other</w:t>
            </w:r>
            <w:r w:rsidRPr="00C30432">
              <w:rPr>
                <w:rFonts w:cs="Arial"/>
                <w:bCs/>
                <w:color w:val="000000"/>
                <w:sz w:val="28"/>
                <w:szCs w:val="28"/>
              </w:rPr>
              <w:t xml:space="preserve"> (e.g. refugees, neurodivergent tenants)</w:t>
            </w:r>
          </w:p>
        </w:tc>
        <w:tc>
          <w:tcPr>
            <w:tcW w:w="0" w:type="auto"/>
            <w:vAlign w:val="center"/>
            <w:hideMark/>
          </w:tcPr>
          <w:p w:rsidR="000547F4" w:rsidRPr="00C30432" w:rsidP="000547F4" w14:paraId="054A18FE" w14:textId="77777777">
            <w:pPr>
              <w:rPr>
                <w:rFonts w:cs="Arial"/>
                <w:bCs/>
                <w:color w:val="000000"/>
                <w:sz w:val="28"/>
                <w:szCs w:val="28"/>
              </w:rPr>
            </w:pPr>
            <w:r w:rsidRPr="00C30432">
              <w:rPr>
                <w:rFonts w:cs="Arial"/>
                <w:bCs/>
                <w:color w:val="000000"/>
                <w:sz w:val="28"/>
                <w:szCs w:val="28"/>
              </w:rPr>
              <w:t>P</w:t>
            </w:r>
          </w:p>
        </w:tc>
        <w:tc>
          <w:tcPr>
            <w:tcW w:w="0" w:type="auto"/>
            <w:vAlign w:val="center"/>
            <w:hideMark/>
          </w:tcPr>
          <w:p w:rsidR="000547F4" w:rsidRPr="00C30432" w:rsidP="000547F4" w14:paraId="06AD7383" w14:textId="77777777">
            <w:pPr>
              <w:rPr>
                <w:rFonts w:cs="Arial"/>
                <w:bCs/>
                <w:color w:val="000000"/>
                <w:sz w:val="28"/>
                <w:szCs w:val="28"/>
              </w:rPr>
            </w:pPr>
            <w:r w:rsidRPr="00C30432">
              <w:rPr>
                <w:rFonts w:cs="Arial"/>
                <w:bCs/>
                <w:color w:val="000000"/>
                <w:sz w:val="28"/>
                <w:szCs w:val="28"/>
              </w:rPr>
              <w:t>May face higher stress, confusion, or challenges navigating decant processes.</w:t>
            </w:r>
          </w:p>
        </w:tc>
        <w:tc>
          <w:tcPr>
            <w:tcW w:w="0" w:type="auto"/>
            <w:vAlign w:val="center"/>
            <w:hideMark/>
          </w:tcPr>
          <w:p w:rsidR="000547F4" w:rsidRPr="00C30432" w:rsidP="000547F4" w14:paraId="473514A6" w14:textId="77777777">
            <w:pPr>
              <w:rPr>
                <w:rFonts w:cs="Arial"/>
                <w:bCs/>
                <w:color w:val="000000"/>
                <w:sz w:val="28"/>
                <w:szCs w:val="28"/>
              </w:rPr>
            </w:pPr>
            <w:r w:rsidRPr="00C30432">
              <w:rPr>
                <w:rFonts w:cs="Arial"/>
                <w:bCs/>
                <w:color w:val="000000"/>
                <w:sz w:val="28"/>
                <w:szCs w:val="28"/>
              </w:rPr>
              <w:t>Provide tailored support, plain-language communication, and check-in points pre/post move.</w:t>
            </w:r>
          </w:p>
        </w:tc>
        <w:tc>
          <w:tcPr>
            <w:tcW w:w="0" w:type="auto"/>
            <w:vAlign w:val="center"/>
            <w:hideMark/>
          </w:tcPr>
          <w:p w:rsidR="000547F4" w:rsidRPr="00C30432" w:rsidP="000547F4" w14:paraId="5A65F6A6" w14:textId="77777777">
            <w:pPr>
              <w:rPr>
                <w:rFonts w:cs="Arial"/>
                <w:bCs/>
                <w:color w:val="000000"/>
                <w:sz w:val="28"/>
                <w:szCs w:val="28"/>
              </w:rPr>
            </w:pPr>
            <w:r w:rsidRPr="00C30432">
              <w:rPr>
                <w:rFonts w:cs="Arial"/>
                <w:bCs/>
                <w:color w:val="000000"/>
                <w:sz w:val="28"/>
                <w:szCs w:val="28"/>
              </w:rPr>
              <w:t>Housing Inclusion Team / Every decant case</w:t>
            </w:r>
          </w:p>
        </w:tc>
      </w:tr>
    </w:tbl>
    <w:p w:rsidR="00D12407" w:rsidRPr="003A29A5" w:rsidP="006959C1" w14:paraId="52BE572F" w14:textId="77777777">
      <w:pPr>
        <w:rPr>
          <w:rFonts w:cs="Arial"/>
          <w:bCs/>
          <w:i/>
          <w:iCs/>
          <w:color w:val="000000"/>
          <w:sz w:val="28"/>
          <w:szCs w:val="28"/>
        </w:rPr>
      </w:pPr>
    </w:p>
    <w:p w:rsidR="00743FC9" w:rsidRPr="001944B6" w:rsidP="00743FC9" w14:paraId="676E266B" w14:textId="63BA3D22">
      <w:pPr>
        <w:rPr>
          <w:rFonts w:ascii="Arial" w:hAnsi="Arial" w:cs="Arial"/>
          <w:iCs/>
          <w:color w:val="000000"/>
          <w:sz w:val="28"/>
          <w:szCs w:val="28"/>
        </w:rPr>
        <w:sectPr w:rsidSect="00CB0F7A">
          <w:footerReference w:type="first" r:id="rId24"/>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rsidR="00743FC9" w:rsidP="00743FC9" w14:paraId="07C4B6DC" w14:textId="77777777"/>
    <w:tbl>
      <w:tblPr>
        <w:tblStyle w:val="GridTable1LightAccent1"/>
        <w:tblW w:w="4993" w:type="pct"/>
        <w:tblLook w:val="04A0"/>
      </w:tblPr>
      <w:tblGrid>
        <w:gridCol w:w="9590"/>
        <w:gridCol w:w="25"/>
      </w:tblGrid>
      <w:tr w14:paraId="5E1194CE" w14:textId="77777777" w:rsidTr="00743FC9">
        <w:tblPrEx>
          <w:tblW w:w="4993" w:type="pct"/>
          <w:tblLook w:val="04A0"/>
        </w:tblPrEx>
        <w:trPr>
          <w:gridAfter w:val="1"/>
          <w:wAfter w:w="13" w:type="dxa"/>
        </w:trPr>
        <w:tc>
          <w:tcPr>
            <w:tcW w:w="4987" w:type="pct"/>
          </w:tcPr>
          <w:p w:rsidR="00743FC9" w:rsidRPr="000F6A3C" w:rsidP="00EC01E1" w14:paraId="20A7BD30" w14:textId="77777777">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14:paraId="3C46C98B" w14:textId="77777777" w:rsidTr="00743FC9">
        <w:tblPrEx>
          <w:tblW w:w="4993" w:type="pct"/>
          <w:tblLook w:val="04A0"/>
        </w:tblPrEx>
        <w:trPr>
          <w:gridAfter w:val="1"/>
          <w:wAfter w:w="13" w:type="dxa"/>
          <w:trHeight w:val="2621"/>
        </w:trPr>
        <w:tc>
          <w:tcPr>
            <w:tcW w:w="4987" w:type="pct"/>
          </w:tcPr>
          <w:p w:rsidR="00D12407" w:rsidRPr="00D12407" w:rsidP="00D12407" w14:paraId="770E65AB" w14:textId="6E45B178">
            <w:pPr>
              <w:rPr>
                <w:rFonts w:cs="Arial"/>
                <w:b w:val="0"/>
                <w:bCs w:val="0"/>
                <w:color w:val="000000"/>
                <w:sz w:val="28"/>
                <w:szCs w:val="28"/>
              </w:rPr>
            </w:pPr>
            <w:r w:rsidRPr="00D12407">
              <w:rPr>
                <w:rFonts w:cs="Arial"/>
                <w:b w:val="0"/>
                <w:bCs w:val="0"/>
                <w:color w:val="000000"/>
                <w:sz w:val="28"/>
                <w:szCs w:val="28"/>
              </w:rPr>
              <w:t>1.</w:t>
            </w:r>
            <w:r w:rsidRPr="00D12407">
              <w:rPr>
                <w:rFonts w:cs="Arial"/>
                <w:b w:val="0"/>
                <w:bCs w:val="0"/>
                <w:color w:val="000000"/>
                <w:sz w:val="28"/>
                <w:szCs w:val="28"/>
              </w:rPr>
              <w:tab/>
            </w:r>
            <w:r w:rsidRPr="007907D3">
              <w:rPr>
                <w:rFonts w:cs="Arial"/>
                <w:color w:val="000000"/>
                <w:sz w:val="28"/>
                <w:szCs w:val="28"/>
              </w:rPr>
              <w:t>Accessible Communication:</w:t>
            </w:r>
            <w:r w:rsidRPr="00D12407">
              <w:rPr>
                <w:rFonts w:cs="Arial"/>
                <w:b w:val="0"/>
                <w:bCs w:val="0"/>
                <w:color w:val="000000"/>
                <w:sz w:val="28"/>
                <w:szCs w:val="28"/>
              </w:rPr>
              <w:t xml:space="preserve"> Update policy materials to be available in accessible formats.</w:t>
            </w:r>
          </w:p>
          <w:p w:rsidR="00D12407" w:rsidRPr="00D12407" w:rsidP="00D12407" w14:paraId="7E5F45EE"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Completed within 1 month, ongoing thereafter.</w:t>
            </w:r>
          </w:p>
          <w:p w:rsidR="00D12407" w:rsidRPr="00D12407" w:rsidP="00D12407" w14:paraId="280AC28F" w14:textId="02B62F40">
            <w:pPr>
              <w:rPr>
                <w:rFonts w:cs="Arial"/>
                <w:b w:val="0"/>
                <w:bCs w:val="0"/>
                <w:color w:val="000000"/>
                <w:sz w:val="28"/>
                <w:szCs w:val="28"/>
              </w:rPr>
            </w:pPr>
            <w:r w:rsidRPr="00D12407">
              <w:rPr>
                <w:rFonts w:cs="Arial"/>
                <w:b w:val="0"/>
                <w:bCs w:val="0"/>
                <w:color w:val="000000"/>
                <w:sz w:val="28"/>
                <w:szCs w:val="28"/>
              </w:rPr>
              <w:t>2.</w:t>
            </w:r>
            <w:r w:rsidRPr="00D12407">
              <w:rPr>
                <w:rFonts w:cs="Arial"/>
                <w:b w:val="0"/>
                <w:bCs w:val="0"/>
                <w:color w:val="000000"/>
                <w:sz w:val="28"/>
                <w:szCs w:val="28"/>
              </w:rPr>
              <w:tab/>
            </w:r>
            <w:r w:rsidRPr="007907D3">
              <w:rPr>
                <w:rFonts w:cs="Arial"/>
                <w:color w:val="000000"/>
                <w:sz w:val="28"/>
                <w:szCs w:val="28"/>
              </w:rPr>
              <w:t>Reasonable Adjustments:</w:t>
            </w:r>
            <w:r w:rsidRPr="00D12407">
              <w:rPr>
                <w:rFonts w:cs="Arial"/>
                <w:b w:val="0"/>
                <w:bCs w:val="0"/>
                <w:color w:val="000000"/>
                <w:sz w:val="28"/>
                <w:szCs w:val="28"/>
              </w:rPr>
              <w:t xml:space="preserve"> Provide reasonable adjustments for tenants with disabilities and other vulnerabilities.</w:t>
            </w:r>
          </w:p>
          <w:p w:rsidR="00D12407" w:rsidRPr="00D12407" w:rsidP="00D12407" w14:paraId="3FD6AE9B"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Immediate, with review every 3 months.</w:t>
            </w:r>
          </w:p>
          <w:p w:rsidR="00D12407" w:rsidRPr="00D12407" w:rsidP="00D12407" w14:paraId="29F5552A" w14:textId="77777777">
            <w:pPr>
              <w:rPr>
                <w:rFonts w:cs="Arial"/>
                <w:b w:val="0"/>
                <w:bCs w:val="0"/>
                <w:color w:val="000000"/>
                <w:sz w:val="28"/>
                <w:szCs w:val="28"/>
              </w:rPr>
            </w:pPr>
            <w:r w:rsidRPr="00D12407">
              <w:rPr>
                <w:rFonts w:cs="Arial"/>
                <w:b w:val="0"/>
                <w:bCs w:val="0"/>
                <w:color w:val="000000"/>
                <w:sz w:val="28"/>
                <w:szCs w:val="28"/>
              </w:rPr>
              <w:t>3.</w:t>
            </w:r>
            <w:r w:rsidRPr="00D12407">
              <w:rPr>
                <w:rFonts w:cs="Arial"/>
                <w:b w:val="0"/>
                <w:bCs w:val="0"/>
                <w:color w:val="000000"/>
                <w:sz w:val="28"/>
                <w:szCs w:val="28"/>
              </w:rPr>
              <w:tab/>
            </w:r>
            <w:r w:rsidRPr="007907D3">
              <w:rPr>
                <w:rFonts w:cs="Arial"/>
                <w:color w:val="000000"/>
                <w:sz w:val="28"/>
                <w:szCs w:val="28"/>
              </w:rPr>
              <w:t xml:space="preserve">Monitoring &amp; Feedback: </w:t>
            </w:r>
            <w:r w:rsidRPr="00D12407">
              <w:rPr>
                <w:rFonts w:cs="Arial"/>
                <w:b w:val="0"/>
                <w:bCs w:val="0"/>
                <w:color w:val="000000"/>
                <w:sz w:val="28"/>
                <w:szCs w:val="28"/>
              </w:rPr>
              <w:t>Implement a system for tracking feedback from tenants to assess impact on different groups.</w:t>
            </w:r>
          </w:p>
          <w:p w:rsidR="00D12407" w:rsidRPr="00D12407" w:rsidP="00D12407" w14:paraId="43D0F277"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surveys within 6 months.</w:t>
            </w:r>
          </w:p>
          <w:p w:rsidR="008B1F32" w:rsidP="00D12407" w14:paraId="0A948AA1" w14:textId="41F2A0A3">
            <w:pPr>
              <w:rPr>
                <w:rFonts w:cs="Arial"/>
                <w:b w:val="0"/>
                <w:bCs w:val="0"/>
                <w:color w:val="000000"/>
                <w:sz w:val="28"/>
                <w:szCs w:val="28"/>
              </w:rPr>
            </w:pPr>
            <w:r w:rsidRPr="00D12407">
              <w:rPr>
                <w:rFonts w:cs="Arial"/>
                <w:b w:val="0"/>
                <w:bCs w:val="0"/>
                <w:color w:val="000000"/>
                <w:sz w:val="28"/>
                <w:szCs w:val="28"/>
              </w:rPr>
              <w:t>4.</w:t>
            </w:r>
            <w:r w:rsidRPr="00D12407">
              <w:rPr>
                <w:rFonts w:cs="Arial"/>
                <w:b w:val="0"/>
                <w:bCs w:val="0"/>
                <w:color w:val="000000"/>
                <w:sz w:val="28"/>
                <w:szCs w:val="28"/>
              </w:rPr>
              <w:tab/>
            </w:r>
            <w:r w:rsidRPr="007907D3">
              <w:rPr>
                <w:rFonts w:cs="Arial"/>
                <w:color w:val="000000"/>
                <w:sz w:val="28"/>
                <w:szCs w:val="28"/>
              </w:rPr>
              <w:t>Policy Review:</w:t>
            </w:r>
            <w:r w:rsidRPr="00D12407">
              <w:rPr>
                <w:rFonts w:cs="Arial"/>
                <w:b w:val="0"/>
                <w:bCs w:val="0"/>
                <w:color w:val="000000"/>
                <w:sz w:val="28"/>
                <w:szCs w:val="28"/>
              </w:rPr>
              <w:t xml:space="preserve"> Conduct periodical reviews of these policies to address any emerging issues.</w:t>
            </w:r>
          </w:p>
          <w:p w:rsidR="008B1F32" w:rsidRPr="000F6A3C" w:rsidP="00EC01E1" w14:paraId="63868FC8" w14:textId="0E96E11C">
            <w:pPr>
              <w:rPr>
                <w:rFonts w:cs="Arial"/>
                <w:color w:val="000000"/>
                <w:sz w:val="28"/>
                <w:szCs w:val="28"/>
              </w:rPr>
            </w:pPr>
          </w:p>
        </w:tc>
      </w:tr>
      <w:tr w14:paraId="00CFB6B0" w14:textId="77777777" w:rsidTr="00743FC9">
        <w:tblPrEx>
          <w:tblW w:w="4993" w:type="pct"/>
          <w:tblLook w:val="04A0"/>
        </w:tblPrEx>
        <w:trPr>
          <w:gridAfter w:val="1"/>
          <w:wAfter w:w="13" w:type="dxa"/>
        </w:trPr>
        <w:tc>
          <w:tcPr>
            <w:tcW w:w="4987" w:type="pct"/>
          </w:tcPr>
          <w:p w:rsidR="00743FC9" w:rsidRPr="000F6A3C" w:rsidP="00EC01E1" w14:paraId="02AEA3D4" w14:textId="267DD8ED">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Pr="00B31B99" w:rsidR="00B31B99">
              <w:rPr>
                <w:rFonts w:ascii="Arial" w:hAnsi="Arial" w:cs="Arial"/>
                <w:b w:val="0"/>
                <w:color w:val="000000"/>
                <w:sz w:val="28"/>
                <w:szCs w:val="28"/>
              </w:rPr>
              <w:t>Section 6: Decision or actions proposed</w:t>
            </w:r>
          </w:p>
        </w:tc>
      </w:tr>
      <w:tr w14:paraId="6FDF32F4" w14:textId="77777777" w:rsidTr="00D12407">
        <w:tblPrEx>
          <w:tblW w:w="4993" w:type="pct"/>
          <w:tblLook w:val="04A0"/>
        </w:tblPrEx>
        <w:trPr>
          <w:trHeight w:val="1348"/>
        </w:trPr>
        <w:tc>
          <w:tcPr>
            <w:tcW w:w="5000" w:type="pct"/>
            <w:gridSpan w:val="2"/>
          </w:tcPr>
          <w:p w:rsidR="00743FC9" w:rsidRPr="00D12407" w:rsidP="00EC01E1" w14:paraId="3BA03A08" w14:textId="77777777">
            <w:pPr>
              <w:rPr>
                <w:rFonts w:cs="Arial"/>
                <w:b w:val="0"/>
                <w:bCs w:val="0"/>
                <w:color w:val="000000"/>
                <w:sz w:val="28"/>
                <w:szCs w:val="28"/>
              </w:rPr>
            </w:pPr>
          </w:p>
          <w:p w:rsidR="00743FC9" w:rsidRPr="00D12407" w:rsidP="00EC01E1" w14:paraId="0CDF294F" w14:textId="19C8CD76">
            <w:pPr>
              <w:rPr>
                <w:rFonts w:cs="Arial"/>
                <w:b w:val="0"/>
                <w:bCs w:val="0"/>
                <w:color w:val="000000"/>
                <w:sz w:val="28"/>
                <w:szCs w:val="28"/>
              </w:rPr>
            </w:pPr>
            <w:r w:rsidRPr="00D12407">
              <w:rPr>
                <w:rFonts w:cs="Arial"/>
                <w:b w:val="0"/>
                <w:bCs w:val="0"/>
                <w:color w:val="000000"/>
                <w:sz w:val="28"/>
                <w:szCs w:val="28"/>
              </w:rPr>
              <w:t xml:space="preserve">Approval of the </w:t>
            </w:r>
            <w:r w:rsidR="00064242">
              <w:rPr>
                <w:rFonts w:cs="Arial"/>
                <w:b w:val="0"/>
                <w:bCs w:val="0"/>
                <w:color w:val="000000"/>
                <w:sz w:val="28"/>
                <w:szCs w:val="28"/>
              </w:rPr>
              <w:t>Decant Policy so it can</w:t>
            </w:r>
            <w:r w:rsidRPr="00D12407">
              <w:rPr>
                <w:rFonts w:cs="Arial"/>
                <w:b w:val="0"/>
                <w:bCs w:val="0"/>
                <w:color w:val="000000"/>
                <w:sz w:val="28"/>
                <w:szCs w:val="28"/>
              </w:rPr>
              <w:t xml:space="preserve"> be implemented across the Housing Management service.</w:t>
            </w:r>
          </w:p>
          <w:p w:rsidR="00743FC9" w:rsidRPr="000F6A3C" w:rsidP="00EC01E1" w14:paraId="074EAA12" w14:textId="77777777">
            <w:pPr>
              <w:rPr>
                <w:rFonts w:cs="Arial"/>
                <w:color w:val="000000"/>
                <w:sz w:val="28"/>
                <w:szCs w:val="28"/>
              </w:rPr>
            </w:pPr>
          </w:p>
        </w:tc>
      </w:tr>
      <w:tr w14:paraId="3FBA500D" w14:textId="77777777" w:rsidTr="00743FC9">
        <w:tblPrEx>
          <w:tblW w:w="4993" w:type="pct"/>
          <w:tblLook w:val="04A0"/>
        </w:tblPrEx>
        <w:trPr>
          <w:gridAfter w:val="1"/>
          <w:wAfter w:w="13" w:type="dxa"/>
        </w:trPr>
        <w:tc>
          <w:tcPr>
            <w:tcW w:w="4987" w:type="pct"/>
          </w:tcPr>
          <w:p w:rsidR="00743FC9" w:rsidRPr="000F6A3C" w:rsidP="00EC01E1" w14:paraId="60B2A03E" w14:textId="77777777">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14:paraId="33882727" w14:textId="77777777" w:rsidTr="00743FC9">
        <w:tblPrEx>
          <w:tblW w:w="4993" w:type="pct"/>
          <w:tblLook w:val="04A0"/>
        </w:tblPrEx>
        <w:trPr>
          <w:trHeight w:val="2621"/>
        </w:trPr>
        <w:tc>
          <w:tcPr>
            <w:tcW w:w="5000" w:type="pct"/>
            <w:gridSpan w:val="2"/>
          </w:tcPr>
          <w:p w:rsidR="00743FC9" w:rsidRPr="000F6A3C" w:rsidP="00EC01E1" w14:paraId="699DE148" w14:textId="77777777">
            <w:pPr>
              <w:rPr>
                <w:rFonts w:cs="Arial"/>
                <w:color w:val="000000"/>
                <w:sz w:val="28"/>
                <w:szCs w:val="28"/>
              </w:rPr>
            </w:pPr>
          </w:p>
          <w:p w:rsidR="00743FC9" w:rsidRPr="00D12407" w:rsidP="00EC01E1" w14:paraId="68D869D6" w14:textId="08E74645">
            <w:pPr>
              <w:rPr>
                <w:rFonts w:cs="Arial"/>
                <w:b w:val="0"/>
                <w:bCs w:val="0"/>
                <w:color w:val="000000"/>
                <w:sz w:val="28"/>
                <w:szCs w:val="28"/>
              </w:rPr>
            </w:pPr>
            <w:r w:rsidRPr="00D12407">
              <w:rPr>
                <w:rFonts w:cs="Arial"/>
                <w:b w:val="0"/>
                <w:bCs w:val="0"/>
                <w:color w:val="000000"/>
                <w:sz w:val="28"/>
                <w:szCs w:val="28"/>
              </w:rPr>
              <w:t>We have a Housing Policy and Strategy Library that is updated regularly – this monitors when policies need to be reviewed and will include all the EQIA documents.</w:t>
            </w:r>
          </w:p>
          <w:p w:rsidR="008B1F32" w:rsidRPr="000F6A3C" w:rsidP="00EC01E1" w14:paraId="11E2594A" w14:textId="0872F0CE">
            <w:pPr>
              <w:rPr>
                <w:rFonts w:cs="Arial"/>
                <w:color w:val="000000"/>
                <w:sz w:val="28"/>
                <w:szCs w:val="28"/>
              </w:rPr>
            </w:pPr>
          </w:p>
        </w:tc>
      </w:tr>
    </w:tbl>
    <w:p w:rsidR="00743FC9" w:rsidP="00743FC9" w14:paraId="260FD759" w14:textId="77777777"/>
    <w:p w:rsidR="009E7427" w:rsidP="00743FC9" w14:paraId="51B6E19E" w14:textId="77777777"/>
    <w:p w:rsidR="009E7427" w:rsidP="00743FC9" w14:paraId="68D2E84B" w14:textId="48C53CB6">
      <w:pPr>
        <w:sectPr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tblPr>
      <w:tblGrid>
        <w:gridCol w:w="1308"/>
        <w:gridCol w:w="3101"/>
        <w:gridCol w:w="1819"/>
        <w:gridCol w:w="1459"/>
        <w:gridCol w:w="1699"/>
      </w:tblGrid>
      <w:tr w14:paraId="6D7D9C53" w14:textId="77777777" w:rsidTr="009E7427">
        <w:tblPrEx>
          <w:tblW w:w="5205" w:type="pct"/>
          <w:tblLook w:val="04A0"/>
        </w:tblPrEx>
        <w:trPr>
          <w:trHeight w:val="1240"/>
        </w:trPr>
        <w:tc>
          <w:tcPr>
            <w:tcW w:w="5000" w:type="pct"/>
            <w:gridSpan w:val="5"/>
          </w:tcPr>
          <w:p w:rsidR="009E7427" w:rsidRPr="00511217" w:rsidP="00AA13FC" w14:paraId="6FFA3985" w14:textId="77777777">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14:paraId="094C1BAF" w14:textId="77777777" w:rsidTr="009E7427">
        <w:tblPrEx>
          <w:tblW w:w="5205" w:type="pct"/>
          <w:tblLook w:val="04A0"/>
        </w:tblPrEx>
        <w:trPr>
          <w:trHeight w:val="2372"/>
        </w:trPr>
        <w:tc>
          <w:tcPr>
            <w:tcW w:w="697" w:type="pct"/>
          </w:tcPr>
          <w:p w:rsidR="009E7427" w:rsidRPr="00511217" w:rsidP="00AA13FC" w14:paraId="06E3037B" w14:textId="77777777">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rsidR="009E7427" w:rsidRPr="00511217" w:rsidP="00AA13FC" w14:paraId="4E094BBE" w14:textId="77777777">
            <w:pPr>
              <w:spacing w:before="120" w:after="120"/>
              <w:jc w:val="center"/>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rsidR="009E7427" w:rsidRPr="00511217" w:rsidP="00AA13FC" w14:paraId="55AB8B7E" w14:textId="77777777">
            <w:pPr>
              <w:spacing w:before="120" w:after="120"/>
              <w:jc w:val="center"/>
              <w:rPr>
                <w:rFonts w:ascii="Arial" w:hAnsi="Arial" w:cs="Arial"/>
                <w:b/>
                <w:bCs/>
                <w:sz w:val="24"/>
                <w:szCs w:val="24"/>
              </w:rPr>
            </w:pPr>
            <w:r w:rsidRPr="00511217">
              <w:rPr>
                <w:rFonts w:ascii="Arial" w:hAnsi="Arial" w:cs="Arial"/>
                <w:b/>
                <w:bCs/>
                <w:sz w:val="24"/>
                <w:szCs w:val="24"/>
              </w:rPr>
              <w:t>Lead officer/ person responsible</w:t>
            </w:r>
          </w:p>
        </w:tc>
        <w:tc>
          <w:tcPr>
            <w:tcW w:w="777" w:type="pct"/>
          </w:tcPr>
          <w:p w:rsidR="009E7427" w:rsidRPr="00511217" w:rsidP="00AA13FC" w14:paraId="311347F3" w14:textId="77777777">
            <w:pPr>
              <w:spacing w:before="120" w:after="120"/>
              <w:jc w:val="center"/>
              <w:rPr>
                <w:rFonts w:ascii="Arial" w:hAnsi="Arial" w:cs="Arial"/>
                <w:b/>
                <w:bCs/>
                <w:sz w:val="24"/>
                <w:szCs w:val="24"/>
              </w:rPr>
            </w:pPr>
            <w:r w:rsidRPr="00511217">
              <w:rPr>
                <w:rFonts w:ascii="Arial" w:hAnsi="Arial" w:cs="Arial"/>
                <w:b/>
                <w:bCs/>
                <w:sz w:val="24"/>
                <w:szCs w:val="24"/>
              </w:rPr>
              <w:t>Target date</w:t>
            </w:r>
          </w:p>
        </w:tc>
        <w:tc>
          <w:tcPr>
            <w:tcW w:w="905" w:type="pct"/>
          </w:tcPr>
          <w:p w:rsidR="009E7427" w:rsidRPr="00511217" w:rsidP="00AA13FC" w14:paraId="4BBC13B0" w14:textId="77777777">
            <w:pPr>
              <w:spacing w:before="120" w:after="120"/>
              <w:jc w:val="center"/>
              <w:rPr>
                <w:rFonts w:ascii="Arial" w:hAnsi="Arial" w:cs="Arial"/>
                <w:b/>
                <w:bCs/>
                <w:sz w:val="24"/>
                <w:szCs w:val="24"/>
              </w:rPr>
            </w:pPr>
            <w:r w:rsidRPr="00511217">
              <w:rPr>
                <w:rFonts w:ascii="Arial" w:hAnsi="Arial" w:cs="Arial"/>
                <w:b/>
                <w:bCs/>
                <w:sz w:val="24"/>
                <w:szCs w:val="24"/>
              </w:rPr>
              <w:t>Progress</w:t>
            </w:r>
          </w:p>
        </w:tc>
      </w:tr>
      <w:tr w14:paraId="5BE8C200" w14:textId="77777777" w:rsidTr="009E7427">
        <w:tblPrEx>
          <w:tblW w:w="5205" w:type="pct"/>
          <w:tblLook w:val="04A0"/>
        </w:tblPrEx>
        <w:trPr>
          <w:trHeight w:val="2216"/>
        </w:trPr>
        <w:tc>
          <w:tcPr>
            <w:tcW w:w="697" w:type="pct"/>
          </w:tcPr>
          <w:p w:rsidR="009E7427" w:rsidRPr="0038401C" w:rsidP="00AA13FC" w14:paraId="47CECCC2" w14:textId="77777777">
            <w:pPr>
              <w:spacing w:before="120" w:after="120"/>
              <w:rPr>
                <w:rFonts w:ascii="Arial" w:hAnsi="Arial" w:cs="Arial"/>
                <w:sz w:val="28"/>
                <w:szCs w:val="28"/>
              </w:rPr>
            </w:pPr>
          </w:p>
          <w:p w:rsidR="009E7427" w:rsidRPr="0038401C" w:rsidP="00AA13FC" w14:paraId="6392138E" w14:textId="77777777">
            <w:pPr>
              <w:spacing w:before="120" w:after="120"/>
              <w:rPr>
                <w:rFonts w:ascii="Arial" w:hAnsi="Arial" w:cs="Arial"/>
                <w:sz w:val="28"/>
                <w:szCs w:val="28"/>
              </w:rPr>
            </w:pPr>
          </w:p>
        </w:tc>
        <w:tc>
          <w:tcPr>
            <w:tcW w:w="1652" w:type="pct"/>
          </w:tcPr>
          <w:p w:rsidR="009E7427" w:rsidRPr="0038401C" w:rsidP="00AA13FC" w14:paraId="760509B2" w14:textId="77777777">
            <w:pPr>
              <w:spacing w:before="120" w:after="120"/>
              <w:rPr>
                <w:rFonts w:ascii="Arial" w:hAnsi="Arial" w:cs="Arial"/>
                <w:sz w:val="28"/>
                <w:szCs w:val="28"/>
              </w:rPr>
            </w:pPr>
          </w:p>
        </w:tc>
        <w:tc>
          <w:tcPr>
            <w:tcW w:w="969" w:type="pct"/>
          </w:tcPr>
          <w:p w:rsidR="009E7427" w:rsidRPr="0038401C" w:rsidP="00AA13FC" w14:paraId="3A51ED12" w14:textId="77777777">
            <w:pPr>
              <w:spacing w:before="120" w:after="120"/>
              <w:rPr>
                <w:rFonts w:ascii="Arial" w:hAnsi="Arial" w:cs="Arial"/>
                <w:sz w:val="28"/>
                <w:szCs w:val="28"/>
              </w:rPr>
            </w:pPr>
          </w:p>
        </w:tc>
        <w:tc>
          <w:tcPr>
            <w:tcW w:w="777" w:type="pct"/>
          </w:tcPr>
          <w:p w:rsidR="009E7427" w:rsidRPr="0038401C" w:rsidP="00AA13FC" w14:paraId="7400ABAB" w14:textId="77777777">
            <w:pPr>
              <w:spacing w:before="120" w:after="120"/>
              <w:rPr>
                <w:rFonts w:ascii="Arial" w:hAnsi="Arial" w:cs="Arial"/>
                <w:sz w:val="28"/>
                <w:szCs w:val="28"/>
              </w:rPr>
            </w:pPr>
          </w:p>
        </w:tc>
        <w:tc>
          <w:tcPr>
            <w:tcW w:w="905" w:type="pct"/>
          </w:tcPr>
          <w:p w:rsidR="009E7427" w:rsidRPr="0038401C" w:rsidP="00AA13FC" w14:paraId="58C6C10C" w14:textId="77777777">
            <w:pPr>
              <w:spacing w:before="120" w:after="120"/>
              <w:rPr>
                <w:rFonts w:ascii="Arial" w:hAnsi="Arial" w:cs="Arial"/>
                <w:sz w:val="28"/>
                <w:szCs w:val="28"/>
              </w:rPr>
            </w:pPr>
          </w:p>
        </w:tc>
      </w:tr>
      <w:tr w14:paraId="4BCA1EE5" w14:textId="77777777" w:rsidTr="009E7427">
        <w:tblPrEx>
          <w:tblW w:w="5205" w:type="pct"/>
          <w:tblLook w:val="04A0"/>
        </w:tblPrEx>
        <w:trPr>
          <w:trHeight w:val="2239"/>
        </w:trPr>
        <w:tc>
          <w:tcPr>
            <w:tcW w:w="697" w:type="pct"/>
          </w:tcPr>
          <w:p w:rsidR="009E7427" w:rsidRPr="0038401C" w:rsidP="00AA13FC" w14:paraId="0B674F46" w14:textId="77777777">
            <w:pPr>
              <w:spacing w:before="120" w:after="120"/>
              <w:rPr>
                <w:rFonts w:ascii="Arial" w:hAnsi="Arial" w:cs="Arial"/>
                <w:sz w:val="28"/>
                <w:szCs w:val="28"/>
              </w:rPr>
            </w:pPr>
          </w:p>
          <w:p w:rsidR="009E7427" w:rsidRPr="0038401C" w:rsidP="00AA13FC" w14:paraId="1558D8AB" w14:textId="77777777">
            <w:pPr>
              <w:spacing w:before="120" w:after="120"/>
              <w:rPr>
                <w:rFonts w:ascii="Arial" w:hAnsi="Arial" w:cs="Arial"/>
                <w:sz w:val="28"/>
                <w:szCs w:val="28"/>
              </w:rPr>
            </w:pPr>
          </w:p>
        </w:tc>
        <w:tc>
          <w:tcPr>
            <w:tcW w:w="1652" w:type="pct"/>
          </w:tcPr>
          <w:p w:rsidR="009E7427" w:rsidRPr="0038401C" w:rsidP="00AA13FC" w14:paraId="0C7CE05B" w14:textId="77777777">
            <w:pPr>
              <w:spacing w:before="120" w:after="120"/>
              <w:rPr>
                <w:rFonts w:ascii="Arial" w:hAnsi="Arial" w:cs="Arial"/>
                <w:sz w:val="28"/>
                <w:szCs w:val="28"/>
              </w:rPr>
            </w:pPr>
          </w:p>
        </w:tc>
        <w:tc>
          <w:tcPr>
            <w:tcW w:w="969" w:type="pct"/>
          </w:tcPr>
          <w:p w:rsidR="009E7427" w:rsidRPr="0038401C" w:rsidP="00AA13FC" w14:paraId="2DB7BA6F" w14:textId="77777777">
            <w:pPr>
              <w:spacing w:before="120" w:after="120"/>
              <w:rPr>
                <w:rFonts w:ascii="Arial" w:hAnsi="Arial" w:cs="Arial"/>
                <w:sz w:val="28"/>
                <w:szCs w:val="28"/>
              </w:rPr>
            </w:pPr>
          </w:p>
        </w:tc>
        <w:tc>
          <w:tcPr>
            <w:tcW w:w="777" w:type="pct"/>
          </w:tcPr>
          <w:p w:rsidR="009E7427" w:rsidRPr="0038401C" w:rsidP="00AA13FC" w14:paraId="7C77F0B7" w14:textId="77777777">
            <w:pPr>
              <w:spacing w:before="120" w:after="120"/>
              <w:rPr>
                <w:rFonts w:ascii="Arial" w:hAnsi="Arial" w:cs="Arial"/>
                <w:sz w:val="28"/>
                <w:szCs w:val="28"/>
              </w:rPr>
            </w:pPr>
          </w:p>
        </w:tc>
        <w:tc>
          <w:tcPr>
            <w:tcW w:w="905" w:type="pct"/>
          </w:tcPr>
          <w:p w:rsidR="009E7427" w:rsidRPr="0038401C" w:rsidP="00AA13FC" w14:paraId="205A85C2" w14:textId="77777777">
            <w:pPr>
              <w:spacing w:before="120" w:after="120"/>
              <w:rPr>
                <w:rFonts w:ascii="Arial" w:hAnsi="Arial" w:cs="Arial"/>
                <w:sz w:val="28"/>
                <w:szCs w:val="28"/>
              </w:rPr>
            </w:pPr>
          </w:p>
        </w:tc>
      </w:tr>
      <w:tr w14:paraId="7F5D5F28" w14:textId="77777777" w:rsidTr="009E7427">
        <w:tblPrEx>
          <w:tblW w:w="5205" w:type="pct"/>
          <w:tblLook w:val="04A0"/>
        </w:tblPrEx>
        <w:trPr>
          <w:trHeight w:val="2216"/>
        </w:trPr>
        <w:tc>
          <w:tcPr>
            <w:tcW w:w="697" w:type="pct"/>
          </w:tcPr>
          <w:p w:rsidR="009E7427" w:rsidRPr="0038401C" w:rsidP="00AA13FC" w14:paraId="2410129B" w14:textId="77777777">
            <w:pPr>
              <w:spacing w:before="120" w:after="120"/>
              <w:rPr>
                <w:rFonts w:ascii="Arial" w:hAnsi="Arial" w:cs="Arial"/>
                <w:sz w:val="28"/>
                <w:szCs w:val="28"/>
              </w:rPr>
            </w:pPr>
          </w:p>
          <w:p w:rsidR="009E7427" w:rsidRPr="0038401C" w:rsidP="00AA13FC" w14:paraId="17A68EDD" w14:textId="77777777">
            <w:pPr>
              <w:spacing w:before="120" w:after="120"/>
              <w:rPr>
                <w:rFonts w:ascii="Arial" w:hAnsi="Arial" w:cs="Arial"/>
                <w:sz w:val="28"/>
                <w:szCs w:val="28"/>
              </w:rPr>
            </w:pPr>
          </w:p>
        </w:tc>
        <w:tc>
          <w:tcPr>
            <w:tcW w:w="1652" w:type="pct"/>
          </w:tcPr>
          <w:p w:rsidR="009E7427" w:rsidRPr="0038401C" w:rsidP="00AA13FC" w14:paraId="6BC383DB" w14:textId="77777777">
            <w:pPr>
              <w:spacing w:before="120" w:after="120"/>
              <w:rPr>
                <w:rFonts w:ascii="Arial" w:hAnsi="Arial" w:cs="Arial"/>
                <w:sz w:val="28"/>
                <w:szCs w:val="28"/>
              </w:rPr>
            </w:pPr>
          </w:p>
        </w:tc>
        <w:tc>
          <w:tcPr>
            <w:tcW w:w="969" w:type="pct"/>
          </w:tcPr>
          <w:p w:rsidR="009E7427" w:rsidRPr="0038401C" w:rsidP="00AA13FC" w14:paraId="46A66504" w14:textId="77777777">
            <w:pPr>
              <w:spacing w:before="120" w:after="120"/>
              <w:rPr>
                <w:rFonts w:ascii="Arial" w:hAnsi="Arial" w:cs="Arial"/>
                <w:sz w:val="28"/>
                <w:szCs w:val="28"/>
              </w:rPr>
            </w:pPr>
          </w:p>
        </w:tc>
        <w:tc>
          <w:tcPr>
            <w:tcW w:w="777" w:type="pct"/>
          </w:tcPr>
          <w:p w:rsidR="009E7427" w:rsidRPr="0038401C" w:rsidP="00AA13FC" w14:paraId="787E190D" w14:textId="77777777">
            <w:pPr>
              <w:spacing w:before="120" w:after="120"/>
              <w:rPr>
                <w:rFonts w:ascii="Arial" w:hAnsi="Arial" w:cs="Arial"/>
                <w:sz w:val="28"/>
                <w:szCs w:val="28"/>
              </w:rPr>
            </w:pPr>
          </w:p>
        </w:tc>
        <w:tc>
          <w:tcPr>
            <w:tcW w:w="905" w:type="pct"/>
          </w:tcPr>
          <w:p w:rsidR="009E7427" w:rsidRPr="0038401C" w:rsidP="00AA13FC" w14:paraId="1893F652" w14:textId="77777777">
            <w:pPr>
              <w:spacing w:before="120" w:after="120"/>
              <w:rPr>
                <w:rFonts w:ascii="Arial" w:hAnsi="Arial" w:cs="Arial"/>
                <w:sz w:val="28"/>
                <w:szCs w:val="28"/>
              </w:rPr>
            </w:pPr>
          </w:p>
        </w:tc>
      </w:tr>
      <w:tr w14:paraId="71BE4BCC" w14:textId="77777777" w:rsidTr="009E7427">
        <w:tblPrEx>
          <w:tblW w:w="5205" w:type="pct"/>
          <w:tblLook w:val="04A0"/>
        </w:tblPrEx>
        <w:trPr>
          <w:trHeight w:val="2239"/>
        </w:trPr>
        <w:tc>
          <w:tcPr>
            <w:tcW w:w="697" w:type="pct"/>
          </w:tcPr>
          <w:p w:rsidR="009E7427" w:rsidRPr="0038401C" w:rsidP="00AA13FC" w14:paraId="3C188AA7" w14:textId="77777777">
            <w:pPr>
              <w:spacing w:before="120" w:after="120"/>
              <w:rPr>
                <w:rFonts w:ascii="Arial" w:hAnsi="Arial" w:cs="Arial"/>
                <w:sz w:val="28"/>
                <w:szCs w:val="28"/>
              </w:rPr>
            </w:pPr>
          </w:p>
          <w:p w:rsidR="009E7427" w:rsidRPr="0038401C" w:rsidP="00AA13FC" w14:paraId="148BEBBB" w14:textId="77777777">
            <w:pPr>
              <w:spacing w:before="120" w:after="120"/>
              <w:rPr>
                <w:rFonts w:ascii="Arial" w:hAnsi="Arial" w:cs="Arial"/>
                <w:sz w:val="28"/>
                <w:szCs w:val="28"/>
              </w:rPr>
            </w:pPr>
          </w:p>
        </w:tc>
        <w:tc>
          <w:tcPr>
            <w:tcW w:w="1652" w:type="pct"/>
          </w:tcPr>
          <w:p w:rsidR="009E7427" w:rsidRPr="0038401C" w:rsidP="00AA13FC" w14:paraId="56DF2E36" w14:textId="77777777">
            <w:pPr>
              <w:spacing w:before="120" w:after="120"/>
              <w:rPr>
                <w:rFonts w:ascii="Arial" w:hAnsi="Arial" w:cs="Arial"/>
                <w:sz w:val="28"/>
                <w:szCs w:val="28"/>
              </w:rPr>
            </w:pPr>
          </w:p>
        </w:tc>
        <w:tc>
          <w:tcPr>
            <w:tcW w:w="969" w:type="pct"/>
          </w:tcPr>
          <w:p w:rsidR="009E7427" w:rsidRPr="0038401C" w:rsidP="00AA13FC" w14:paraId="4AFCC02F" w14:textId="77777777">
            <w:pPr>
              <w:spacing w:before="120" w:after="120"/>
              <w:rPr>
                <w:rFonts w:ascii="Arial" w:hAnsi="Arial" w:cs="Arial"/>
                <w:sz w:val="28"/>
                <w:szCs w:val="28"/>
              </w:rPr>
            </w:pPr>
          </w:p>
        </w:tc>
        <w:tc>
          <w:tcPr>
            <w:tcW w:w="777" w:type="pct"/>
          </w:tcPr>
          <w:p w:rsidR="009E7427" w:rsidRPr="0038401C" w:rsidP="00AA13FC" w14:paraId="5D659A7F" w14:textId="77777777">
            <w:pPr>
              <w:spacing w:before="120" w:after="120"/>
              <w:rPr>
                <w:rFonts w:ascii="Arial" w:hAnsi="Arial" w:cs="Arial"/>
                <w:sz w:val="28"/>
                <w:szCs w:val="28"/>
              </w:rPr>
            </w:pPr>
          </w:p>
        </w:tc>
        <w:tc>
          <w:tcPr>
            <w:tcW w:w="905" w:type="pct"/>
          </w:tcPr>
          <w:p w:rsidR="009E7427" w:rsidRPr="0038401C" w:rsidP="00AA13FC" w14:paraId="1DE4E8A9" w14:textId="77777777">
            <w:pPr>
              <w:spacing w:before="120" w:after="120"/>
              <w:rPr>
                <w:rFonts w:ascii="Arial" w:hAnsi="Arial" w:cs="Arial"/>
                <w:sz w:val="28"/>
                <w:szCs w:val="28"/>
              </w:rPr>
            </w:pPr>
          </w:p>
        </w:tc>
      </w:tr>
    </w:tbl>
    <w:p w:rsidR="009E7427" w:rsidP="00A626DD" w14:paraId="2E952786" w14:textId="77777777">
      <w:pPr>
        <w:spacing w:line="360" w:lineRule="auto"/>
        <w:jc w:val="both"/>
        <w:rPr>
          <w:rFonts w:ascii="Segoe UI" w:hAnsi="Segoe UI" w:cs="Segoe UI"/>
          <w:color w:val="252423"/>
          <w:sz w:val="21"/>
          <w:szCs w:val="21"/>
          <w:shd w:val="clear" w:color="auto" w:fill="FFFFFF"/>
        </w:rPr>
      </w:pPr>
    </w:p>
    <w:p w:rsidR="00743FC9" w:rsidRPr="009E7427" w:rsidP="009E7427" w14:paraId="5D0062BC" w14:textId="187DF68D">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EC01E1" w14:paraId="2C8717DD" w14:textId="49125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rsidR="00EC01E1" w:rsidP="00EC01E1" w14:paraId="55AB3D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77733"/>
      <w:docPartObj>
        <w:docPartGallery w:val="Page Numbers (Bottom of Page)"/>
        <w:docPartUnique/>
      </w:docPartObj>
    </w:sdtPr>
    <w:sdtEndPr>
      <w:rPr>
        <w:noProof/>
      </w:rPr>
    </w:sdtEndPr>
    <w:sdtContent>
      <w:p w:rsidR="007A437B" w14:paraId="1B342780" w14:textId="55AF7021">
        <w:pPr>
          <w:pStyle w:val="Footer"/>
          <w:jc w:val="right"/>
        </w:pPr>
      </w:p>
    </w:sdtContent>
  </w:sdt>
  <w:p w:rsidR="00EC01E1" w:rsidRPr="00743FC9" w:rsidP="00DD077A" w14:paraId="3CC6820C" w14:textId="63B7BF56">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031311"/>
      <w:docPartObj>
        <w:docPartGallery w:val="Page Numbers (Bottom of Page)"/>
        <w:docPartUnique/>
      </w:docPartObj>
    </w:sdtPr>
    <w:sdtEndPr>
      <w:rPr>
        <w:noProof/>
      </w:rPr>
    </w:sdtEndPr>
    <w:sdtContent>
      <w:p w:rsidR="00296A09" w14:paraId="59127B81" w14:textId="3665E598">
        <w:pPr>
          <w:pStyle w:val="Footer"/>
          <w:jc w:val="right"/>
        </w:pPr>
      </w:p>
    </w:sdtContent>
  </w:sdt>
  <w:p w:rsidR="007A437B" w:rsidP="007A437B" w14:paraId="3DC5744E" w14:textId="14716ACF">
    <w:pPr>
      <w:pStyle w:val="Footer"/>
      <w:tabs>
        <w:tab w:val="left" w:pos="2319"/>
        <w:tab w:val="left" w:pos="3890"/>
        <w:tab w:val="clear" w:pos="4153"/>
        <w:tab w:val="clear" w:pos="8306"/>
      </w:tabs>
      <w:rPr>
        <w:rFonts w:ascii="Arial" w:hAnsi="Arial" w:cs="Arial"/>
        <w:sz w:val="20"/>
        <w:szCs w:val="20"/>
      </w:rPr>
    </w:pPr>
    <w:r>
      <w:rPr>
        <w:rFonts w:ascii="Arial" w:hAnsi="Arial" w:cs="Arial"/>
        <w:sz w:val="20"/>
        <w:szCs w:val="20"/>
      </w:rPr>
      <w:tab/>
    </w:r>
  </w:p>
  <w:p w:rsidR="00743FC9" w:rsidRPr="00743FC9" w:rsidP="007A437B" w14:paraId="6BC71C75" w14:textId="77777777">
    <w:pPr>
      <w:pStyle w:val="Footer"/>
      <w:tabs>
        <w:tab w:val="left" w:pos="2319"/>
        <w:tab w:val="clear" w:pos="4153"/>
        <w:tab w:val="clear" w:pos="8306"/>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F7A" w:rsidRPr="00743FC9" w:rsidP="005912C1" w14:paraId="2C688ABD" w14:textId="084BA556">
    <w:pPr>
      <w:pStyle w:val="Footer"/>
      <w:jc w:val="righ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319C2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5912C1" w14:paraId="02711B23" w14:textId="228AD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5ED45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start w:val="0"/>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start w:val="0"/>
      <w:numFmt w:val="bullet"/>
      <w:lvlText w:val="•"/>
      <w:lvlJc w:val="left"/>
      <w:pPr>
        <w:ind w:left="2515" w:hanging="361"/>
      </w:pPr>
      <w:rPr>
        <w:lang w:val="en-US" w:eastAsia="en-US" w:bidi="ar-SA"/>
      </w:rPr>
    </w:lvl>
    <w:lvl w:ilvl="4">
      <w:start w:val="0"/>
      <w:numFmt w:val="bullet"/>
      <w:lvlText w:val="•"/>
      <w:lvlJc w:val="left"/>
      <w:pPr>
        <w:ind w:left="3770" w:hanging="361"/>
      </w:pPr>
      <w:rPr>
        <w:lang w:val="en-US" w:eastAsia="en-US" w:bidi="ar-SA"/>
      </w:rPr>
    </w:lvl>
    <w:lvl w:ilvl="5">
      <w:start w:val="0"/>
      <w:numFmt w:val="bullet"/>
      <w:lvlText w:val="•"/>
      <w:lvlJc w:val="left"/>
      <w:pPr>
        <w:ind w:left="5025" w:hanging="361"/>
      </w:pPr>
      <w:rPr>
        <w:lang w:val="en-US" w:eastAsia="en-US" w:bidi="ar-SA"/>
      </w:rPr>
    </w:lvl>
    <w:lvl w:ilvl="6">
      <w:start w:val="0"/>
      <w:numFmt w:val="bullet"/>
      <w:lvlText w:val="•"/>
      <w:lvlJc w:val="left"/>
      <w:pPr>
        <w:ind w:left="6280" w:hanging="361"/>
      </w:pPr>
      <w:rPr>
        <w:lang w:val="en-US" w:eastAsia="en-US" w:bidi="ar-SA"/>
      </w:rPr>
    </w:lvl>
    <w:lvl w:ilvl="7">
      <w:start w:val="0"/>
      <w:numFmt w:val="bullet"/>
      <w:lvlText w:val="•"/>
      <w:lvlJc w:val="left"/>
      <w:pPr>
        <w:ind w:left="7535" w:hanging="361"/>
      </w:pPr>
      <w:rPr>
        <w:lang w:val="en-US" w:eastAsia="en-US" w:bidi="ar-SA"/>
      </w:rPr>
    </w:lvl>
    <w:lvl w:ilvl="8">
      <w:start w:val="0"/>
      <w:numFmt w:val="bullet"/>
      <w:lvlText w:val="•"/>
      <w:lvlJc w:val="left"/>
      <w:pPr>
        <w:ind w:left="8790" w:hanging="361"/>
      </w:pPr>
      <w:rPr>
        <w:lang w:val="en-US" w:eastAsia="en-US" w:bidi="ar-SA"/>
      </w:r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0F0514C"/>
    <w:multiLevelType w:val="hybridMultilevel"/>
    <w:tmpl w:val="405A34E0"/>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44995"/>
    <w:multiLevelType w:val="hybridMultilevel"/>
    <w:tmpl w:val="1D0A833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E8C79F4"/>
    <w:multiLevelType w:val="hybridMultilevel"/>
    <w:tmpl w:val="CF88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CE2384"/>
    <w:multiLevelType w:val="hybridMultilevel"/>
    <w:tmpl w:val="73EE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84A93"/>
    <w:multiLevelType w:val="hybridMultilevel"/>
    <w:tmpl w:val="3BEC5B68"/>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E96EA9"/>
    <w:multiLevelType w:val="hybridMultilevel"/>
    <w:tmpl w:val="357077EA"/>
    <w:lvl w:ilvl="0">
      <w:start w:val="1"/>
      <w:numFmt w:val="bullet"/>
      <w:lvlText w:val=""/>
      <w:lvlJc w:val="left"/>
      <w:pPr>
        <w:tabs>
          <w:tab w:val="num" w:pos="1440"/>
        </w:tabs>
        <w:ind w:left="1440" w:hanging="360"/>
      </w:pPr>
      <w:rPr>
        <w:rFonts w:ascii="Symbol" w:hAnsi="Symbol" w:hint="default"/>
        <w:color w:val="80008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631731">
    <w:abstractNumId w:val="7"/>
  </w:num>
  <w:num w:numId="2" w16cid:durableId="1842310677">
    <w:abstractNumId w:val="1"/>
  </w:num>
  <w:num w:numId="3" w16cid:durableId="588391821">
    <w:abstractNumId w:val="1"/>
  </w:num>
  <w:num w:numId="4" w16cid:durableId="2004123403">
    <w:abstractNumId w:val="1"/>
  </w:num>
  <w:num w:numId="5" w16cid:durableId="1425806847">
    <w:abstractNumId w:val="1"/>
  </w:num>
  <w:num w:numId="6" w16cid:durableId="18698802">
    <w:abstractNumId w:val="1"/>
  </w:num>
  <w:num w:numId="7" w16cid:durableId="978458007">
    <w:abstractNumId w:val="1"/>
  </w:num>
  <w:num w:numId="8" w16cid:durableId="506333947">
    <w:abstractNumId w:val="1"/>
  </w:num>
  <w:num w:numId="9" w16cid:durableId="2027903807">
    <w:abstractNumId w:val="1"/>
  </w:num>
  <w:num w:numId="10" w16cid:durableId="341468419">
    <w:abstractNumId w:val="1"/>
  </w:num>
  <w:num w:numId="11" w16cid:durableId="1362514872">
    <w:abstractNumId w:val="1"/>
  </w:num>
  <w:num w:numId="12" w16cid:durableId="179922573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3"/>
  </w:num>
  <w:num w:numId="15" w16cid:durableId="1186017378">
    <w:abstractNumId w:val="3"/>
  </w:num>
  <w:num w:numId="16" w16cid:durableId="1310091039">
    <w:abstractNumId w:val="4"/>
  </w:num>
  <w:num w:numId="17" w16cid:durableId="1913541569">
    <w:abstractNumId w:val="5"/>
  </w:num>
  <w:num w:numId="18" w16cid:durableId="1811052355">
    <w:abstractNumId w:val="2"/>
  </w:num>
  <w:num w:numId="19" w16cid:durableId="478351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32195"/>
    <w:rsid w:val="000547F4"/>
    <w:rsid w:val="00064242"/>
    <w:rsid w:val="00080EA6"/>
    <w:rsid w:val="000B1B36"/>
    <w:rsid w:val="000F6A3C"/>
    <w:rsid w:val="001334F1"/>
    <w:rsid w:val="001409C4"/>
    <w:rsid w:val="00144D1E"/>
    <w:rsid w:val="00172B3C"/>
    <w:rsid w:val="0018690A"/>
    <w:rsid w:val="001944B6"/>
    <w:rsid w:val="001A0831"/>
    <w:rsid w:val="001A0976"/>
    <w:rsid w:val="001A55A9"/>
    <w:rsid w:val="001B7EFF"/>
    <w:rsid w:val="001D4B0D"/>
    <w:rsid w:val="001E7D3C"/>
    <w:rsid w:val="001F041D"/>
    <w:rsid w:val="002057E1"/>
    <w:rsid w:val="00232EC5"/>
    <w:rsid w:val="00261487"/>
    <w:rsid w:val="00295462"/>
    <w:rsid w:val="00296A09"/>
    <w:rsid w:val="002B469E"/>
    <w:rsid w:val="002C0419"/>
    <w:rsid w:val="003017DF"/>
    <w:rsid w:val="003025BC"/>
    <w:rsid w:val="003109F1"/>
    <w:rsid w:val="00331DBF"/>
    <w:rsid w:val="00353777"/>
    <w:rsid w:val="003539D6"/>
    <w:rsid w:val="0035693F"/>
    <w:rsid w:val="00364868"/>
    <w:rsid w:val="00373679"/>
    <w:rsid w:val="0038121A"/>
    <w:rsid w:val="0038401C"/>
    <w:rsid w:val="003A29A5"/>
    <w:rsid w:val="003C160B"/>
    <w:rsid w:val="003D707B"/>
    <w:rsid w:val="00444D6C"/>
    <w:rsid w:val="004531FD"/>
    <w:rsid w:val="00456EB2"/>
    <w:rsid w:val="00461623"/>
    <w:rsid w:val="00466957"/>
    <w:rsid w:val="00470BE2"/>
    <w:rsid w:val="00482FAA"/>
    <w:rsid w:val="00485EC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912C1"/>
    <w:rsid w:val="005A092A"/>
    <w:rsid w:val="005B1527"/>
    <w:rsid w:val="005C61F8"/>
    <w:rsid w:val="005D4079"/>
    <w:rsid w:val="005F19AD"/>
    <w:rsid w:val="005F2765"/>
    <w:rsid w:val="006066DA"/>
    <w:rsid w:val="006176F9"/>
    <w:rsid w:val="00623775"/>
    <w:rsid w:val="00631F42"/>
    <w:rsid w:val="0063437F"/>
    <w:rsid w:val="006959C1"/>
    <w:rsid w:val="006F0471"/>
    <w:rsid w:val="00712FDD"/>
    <w:rsid w:val="00737E3E"/>
    <w:rsid w:val="00743FC9"/>
    <w:rsid w:val="00761A7E"/>
    <w:rsid w:val="00774515"/>
    <w:rsid w:val="007907D3"/>
    <w:rsid w:val="007A0373"/>
    <w:rsid w:val="007A437B"/>
    <w:rsid w:val="007B3C5E"/>
    <w:rsid w:val="007F7D4F"/>
    <w:rsid w:val="00806078"/>
    <w:rsid w:val="008153AD"/>
    <w:rsid w:val="008457EC"/>
    <w:rsid w:val="008477EF"/>
    <w:rsid w:val="00882275"/>
    <w:rsid w:val="00891164"/>
    <w:rsid w:val="008A1AAD"/>
    <w:rsid w:val="008B1F32"/>
    <w:rsid w:val="008C1378"/>
    <w:rsid w:val="008C5061"/>
    <w:rsid w:val="00902772"/>
    <w:rsid w:val="00906EFA"/>
    <w:rsid w:val="00950916"/>
    <w:rsid w:val="00961018"/>
    <w:rsid w:val="00961D7F"/>
    <w:rsid w:val="009B1AC7"/>
    <w:rsid w:val="009D5DEA"/>
    <w:rsid w:val="009E4F1E"/>
    <w:rsid w:val="009E7427"/>
    <w:rsid w:val="00A31D8E"/>
    <w:rsid w:val="00A36C1D"/>
    <w:rsid w:val="00A447BB"/>
    <w:rsid w:val="00A626DD"/>
    <w:rsid w:val="00AA13FC"/>
    <w:rsid w:val="00AB4AD6"/>
    <w:rsid w:val="00AB5523"/>
    <w:rsid w:val="00AC1CCF"/>
    <w:rsid w:val="00AE740A"/>
    <w:rsid w:val="00AF123C"/>
    <w:rsid w:val="00B00E4E"/>
    <w:rsid w:val="00B10D00"/>
    <w:rsid w:val="00B251FD"/>
    <w:rsid w:val="00B31B99"/>
    <w:rsid w:val="00B43C30"/>
    <w:rsid w:val="00BB6040"/>
    <w:rsid w:val="00BC71A1"/>
    <w:rsid w:val="00BD303C"/>
    <w:rsid w:val="00C00FEE"/>
    <w:rsid w:val="00C04E18"/>
    <w:rsid w:val="00C12B20"/>
    <w:rsid w:val="00C1632F"/>
    <w:rsid w:val="00C16790"/>
    <w:rsid w:val="00C2011A"/>
    <w:rsid w:val="00C2391F"/>
    <w:rsid w:val="00C23EDB"/>
    <w:rsid w:val="00C30432"/>
    <w:rsid w:val="00C37280"/>
    <w:rsid w:val="00C67F69"/>
    <w:rsid w:val="00C763B4"/>
    <w:rsid w:val="00C90268"/>
    <w:rsid w:val="00C958D2"/>
    <w:rsid w:val="00C97710"/>
    <w:rsid w:val="00CA12DB"/>
    <w:rsid w:val="00CB0F7A"/>
    <w:rsid w:val="00CE3123"/>
    <w:rsid w:val="00CE6E83"/>
    <w:rsid w:val="00CE7F75"/>
    <w:rsid w:val="00D12407"/>
    <w:rsid w:val="00D20453"/>
    <w:rsid w:val="00D40610"/>
    <w:rsid w:val="00D4123F"/>
    <w:rsid w:val="00D61909"/>
    <w:rsid w:val="00D6195F"/>
    <w:rsid w:val="00DA711C"/>
    <w:rsid w:val="00DD077A"/>
    <w:rsid w:val="00DD0898"/>
    <w:rsid w:val="00DF49FA"/>
    <w:rsid w:val="00E125A1"/>
    <w:rsid w:val="00E21C0A"/>
    <w:rsid w:val="00E35825"/>
    <w:rsid w:val="00E36033"/>
    <w:rsid w:val="00E4161F"/>
    <w:rsid w:val="00E433FE"/>
    <w:rsid w:val="00E477AA"/>
    <w:rsid w:val="00E50083"/>
    <w:rsid w:val="00E70EE1"/>
    <w:rsid w:val="00E71810"/>
    <w:rsid w:val="00E87057"/>
    <w:rsid w:val="00E92B76"/>
    <w:rsid w:val="00EA10AD"/>
    <w:rsid w:val="00EB3AD8"/>
    <w:rsid w:val="00EC01E1"/>
    <w:rsid w:val="00ED21ED"/>
    <w:rsid w:val="00EE252D"/>
    <w:rsid w:val="00EF5C32"/>
    <w:rsid w:val="00F30BB4"/>
    <w:rsid w:val="00F53CB2"/>
    <w:rsid w:val="00F71DDB"/>
    <w:rsid w:val="00F753DF"/>
    <w:rsid w:val="00F85779"/>
    <w:rsid w:val="00F90EFE"/>
    <w:rsid w:val="00FA297C"/>
    <w:rsid w:val="00FB0585"/>
    <w:rsid w:val="00FD2BE0"/>
    <w:rsid w:val="00FE0230"/>
    <w:rsid w:val="00FF23CD"/>
    <w:rsid w:val="718C6E78"/>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ntranet.sandwell.gov.uk/downloads/file/14361/eqia_template_guidance" TargetMode="External" /><Relationship Id="rId16" Type="http://schemas.openxmlformats.org/officeDocument/2006/relationships/hyperlink" Target="mailto:Louis_bebb@sandwell.gov.uk" TargetMode="External" /><Relationship Id="rId17" Type="http://schemas.openxmlformats.org/officeDocument/2006/relationships/hyperlink" Target="https://www.sandwell.gov.uk/downloads/file/34255/housing_strategy_2023_-_2028" TargetMode="External" /><Relationship Id="rId18" Type="http://schemas.openxmlformats.org/officeDocument/2006/relationships/hyperlink" Target="https://www.sandwell.gov.uk/downloads/file/29963/corporate_plan_-_big_plans_for_a_great_place_for_the_people_of_sandwell" TargetMode="External" /><Relationship Id="rId19" Type="http://schemas.openxmlformats.org/officeDocument/2006/relationships/hyperlink" Target="https://sandwell.moderngov.co.uk/documents/s12434/05a%20Appendix%201%20Draft%20HRABusinessPlan%20100123.pdf" TargetMode="External" /><Relationship Id="rId2" Type="http://schemas.openxmlformats.org/officeDocument/2006/relationships/webSettings" Target="webSettings.xml" /><Relationship Id="rId20" Type="http://schemas.openxmlformats.org/officeDocument/2006/relationships/hyperlink" Target="https://www.gov.uk/government/collections/regulatory-standards-for-landlords" TargetMode="External" /><Relationship Id="rId21" Type="http://schemas.openxmlformats.org/officeDocument/2006/relationships/hyperlink" Target="https://www.sandwell.gov.uk/downloads/download/154/reasonable-adjustments-policy" TargetMode="External" /><Relationship Id="rId22" Type="http://schemas.openxmlformats.org/officeDocument/2006/relationships/hyperlink" Target="https://www.sandwell.gov.uk/tenanthandbook/tenant-handbook" TargetMode="External" /><Relationship Id="rId23" Type="http://schemas.openxmlformats.org/officeDocument/2006/relationships/hyperlink" Target="https://www.sandwell.gov.uk/tenanthandbook/downloads/download/2/tenancy-conditions" TargetMode="Externa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4.xml><?xml version="1.0" encoding="utf-8"?>
<ds:datastoreItem xmlns:ds="http://schemas.openxmlformats.org/officeDocument/2006/customXml" ds:itemID="{A5B9A8A7-D059-4D62-AEAA-53673EE91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8</cp:revision>
  <dcterms:created xsi:type="dcterms:W3CDTF">2025-05-15T15:36:00Z</dcterms:created>
  <dcterms:modified xsi:type="dcterms:W3CDTF">2025-05-22T11:40:00Z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