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48144" w14:textId="14043EC6" w:rsidR="00527BD1" w:rsidRPr="009F5FE7" w:rsidRDefault="00527BD1" w:rsidP="00527BD1">
      <w:pPr>
        <w:spacing w:after="0" w:line="240" w:lineRule="auto"/>
        <w:jc w:val="center"/>
        <w:textAlignment w:val="baseline"/>
        <w:rPr>
          <w:rFonts w:ascii="Segoe UI" w:eastAsia="Times New Roman" w:hAnsi="Segoe UI" w:cs="Segoe UI"/>
          <w:b/>
          <w:bCs/>
          <w:color w:val="000000"/>
          <w:sz w:val="72"/>
          <w:szCs w:val="72"/>
          <w:lang w:eastAsia="en-GB"/>
        </w:rPr>
      </w:pPr>
      <w:r w:rsidRPr="009F5FE7">
        <w:rPr>
          <w:rFonts w:ascii="Arial" w:eastAsia="Times New Roman" w:hAnsi="Arial" w:cs="Arial"/>
          <w:b/>
          <w:bCs/>
          <w:color w:val="000000"/>
          <w:sz w:val="72"/>
          <w:szCs w:val="72"/>
          <w:lang w:eastAsia="en-GB"/>
        </w:rPr>
        <w:t>Housing Needs Assessment 2025</w:t>
      </w:r>
    </w:p>
    <w:p w14:paraId="5130189F" w14:textId="77777777" w:rsidR="00527BD1" w:rsidRPr="009F5FE7" w:rsidRDefault="00527BD1" w:rsidP="00527BD1">
      <w:pPr>
        <w:spacing w:after="0" w:line="240" w:lineRule="auto"/>
        <w:textAlignment w:val="baseline"/>
        <w:rPr>
          <w:rFonts w:ascii="Segoe UI" w:eastAsia="Times New Roman" w:hAnsi="Segoe UI" w:cs="Segoe UI"/>
          <w:b/>
          <w:bCs/>
          <w:color w:val="000000"/>
          <w:sz w:val="18"/>
          <w:szCs w:val="18"/>
          <w:u w:val="single"/>
          <w:lang w:eastAsia="en-GB"/>
        </w:rPr>
      </w:pPr>
      <w:r w:rsidRPr="009F5FE7">
        <w:rPr>
          <w:rFonts w:ascii="Calibri" w:eastAsia="Calibri" w:hAnsi="Calibri" w:cs="Times New Roman"/>
          <w:noProof/>
        </w:rPr>
        <w:drawing>
          <wp:inline distT="0" distB="0" distL="0" distR="0" wp14:anchorId="24DF6D4C" wp14:editId="2A70CA03">
            <wp:extent cx="5734050" cy="171450"/>
            <wp:effectExtent l="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171450"/>
                    </a:xfrm>
                    <a:prstGeom prst="rect">
                      <a:avLst/>
                    </a:prstGeom>
                    <a:noFill/>
                    <a:ln>
                      <a:noFill/>
                    </a:ln>
                  </pic:spPr>
                </pic:pic>
              </a:graphicData>
            </a:graphic>
          </wp:inline>
        </w:drawing>
      </w:r>
    </w:p>
    <w:p w14:paraId="3D2D738A" w14:textId="77777777" w:rsidR="00527BD1" w:rsidRPr="009F5FE7" w:rsidRDefault="00527BD1" w:rsidP="00527BD1">
      <w:pPr>
        <w:spacing w:after="0" w:line="240" w:lineRule="auto"/>
        <w:textAlignment w:val="baseline"/>
        <w:rPr>
          <w:rFonts w:ascii="Segoe UI" w:eastAsia="Times New Roman" w:hAnsi="Segoe UI" w:cs="Segoe UI"/>
          <w:b/>
          <w:bCs/>
          <w:color w:val="000000"/>
          <w:sz w:val="18"/>
          <w:szCs w:val="18"/>
          <w:u w:val="single"/>
          <w:lang w:eastAsia="en-GB"/>
        </w:rPr>
      </w:pPr>
      <w:r w:rsidRPr="009F5FE7">
        <w:rPr>
          <w:rFonts w:ascii="Calibri" w:eastAsia="Calibri" w:hAnsi="Calibri" w:cs="Times New Roman"/>
          <w:noProof/>
        </w:rPr>
        <w:drawing>
          <wp:inline distT="0" distB="0" distL="0" distR="0" wp14:anchorId="4402A0EB" wp14:editId="33E42A51">
            <wp:extent cx="5734050" cy="171450"/>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171450"/>
                    </a:xfrm>
                    <a:prstGeom prst="rect">
                      <a:avLst/>
                    </a:prstGeom>
                    <a:noFill/>
                    <a:ln>
                      <a:noFill/>
                    </a:ln>
                  </pic:spPr>
                </pic:pic>
              </a:graphicData>
            </a:graphic>
          </wp:inline>
        </w:drawing>
      </w:r>
    </w:p>
    <w:p w14:paraId="13B63E91" w14:textId="77777777" w:rsidR="00527BD1" w:rsidRPr="009F5FE7" w:rsidRDefault="00527BD1" w:rsidP="00527BD1">
      <w:pPr>
        <w:spacing w:after="0" w:line="240" w:lineRule="auto"/>
        <w:jc w:val="center"/>
        <w:textAlignment w:val="baseline"/>
        <w:rPr>
          <w:rFonts w:ascii="Segoe UI" w:eastAsia="Times New Roman" w:hAnsi="Segoe UI" w:cs="Segoe UI"/>
          <w:b/>
          <w:bCs/>
          <w:color w:val="000000"/>
          <w:sz w:val="18"/>
          <w:szCs w:val="18"/>
          <w:u w:val="single"/>
          <w:lang w:eastAsia="en-GB"/>
        </w:rPr>
      </w:pPr>
    </w:p>
    <w:p w14:paraId="518AF473" w14:textId="77777777" w:rsidR="00527BD1" w:rsidRPr="009F5FE7" w:rsidRDefault="00527BD1" w:rsidP="00527BD1">
      <w:pPr>
        <w:spacing w:after="0" w:line="240" w:lineRule="auto"/>
        <w:textAlignment w:val="baseline"/>
        <w:rPr>
          <w:rFonts w:ascii="Segoe UI" w:eastAsia="Times New Roman" w:hAnsi="Segoe UI" w:cs="Segoe UI"/>
          <w:b/>
          <w:bCs/>
          <w:color w:val="000000"/>
          <w:sz w:val="18"/>
          <w:szCs w:val="18"/>
          <w:u w:val="single"/>
          <w:lang w:eastAsia="en-GB"/>
        </w:rPr>
      </w:pPr>
    </w:p>
    <w:p w14:paraId="5AD0CD52" w14:textId="77777777" w:rsidR="00527BD1" w:rsidRPr="009F5FE7" w:rsidRDefault="00527BD1" w:rsidP="00527BD1">
      <w:pPr>
        <w:spacing w:after="0" w:line="240" w:lineRule="auto"/>
        <w:jc w:val="center"/>
        <w:textAlignment w:val="baseline"/>
        <w:rPr>
          <w:rFonts w:ascii="Segoe UI" w:eastAsia="Times New Roman" w:hAnsi="Segoe UI" w:cs="Segoe UI"/>
          <w:b/>
          <w:bCs/>
          <w:color w:val="000000"/>
          <w:sz w:val="18"/>
          <w:szCs w:val="18"/>
          <w:u w:val="single"/>
          <w:lang w:eastAsia="en-GB"/>
        </w:rPr>
      </w:pPr>
      <w:r w:rsidRPr="009F5FE7">
        <w:rPr>
          <w:rFonts w:ascii="Calibri" w:eastAsia="Calibri" w:hAnsi="Calibri" w:cs="Times New Roman"/>
          <w:noProof/>
        </w:rPr>
        <w:drawing>
          <wp:inline distT="0" distB="0" distL="0" distR="0" wp14:anchorId="53384230" wp14:editId="1C6EFAE8">
            <wp:extent cx="5397500" cy="1441450"/>
            <wp:effectExtent l="0" t="0" r="0" b="6350"/>
            <wp:docPr id="15" name="Picture 9"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9" descr="A black and white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7500" cy="1441450"/>
                    </a:xfrm>
                    <a:prstGeom prst="rect">
                      <a:avLst/>
                    </a:prstGeom>
                    <a:noFill/>
                    <a:ln>
                      <a:noFill/>
                    </a:ln>
                  </pic:spPr>
                </pic:pic>
              </a:graphicData>
            </a:graphic>
          </wp:inline>
        </w:drawing>
      </w:r>
    </w:p>
    <w:p w14:paraId="1761B20F" w14:textId="77777777" w:rsidR="00527BD1" w:rsidRPr="009F5FE7" w:rsidRDefault="00527BD1" w:rsidP="00527BD1">
      <w:pPr>
        <w:spacing w:after="0" w:line="240" w:lineRule="auto"/>
        <w:textAlignment w:val="baseline"/>
        <w:rPr>
          <w:rFonts w:ascii="Segoe UI" w:eastAsia="Times New Roman" w:hAnsi="Segoe UI" w:cs="Segoe UI"/>
          <w:b/>
          <w:bCs/>
          <w:color w:val="000000"/>
          <w:sz w:val="18"/>
          <w:szCs w:val="18"/>
          <w:u w:val="single"/>
          <w:lang w:eastAsia="en-GB"/>
        </w:rPr>
      </w:pPr>
    </w:p>
    <w:p w14:paraId="19F8B92D" w14:textId="77777777" w:rsidR="00527BD1" w:rsidRPr="009F5FE7" w:rsidRDefault="00527BD1" w:rsidP="00527BD1">
      <w:pPr>
        <w:spacing w:after="0" w:line="240" w:lineRule="auto"/>
        <w:textAlignment w:val="baseline"/>
        <w:rPr>
          <w:rFonts w:ascii="Segoe UI" w:eastAsia="Times New Roman" w:hAnsi="Segoe UI" w:cs="Segoe UI"/>
          <w:b/>
          <w:bCs/>
          <w:color w:val="000000"/>
          <w:sz w:val="18"/>
          <w:szCs w:val="18"/>
          <w:u w:val="single"/>
          <w:lang w:eastAsia="en-GB"/>
        </w:rPr>
      </w:pPr>
    </w:p>
    <w:p w14:paraId="75E4B103" w14:textId="77777777" w:rsidR="00527BD1" w:rsidRPr="009F5FE7" w:rsidRDefault="00527BD1" w:rsidP="00527BD1">
      <w:pPr>
        <w:spacing w:after="0" w:line="240" w:lineRule="auto"/>
        <w:textAlignment w:val="baseline"/>
        <w:rPr>
          <w:rFonts w:ascii="Segoe UI" w:eastAsia="Times New Roman" w:hAnsi="Segoe UI" w:cs="Segoe UI"/>
          <w:b/>
          <w:bCs/>
          <w:color w:val="000000"/>
          <w:sz w:val="20"/>
          <w:szCs w:val="20"/>
          <w:u w:val="single"/>
          <w:lang w:eastAsia="en-GB"/>
        </w:rPr>
      </w:pPr>
    </w:p>
    <w:p w14:paraId="6167ACBC" w14:textId="77777777" w:rsidR="00527BD1" w:rsidRPr="009F5FE7" w:rsidRDefault="00527BD1" w:rsidP="00527BD1">
      <w:pPr>
        <w:spacing w:after="0" w:line="240" w:lineRule="auto"/>
        <w:textAlignment w:val="baseline"/>
        <w:rPr>
          <w:rFonts w:ascii="Segoe UI" w:eastAsia="Times New Roman" w:hAnsi="Segoe UI" w:cs="Segoe UI"/>
          <w:b/>
          <w:bCs/>
          <w:color w:val="000000"/>
          <w:sz w:val="20"/>
          <w:szCs w:val="20"/>
          <w:u w:val="single"/>
          <w:lang w:eastAsia="en-GB"/>
        </w:rPr>
      </w:pPr>
    </w:p>
    <w:p w14:paraId="615A90D2" w14:textId="77777777" w:rsidR="00527BD1" w:rsidRPr="009F5FE7" w:rsidRDefault="00527BD1" w:rsidP="00527BD1">
      <w:pPr>
        <w:spacing w:after="0" w:line="240" w:lineRule="auto"/>
        <w:textAlignment w:val="baseline"/>
        <w:rPr>
          <w:rFonts w:ascii="Segoe UI" w:eastAsia="Times New Roman" w:hAnsi="Segoe UI" w:cs="Segoe UI"/>
          <w:b/>
          <w:bCs/>
          <w:color w:val="000000"/>
          <w:sz w:val="20"/>
          <w:szCs w:val="20"/>
          <w:u w:val="single"/>
          <w:lang w:eastAsia="en-GB"/>
        </w:rPr>
      </w:pPr>
    </w:p>
    <w:p w14:paraId="6A72B109" w14:textId="77777777" w:rsidR="00527BD1" w:rsidRPr="009F5FE7" w:rsidRDefault="00527BD1" w:rsidP="00527BD1">
      <w:pPr>
        <w:spacing w:after="0" w:line="240" w:lineRule="auto"/>
        <w:textAlignment w:val="baseline"/>
        <w:rPr>
          <w:rFonts w:ascii="Segoe UI" w:eastAsia="Times New Roman" w:hAnsi="Segoe UI" w:cs="Segoe UI"/>
          <w:b/>
          <w:bCs/>
          <w:color w:val="000000"/>
          <w:sz w:val="28"/>
          <w:szCs w:val="28"/>
          <w:u w:val="single"/>
          <w:lang w:eastAsia="en-GB"/>
        </w:rPr>
      </w:pPr>
    </w:p>
    <w:p w14:paraId="4CFEA3EC" w14:textId="77777777" w:rsidR="00527BD1" w:rsidRPr="009F5FE7" w:rsidRDefault="00527BD1" w:rsidP="00527BD1">
      <w:pPr>
        <w:spacing w:after="0" w:line="240" w:lineRule="auto"/>
        <w:textAlignment w:val="baseline"/>
        <w:rPr>
          <w:rFonts w:ascii="Segoe UI" w:eastAsia="Times New Roman" w:hAnsi="Segoe UI" w:cs="Segoe UI"/>
          <w:color w:val="000000"/>
          <w:sz w:val="28"/>
          <w:szCs w:val="28"/>
          <w:lang w:eastAsia="en-GB"/>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520"/>
        <w:gridCol w:w="2160"/>
        <w:gridCol w:w="2160"/>
      </w:tblGrid>
      <w:tr w:rsidR="00527BD1" w:rsidRPr="009F5FE7" w14:paraId="3ACD5D12" w14:textId="77777777">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5FE38606" w14:textId="77777777" w:rsidR="00527BD1" w:rsidRPr="009F5FE7" w:rsidRDefault="00527BD1" w:rsidP="00527BD1">
            <w:pPr>
              <w:spacing w:after="0" w:line="240" w:lineRule="auto"/>
              <w:ind w:left="132"/>
              <w:textAlignment w:val="baseline"/>
              <w:rPr>
                <w:rFonts w:ascii="Arial" w:eastAsia="Times New Roman" w:hAnsi="Arial" w:cs="Arial"/>
                <w:color w:val="000000"/>
                <w:sz w:val="28"/>
                <w:szCs w:val="28"/>
                <w:lang w:eastAsia="en-GB"/>
              </w:rPr>
            </w:pPr>
            <w:r w:rsidRPr="009F5FE7">
              <w:rPr>
                <w:rFonts w:ascii="Arial" w:eastAsia="Times New Roman" w:hAnsi="Arial" w:cs="Arial"/>
                <w:color w:val="000000"/>
                <w:sz w:val="28"/>
                <w:szCs w:val="28"/>
                <w:lang w:eastAsia="en-GB"/>
              </w:rPr>
              <w:t>Document title   </w:t>
            </w:r>
          </w:p>
        </w:tc>
        <w:tc>
          <w:tcPr>
            <w:tcW w:w="6840" w:type="dxa"/>
            <w:gridSpan w:val="3"/>
            <w:tcBorders>
              <w:top w:val="single" w:sz="6" w:space="0" w:color="000000"/>
              <w:left w:val="single" w:sz="6" w:space="0" w:color="000000"/>
              <w:bottom w:val="single" w:sz="6" w:space="0" w:color="000000"/>
              <w:right w:val="single" w:sz="6" w:space="0" w:color="000000"/>
            </w:tcBorders>
            <w:hideMark/>
          </w:tcPr>
          <w:p w14:paraId="36998699" w14:textId="09B0D03F" w:rsidR="00527BD1" w:rsidRPr="009F5FE7" w:rsidRDefault="00E2527E" w:rsidP="00527BD1">
            <w:pPr>
              <w:spacing w:after="0" w:line="240" w:lineRule="auto"/>
              <w:ind w:left="98"/>
              <w:textAlignment w:val="baseline"/>
              <w:rPr>
                <w:rFonts w:ascii="Arial" w:eastAsia="Times New Roman" w:hAnsi="Arial" w:cs="Arial"/>
                <w:i/>
                <w:iCs/>
                <w:color w:val="000000"/>
                <w:sz w:val="28"/>
                <w:szCs w:val="28"/>
                <w:lang w:eastAsia="en-GB"/>
              </w:rPr>
            </w:pPr>
            <w:r w:rsidRPr="009F5FE7">
              <w:rPr>
                <w:rFonts w:ascii="Arial" w:eastAsia="Times New Roman" w:hAnsi="Arial" w:cs="Arial"/>
                <w:i/>
                <w:iCs/>
                <w:color w:val="000000"/>
                <w:sz w:val="28"/>
                <w:szCs w:val="28"/>
                <w:lang w:eastAsia="en-GB"/>
              </w:rPr>
              <w:t>Housing Needs Assessment 2025</w:t>
            </w:r>
          </w:p>
        </w:tc>
      </w:tr>
      <w:tr w:rsidR="00527BD1" w:rsidRPr="009F5FE7" w14:paraId="280F14D0" w14:textId="77777777">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73784BEF" w14:textId="77777777" w:rsidR="00527BD1" w:rsidRPr="009F5FE7" w:rsidRDefault="00527BD1" w:rsidP="00527BD1">
            <w:pPr>
              <w:spacing w:after="0" w:line="240" w:lineRule="auto"/>
              <w:ind w:firstLine="132"/>
              <w:textAlignment w:val="baseline"/>
              <w:rPr>
                <w:rFonts w:ascii="Arial" w:eastAsia="Times New Roman" w:hAnsi="Arial" w:cs="Arial"/>
                <w:color w:val="000000"/>
                <w:sz w:val="28"/>
                <w:szCs w:val="28"/>
                <w:lang w:eastAsia="en-GB"/>
              </w:rPr>
            </w:pPr>
            <w:r w:rsidRPr="009F5FE7">
              <w:rPr>
                <w:rFonts w:ascii="Arial" w:eastAsia="Times New Roman" w:hAnsi="Arial" w:cs="Arial"/>
                <w:color w:val="000000"/>
                <w:sz w:val="28"/>
                <w:szCs w:val="28"/>
                <w:lang w:eastAsia="en-GB"/>
              </w:rPr>
              <w:t>Owner   </w:t>
            </w:r>
          </w:p>
        </w:tc>
        <w:tc>
          <w:tcPr>
            <w:tcW w:w="6840" w:type="dxa"/>
            <w:gridSpan w:val="3"/>
            <w:tcBorders>
              <w:top w:val="single" w:sz="6" w:space="0" w:color="000000"/>
              <w:left w:val="single" w:sz="6" w:space="0" w:color="000000"/>
              <w:bottom w:val="single" w:sz="6" w:space="0" w:color="000000"/>
              <w:right w:val="single" w:sz="6" w:space="0" w:color="000000"/>
            </w:tcBorders>
            <w:hideMark/>
          </w:tcPr>
          <w:p w14:paraId="69060C34" w14:textId="49C9565C" w:rsidR="00527BD1" w:rsidRPr="009F5FE7" w:rsidRDefault="00527BD1" w:rsidP="00527BD1">
            <w:pPr>
              <w:spacing w:after="0" w:line="240" w:lineRule="auto"/>
              <w:textAlignment w:val="baseline"/>
              <w:rPr>
                <w:rFonts w:ascii="Arial" w:eastAsia="Times New Roman" w:hAnsi="Arial" w:cs="Arial"/>
                <w:i/>
                <w:iCs/>
                <w:color w:val="000000"/>
                <w:sz w:val="28"/>
                <w:szCs w:val="28"/>
                <w:lang w:eastAsia="en-GB"/>
              </w:rPr>
            </w:pPr>
            <w:r w:rsidRPr="009F5FE7">
              <w:rPr>
                <w:rFonts w:ascii="Arial" w:eastAsia="Times New Roman" w:hAnsi="Arial" w:cs="Arial"/>
                <w:i/>
                <w:iCs/>
                <w:color w:val="000000"/>
                <w:sz w:val="28"/>
                <w:szCs w:val="28"/>
                <w:lang w:eastAsia="en-GB"/>
              </w:rPr>
              <w:t xml:space="preserve"> </w:t>
            </w:r>
            <w:r w:rsidR="00E2527E" w:rsidRPr="009F5FE7">
              <w:rPr>
                <w:rFonts w:ascii="Arial" w:eastAsia="Times New Roman" w:hAnsi="Arial" w:cs="Arial"/>
                <w:i/>
                <w:iCs/>
                <w:color w:val="000000"/>
                <w:sz w:val="28"/>
                <w:szCs w:val="28"/>
                <w:lang w:eastAsia="en-GB"/>
              </w:rPr>
              <w:t>Louis Bebb, Housing Policy and Strategy Officer</w:t>
            </w:r>
          </w:p>
        </w:tc>
      </w:tr>
      <w:tr w:rsidR="00527BD1" w:rsidRPr="009F5FE7" w14:paraId="290F4D98" w14:textId="77777777">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659E34F2" w14:textId="77777777" w:rsidR="00527BD1" w:rsidRPr="009F5FE7" w:rsidRDefault="00527BD1" w:rsidP="00527BD1">
            <w:pPr>
              <w:spacing w:after="0" w:line="240" w:lineRule="auto"/>
              <w:ind w:firstLine="132"/>
              <w:textAlignment w:val="baseline"/>
              <w:rPr>
                <w:rFonts w:ascii="Arial" w:eastAsia="Times New Roman" w:hAnsi="Arial" w:cs="Arial"/>
                <w:color w:val="000000"/>
                <w:sz w:val="28"/>
                <w:szCs w:val="28"/>
                <w:lang w:eastAsia="en-GB"/>
              </w:rPr>
            </w:pPr>
            <w:r w:rsidRPr="009F5FE7">
              <w:rPr>
                <w:rFonts w:ascii="Arial" w:eastAsia="Times New Roman" w:hAnsi="Arial" w:cs="Arial"/>
                <w:color w:val="000000"/>
                <w:sz w:val="28"/>
                <w:szCs w:val="28"/>
                <w:lang w:eastAsia="en-GB"/>
              </w:rPr>
              <w:t>Approved by</w:t>
            </w:r>
          </w:p>
        </w:tc>
        <w:tc>
          <w:tcPr>
            <w:tcW w:w="6840" w:type="dxa"/>
            <w:gridSpan w:val="3"/>
            <w:tcBorders>
              <w:top w:val="single" w:sz="6" w:space="0" w:color="000000"/>
              <w:left w:val="single" w:sz="6" w:space="0" w:color="000000"/>
              <w:bottom w:val="single" w:sz="6" w:space="0" w:color="000000"/>
              <w:right w:val="single" w:sz="6" w:space="0" w:color="000000"/>
            </w:tcBorders>
          </w:tcPr>
          <w:p w14:paraId="01620966" w14:textId="4651C9EE" w:rsidR="00527BD1" w:rsidRPr="00700427" w:rsidRDefault="00E87B3F" w:rsidP="00E87B3F">
            <w:pPr>
              <w:spacing w:after="0" w:line="240" w:lineRule="auto"/>
              <w:ind w:left="98"/>
              <w:textAlignment w:val="baseline"/>
              <w:rPr>
                <w:rFonts w:ascii="Arial" w:eastAsia="Times New Roman" w:hAnsi="Arial" w:cs="Arial"/>
                <w:i/>
                <w:iCs/>
                <w:color w:val="000000"/>
                <w:sz w:val="28"/>
                <w:szCs w:val="28"/>
                <w:lang w:eastAsia="en-GB"/>
              </w:rPr>
            </w:pPr>
            <w:r w:rsidRPr="00E87B3F">
              <w:rPr>
                <w:rFonts w:ascii="Arial" w:eastAsia="Times New Roman" w:hAnsi="Arial" w:cs="Arial"/>
                <w:i/>
                <w:iCs/>
                <w:color w:val="000000"/>
                <w:sz w:val="28"/>
                <w:szCs w:val="28"/>
                <w:lang w:eastAsia="en-GB"/>
              </w:rPr>
              <w:t xml:space="preserve">Safer Neighbourhoods and Active Communities </w:t>
            </w:r>
            <w:r>
              <w:rPr>
                <w:rFonts w:ascii="Arial" w:eastAsia="Times New Roman" w:hAnsi="Arial" w:cs="Arial"/>
                <w:i/>
                <w:iCs/>
                <w:color w:val="000000"/>
                <w:sz w:val="28"/>
                <w:szCs w:val="28"/>
                <w:lang w:eastAsia="en-GB"/>
              </w:rPr>
              <w:t xml:space="preserve">(SNAC) </w:t>
            </w:r>
            <w:r w:rsidRPr="00E87B3F">
              <w:rPr>
                <w:rFonts w:ascii="Arial" w:eastAsia="Times New Roman" w:hAnsi="Arial" w:cs="Arial"/>
                <w:i/>
                <w:iCs/>
                <w:color w:val="000000"/>
                <w:sz w:val="28"/>
                <w:szCs w:val="28"/>
                <w:lang w:eastAsia="en-GB"/>
              </w:rPr>
              <w:t>Scrutiny Board</w:t>
            </w:r>
          </w:p>
        </w:tc>
      </w:tr>
      <w:tr w:rsidR="00527BD1" w:rsidRPr="009F5FE7" w14:paraId="327A7607" w14:textId="77777777">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4B209B42" w14:textId="77777777" w:rsidR="00527BD1" w:rsidRPr="009F5FE7" w:rsidRDefault="00527BD1" w:rsidP="00527BD1">
            <w:pPr>
              <w:spacing w:after="0" w:line="240" w:lineRule="auto"/>
              <w:ind w:firstLine="132"/>
              <w:textAlignment w:val="baseline"/>
              <w:rPr>
                <w:rFonts w:ascii="Arial" w:eastAsia="Times New Roman" w:hAnsi="Arial" w:cs="Arial"/>
                <w:color w:val="000000"/>
                <w:sz w:val="28"/>
                <w:szCs w:val="28"/>
                <w:lang w:eastAsia="en-GB"/>
              </w:rPr>
            </w:pPr>
            <w:r w:rsidRPr="009F5FE7">
              <w:rPr>
                <w:rFonts w:ascii="Arial" w:eastAsia="Times New Roman" w:hAnsi="Arial" w:cs="Arial"/>
                <w:color w:val="000000"/>
                <w:sz w:val="28"/>
                <w:szCs w:val="28"/>
                <w:lang w:eastAsia="en-GB"/>
              </w:rPr>
              <w:t>Status   </w:t>
            </w:r>
          </w:p>
        </w:tc>
        <w:tc>
          <w:tcPr>
            <w:tcW w:w="2520" w:type="dxa"/>
            <w:tcBorders>
              <w:top w:val="single" w:sz="6" w:space="0" w:color="000000"/>
              <w:left w:val="single" w:sz="6" w:space="0" w:color="000000"/>
              <w:bottom w:val="single" w:sz="6" w:space="0" w:color="000000"/>
              <w:right w:val="single" w:sz="6" w:space="0" w:color="000000"/>
            </w:tcBorders>
            <w:hideMark/>
          </w:tcPr>
          <w:p w14:paraId="3CF10C8E" w14:textId="4DD063C1" w:rsidR="00527BD1" w:rsidRPr="009F5FE7" w:rsidRDefault="00700427" w:rsidP="00527BD1">
            <w:pPr>
              <w:spacing w:after="0" w:line="240" w:lineRule="auto"/>
              <w:ind w:firstLine="98"/>
              <w:textAlignment w:val="baseline"/>
              <w:rPr>
                <w:rFonts w:ascii="Arial" w:eastAsia="Times New Roman" w:hAnsi="Arial" w:cs="Arial"/>
                <w:i/>
                <w:iCs/>
                <w:color w:val="000000"/>
                <w:sz w:val="28"/>
                <w:szCs w:val="28"/>
                <w:lang w:eastAsia="en-GB"/>
              </w:rPr>
            </w:pPr>
            <w:r>
              <w:rPr>
                <w:rFonts w:ascii="Arial" w:eastAsia="Times New Roman" w:hAnsi="Arial" w:cs="Arial"/>
                <w:i/>
                <w:iCs/>
                <w:color w:val="000000"/>
                <w:sz w:val="28"/>
                <w:szCs w:val="28"/>
                <w:lang w:eastAsia="en-GB"/>
              </w:rPr>
              <w:t>Final</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067B7004" w14:textId="77777777" w:rsidR="00527BD1" w:rsidRPr="009F5FE7" w:rsidRDefault="00527BD1" w:rsidP="00527BD1">
            <w:pPr>
              <w:spacing w:after="0" w:line="240" w:lineRule="auto"/>
              <w:ind w:firstLine="98"/>
              <w:textAlignment w:val="baseline"/>
              <w:rPr>
                <w:rFonts w:ascii="Times New Roman" w:eastAsia="Times New Roman" w:hAnsi="Times New Roman" w:cs="Times New Roman"/>
                <w:color w:val="000000"/>
                <w:sz w:val="28"/>
                <w:szCs w:val="28"/>
                <w:lang w:eastAsia="en-GB"/>
              </w:rPr>
            </w:pPr>
            <w:r w:rsidRPr="009F5FE7">
              <w:rPr>
                <w:rFonts w:ascii="Arial" w:eastAsia="Times New Roman" w:hAnsi="Arial" w:cs="Arial"/>
                <w:color w:val="000000"/>
                <w:sz w:val="28"/>
                <w:szCs w:val="28"/>
                <w:lang w:eastAsia="en-GB"/>
              </w:rPr>
              <w:t>Version   </w:t>
            </w:r>
          </w:p>
        </w:tc>
        <w:tc>
          <w:tcPr>
            <w:tcW w:w="2160" w:type="dxa"/>
            <w:tcBorders>
              <w:top w:val="single" w:sz="6" w:space="0" w:color="000000"/>
              <w:left w:val="single" w:sz="6" w:space="0" w:color="000000"/>
              <w:bottom w:val="single" w:sz="6" w:space="0" w:color="000000"/>
              <w:right w:val="single" w:sz="6" w:space="0" w:color="000000"/>
            </w:tcBorders>
            <w:hideMark/>
          </w:tcPr>
          <w:p w14:paraId="4885076B" w14:textId="04AFCAAC" w:rsidR="00527BD1" w:rsidRPr="009F5FE7" w:rsidRDefault="00527BD1" w:rsidP="00527BD1">
            <w:pPr>
              <w:spacing w:after="0" w:line="240" w:lineRule="auto"/>
              <w:textAlignment w:val="baseline"/>
              <w:rPr>
                <w:rFonts w:ascii="Arial" w:eastAsia="Times New Roman" w:hAnsi="Arial" w:cs="Arial"/>
                <w:i/>
                <w:iCs/>
                <w:color w:val="000000"/>
                <w:sz w:val="28"/>
                <w:szCs w:val="28"/>
                <w:lang w:eastAsia="en-GB"/>
              </w:rPr>
            </w:pPr>
            <w:r w:rsidRPr="009F5FE7">
              <w:rPr>
                <w:rFonts w:ascii="Arial" w:eastAsia="Times New Roman" w:hAnsi="Arial" w:cs="Arial"/>
                <w:i/>
                <w:iCs/>
                <w:color w:val="000000"/>
                <w:sz w:val="28"/>
                <w:szCs w:val="28"/>
                <w:lang w:eastAsia="en-GB"/>
              </w:rPr>
              <w:t xml:space="preserve"> 2.</w:t>
            </w:r>
            <w:r w:rsidR="00700427">
              <w:rPr>
                <w:rFonts w:ascii="Arial" w:eastAsia="Times New Roman" w:hAnsi="Arial" w:cs="Arial"/>
                <w:i/>
                <w:iCs/>
                <w:color w:val="000000"/>
                <w:sz w:val="28"/>
                <w:szCs w:val="28"/>
                <w:lang w:eastAsia="en-GB"/>
              </w:rPr>
              <w:t>0</w:t>
            </w:r>
          </w:p>
        </w:tc>
      </w:tr>
      <w:tr w:rsidR="00527BD1" w:rsidRPr="009F5FE7" w14:paraId="2D50311D" w14:textId="77777777">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1F0EC270" w14:textId="77777777" w:rsidR="00527BD1" w:rsidRPr="009F5FE7" w:rsidRDefault="00527BD1" w:rsidP="00527BD1">
            <w:pPr>
              <w:spacing w:after="0" w:line="240" w:lineRule="auto"/>
              <w:ind w:firstLine="132"/>
              <w:textAlignment w:val="baseline"/>
              <w:rPr>
                <w:rFonts w:ascii="Arial" w:eastAsia="Times New Roman" w:hAnsi="Arial" w:cs="Arial"/>
                <w:color w:val="000000"/>
                <w:sz w:val="28"/>
                <w:szCs w:val="28"/>
                <w:lang w:eastAsia="en-GB"/>
              </w:rPr>
            </w:pPr>
            <w:r w:rsidRPr="009F5FE7">
              <w:rPr>
                <w:rFonts w:ascii="Arial" w:eastAsia="Times New Roman" w:hAnsi="Arial" w:cs="Arial"/>
                <w:color w:val="000000"/>
                <w:sz w:val="28"/>
                <w:szCs w:val="28"/>
                <w:lang w:eastAsia="en-GB"/>
              </w:rPr>
              <w:t>Effective from   </w:t>
            </w:r>
          </w:p>
        </w:tc>
        <w:tc>
          <w:tcPr>
            <w:tcW w:w="2520" w:type="dxa"/>
            <w:tcBorders>
              <w:top w:val="single" w:sz="6" w:space="0" w:color="000000"/>
              <w:left w:val="single" w:sz="6" w:space="0" w:color="000000"/>
              <w:bottom w:val="single" w:sz="6" w:space="0" w:color="000000"/>
              <w:right w:val="single" w:sz="6" w:space="0" w:color="000000"/>
            </w:tcBorders>
            <w:hideMark/>
          </w:tcPr>
          <w:p w14:paraId="1445F8A4" w14:textId="0C990E3D" w:rsidR="00527BD1" w:rsidRPr="009F5FE7" w:rsidRDefault="00E2527E" w:rsidP="00527BD1">
            <w:pPr>
              <w:spacing w:line="256" w:lineRule="auto"/>
              <w:rPr>
                <w:rFonts w:ascii="Arial" w:eastAsia="Times New Roman" w:hAnsi="Arial" w:cs="Arial"/>
                <w:i/>
                <w:iCs/>
                <w:color w:val="000000"/>
                <w:sz w:val="28"/>
                <w:szCs w:val="28"/>
                <w:lang w:eastAsia="en-GB"/>
              </w:rPr>
            </w:pPr>
            <w:r w:rsidRPr="009F5FE7">
              <w:rPr>
                <w:rFonts w:ascii="Arial" w:eastAsia="Times New Roman" w:hAnsi="Arial" w:cs="Arial"/>
                <w:color w:val="000000"/>
                <w:sz w:val="28"/>
                <w:szCs w:val="28"/>
                <w:lang w:eastAsia="en-GB"/>
              </w:rPr>
              <w:t xml:space="preserve"> </w:t>
            </w:r>
            <w:r w:rsidRPr="009F5FE7">
              <w:rPr>
                <w:rFonts w:ascii="Arial" w:eastAsia="Times New Roman" w:hAnsi="Arial" w:cs="Arial"/>
                <w:i/>
                <w:iCs/>
                <w:color w:val="000000"/>
                <w:sz w:val="28"/>
                <w:szCs w:val="28"/>
                <w:lang w:eastAsia="en-GB"/>
              </w:rPr>
              <w:t>November 2025</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5B6056A9" w14:textId="77777777" w:rsidR="00527BD1" w:rsidRPr="009F5FE7" w:rsidRDefault="00527BD1" w:rsidP="00527BD1">
            <w:pPr>
              <w:spacing w:after="0" w:line="240" w:lineRule="auto"/>
              <w:ind w:firstLine="98"/>
              <w:textAlignment w:val="baseline"/>
              <w:rPr>
                <w:rFonts w:ascii="Times New Roman" w:eastAsia="Times New Roman" w:hAnsi="Times New Roman" w:cs="Times New Roman"/>
                <w:color w:val="000000"/>
                <w:sz w:val="28"/>
                <w:szCs w:val="28"/>
                <w:lang w:eastAsia="en-GB"/>
              </w:rPr>
            </w:pPr>
            <w:r w:rsidRPr="009F5FE7">
              <w:rPr>
                <w:rFonts w:ascii="Arial" w:eastAsia="Times New Roman" w:hAnsi="Arial" w:cs="Arial"/>
                <w:color w:val="000000"/>
                <w:sz w:val="28"/>
                <w:szCs w:val="28"/>
                <w:lang w:eastAsia="en-GB"/>
              </w:rPr>
              <w:t>Approved   on   </w:t>
            </w:r>
          </w:p>
        </w:tc>
        <w:tc>
          <w:tcPr>
            <w:tcW w:w="2160" w:type="dxa"/>
            <w:tcBorders>
              <w:top w:val="single" w:sz="6" w:space="0" w:color="000000"/>
              <w:left w:val="single" w:sz="6" w:space="0" w:color="000000"/>
              <w:bottom w:val="single" w:sz="6" w:space="0" w:color="000000"/>
              <w:right w:val="single" w:sz="6" w:space="0" w:color="000000"/>
            </w:tcBorders>
            <w:hideMark/>
          </w:tcPr>
          <w:p w14:paraId="19E97C3F" w14:textId="748D3A8E" w:rsidR="00527BD1" w:rsidRPr="00700427" w:rsidRDefault="00700427" w:rsidP="00527BD1">
            <w:pPr>
              <w:spacing w:line="256" w:lineRule="auto"/>
              <w:rPr>
                <w:rFonts w:ascii="Arial" w:eastAsia="Times New Roman" w:hAnsi="Arial" w:cs="Arial"/>
                <w:i/>
                <w:iCs/>
                <w:color w:val="000000"/>
                <w:sz w:val="28"/>
                <w:szCs w:val="28"/>
                <w:lang w:eastAsia="en-GB"/>
              </w:rPr>
            </w:pPr>
            <w:r>
              <w:rPr>
                <w:rFonts w:ascii="Times New Roman" w:eastAsia="Times New Roman" w:hAnsi="Times New Roman" w:cs="Times New Roman"/>
                <w:color w:val="000000"/>
                <w:sz w:val="28"/>
                <w:szCs w:val="28"/>
                <w:lang w:eastAsia="en-GB"/>
              </w:rPr>
              <w:t xml:space="preserve"> </w:t>
            </w:r>
            <w:r w:rsidRPr="00700427">
              <w:rPr>
                <w:rFonts w:ascii="Arial" w:eastAsia="Times New Roman" w:hAnsi="Arial" w:cs="Arial"/>
                <w:i/>
                <w:iCs/>
                <w:color w:val="000000"/>
                <w:sz w:val="28"/>
                <w:szCs w:val="28"/>
                <w:lang w:eastAsia="en-GB"/>
              </w:rPr>
              <w:t>20/01/2026</w:t>
            </w:r>
          </w:p>
        </w:tc>
      </w:tr>
      <w:tr w:rsidR="00527BD1" w:rsidRPr="009F5FE7" w14:paraId="72980E0E" w14:textId="77777777">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7878F029" w14:textId="77777777" w:rsidR="00527BD1" w:rsidRPr="009F5FE7" w:rsidRDefault="00527BD1" w:rsidP="00527BD1">
            <w:pPr>
              <w:spacing w:after="0" w:line="240" w:lineRule="auto"/>
              <w:ind w:firstLine="132"/>
              <w:textAlignment w:val="baseline"/>
              <w:rPr>
                <w:rFonts w:ascii="Arial" w:eastAsia="Times New Roman" w:hAnsi="Arial" w:cs="Arial"/>
                <w:color w:val="000000"/>
                <w:sz w:val="28"/>
                <w:szCs w:val="28"/>
                <w:lang w:eastAsia="en-GB"/>
              </w:rPr>
            </w:pPr>
            <w:r w:rsidRPr="009F5FE7">
              <w:rPr>
                <w:rFonts w:ascii="Arial" w:eastAsia="Times New Roman" w:hAnsi="Arial" w:cs="Arial"/>
                <w:color w:val="000000"/>
                <w:sz w:val="28"/>
                <w:szCs w:val="28"/>
                <w:lang w:eastAsia="en-GB"/>
              </w:rPr>
              <w:t>Last updated   </w:t>
            </w:r>
          </w:p>
        </w:tc>
        <w:tc>
          <w:tcPr>
            <w:tcW w:w="2520" w:type="dxa"/>
            <w:tcBorders>
              <w:top w:val="single" w:sz="6" w:space="0" w:color="000000"/>
              <w:left w:val="single" w:sz="6" w:space="0" w:color="000000"/>
              <w:bottom w:val="single" w:sz="6" w:space="0" w:color="000000"/>
              <w:right w:val="single" w:sz="6" w:space="0" w:color="000000"/>
            </w:tcBorders>
            <w:hideMark/>
          </w:tcPr>
          <w:p w14:paraId="52A251CD" w14:textId="3B51A86D" w:rsidR="00527BD1" w:rsidRPr="009F5FE7" w:rsidRDefault="003416EB" w:rsidP="00527BD1">
            <w:pPr>
              <w:spacing w:after="0" w:line="240" w:lineRule="auto"/>
              <w:ind w:firstLine="98"/>
              <w:textAlignment w:val="baseline"/>
              <w:rPr>
                <w:rFonts w:ascii="Arial" w:eastAsia="Times New Roman" w:hAnsi="Arial" w:cs="Arial"/>
                <w:color w:val="000000"/>
                <w:sz w:val="28"/>
                <w:szCs w:val="28"/>
                <w:lang w:eastAsia="en-GB"/>
              </w:rPr>
            </w:pPr>
            <w:r w:rsidRPr="009F5FE7">
              <w:rPr>
                <w:rFonts w:ascii="Arial" w:eastAsia="Times New Roman" w:hAnsi="Arial" w:cs="Arial"/>
                <w:color w:val="000000"/>
                <w:sz w:val="28"/>
                <w:szCs w:val="28"/>
                <w:lang w:eastAsia="en-GB"/>
              </w:rPr>
              <w:t>28</w:t>
            </w:r>
            <w:r w:rsidR="00527BD1" w:rsidRPr="009F5FE7">
              <w:rPr>
                <w:rFonts w:ascii="Arial" w:eastAsia="Times New Roman" w:hAnsi="Arial" w:cs="Arial"/>
                <w:color w:val="000000"/>
                <w:sz w:val="28"/>
                <w:szCs w:val="28"/>
                <w:lang w:eastAsia="en-GB"/>
              </w:rPr>
              <w:t>/</w:t>
            </w:r>
            <w:r w:rsidR="00E2527E" w:rsidRPr="009F5FE7">
              <w:rPr>
                <w:rFonts w:ascii="Arial" w:eastAsia="Times New Roman" w:hAnsi="Arial" w:cs="Arial"/>
                <w:color w:val="000000"/>
                <w:sz w:val="28"/>
                <w:szCs w:val="28"/>
                <w:lang w:eastAsia="en-GB"/>
              </w:rPr>
              <w:t>11</w:t>
            </w:r>
            <w:r w:rsidR="00527BD1" w:rsidRPr="009F5FE7">
              <w:rPr>
                <w:rFonts w:ascii="Arial" w:eastAsia="Times New Roman" w:hAnsi="Arial" w:cs="Arial"/>
                <w:color w:val="000000"/>
                <w:sz w:val="28"/>
                <w:szCs w:val="28"/>
                <w:lang w:eastAsia="en-GB"/>
              </w:rPr>
              <w:t>/2025</w:t>
            </w:r>
          </w:p>
        </w:tc>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3828F785" w14:textId="77777777" w:rsidR="00527BD1" w:rsidRPr="009F5FE7" w:rsidRDefault="00527BD1" w:rsidP="00527BD1">
            <w:pPr>
              <w:spacing w:after="0" w:line="240" w:lineRule="auto"/>
              <w:ind w:left="130"/>
              <w:textAlignment w:val="baseline"/>
              <w:rPr>
                <w:rFonts w:ascii="Times New Roman" w:eastAsia="Times New Roman" w:hAnsi="Times New Roman" w:cs="Times New Roman"/>
                <w:color w:val="000000"/>
                <w:sz w:val="28"/>
                <w:szCs w:val="28"/>
                <w:lang w:eastAsia="en-GB"/>
              </w:rPr>
            </w:pPr>
            <w:r w:rsidRPr="009F5FE7">
              <w:rPr>
                <w:rFonts w:ascii="Arial" w:eastAsia="Times New Roman" w:hAnsi="Arial" w:cs="Arial"/>
                <w:color w:val="000000"/>
                <w:sz w:val="28"/>
                <w:szCs w:val="28"/>
                <w:lang w:eastAsia="en-GB"/>
              </w:rPr>
              <w:t>Last updated by  </w:t>
            </w:r>
          </w:p>
        </w:tc>
        <w:tc>
          <w:tcPr>
            <w:tcW w:w="2160" w:type="dxa"/>
            <w:tcBorders>
              <w:top w:val="single" w:sz="6" w:space="0" w:color="000000"/>
              <w:left w:val="single" w:sz="6" w:space="0" w:color="000000"/>
              <w:bottom w:val="single" w:sz="6" w:space="0" w:color="000000"/>
              <w:right w:val="single" w:sz="6" w:space="0" w:color="000000"/>
            </w:tcBorders>
            <w:hideMark/>
          </w:tcPr>
          <w:p w14:paraId="16AC7F30" w14:textId="767BDCE4" w:rsidR="00527BD1" w:rsidRPr="009F5FE7" w:rsidRDefault="00E2527E" w:rsidP="00527BD1">
            <w:pPr>
              <w:spacing w:after="0" w:line="240" w:lineRule="auto"/>
              <w:ind w:firstLine="98"/>
              <w:textAlignment w:val="baseline"/>
              <w:rPr>
                <w:rFonts w:ascii="Times New Roman" w:eastAsia="Times New Roman" w:hAnsi="Times New Roman" w:cs="Times New Roman"/>
                <w:i/>
                <w:iCs/>
                <w:color w:val="000000"/>
                <w:sz w:val="28"/>
                <w:szCs w:val="28"/>
                <w:lang w:eastAsia="en-GB"/>
              </w:rPr>
            </w:pPr>
            <w:r w:rsidRPr="009F5FE7">
              <w:rPr>
                <w:rFonts w:ascii="Arial" w:eastAsia="Times New Roman" w:hAnsi="Arial" w:cs="Arial"/>
                <w:i/>
                <w:iCs/>
                <w:color w:val="000000"/>
                <w:sz w:val="28"/>
                <w:szCs w:val="28"/>
                <w:lang w:eastAsia="en-GB"/>
              </w:rPr>
              <w:t>Louis Bebb</w:t>
            </w:r>
            <w:r w:rsidR="00527BD1" w:rsidRPr="009F5FE7">
              <w:rPr>
                <w:rFonts w:ascii="Arial" w:eastAsia="Times New Roman" w:hAnsi="Arial" w:cs="Arial"/>
                <w:i/>
                <w:iCs/>
                <w:color w:val="000000"/>
                <w:sz w:val="28"/>
                <w:szCs w:val="28"/>
                <w:lang w:eastAsia="en-GB"/>
              </w:rPr>
              <w:t xml:space="preserve"> </w:t>
            </w:r>
          </w:p>
        </w:tc>
      </w:tr>
      <w:tr w:rsidR="00527BD1" w:rsidRPr="009F5FE7" w14:paraId="65A3E3CC" w14:textId="77777777">
        <w:trPr>
          <w:trHeight w:val="42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4E602313" w14:textId="77777777" w:rsidR="00527BD1" w:rsidRPr="009F5FE7" w:rsidRDefault="00527BD1" w:rsidP="00527BD1">
            <w:pPr>
              <w:spacing w:after="0" w:line="240" w:lineRule="auto"/>
              <w:ind w:firstLine="132"/>
              <w:textAlignment w:val="baseline"/>
              <w:rPr>
                <w:rFonts w:ascii="Arial" w:eastAsia="Times New Roman" w:hAnsi="Arial" w:cs="Arial"/>
                <w:color w:val="000000"/>
                <w:sz w:val="28"/>
                <w:szCs w:val="28"/>
                <w:lang w:eastAsia="en-GB"/>
              </w:rPr>
            </w:pPr>
            <w:r w:rsidRPr="009F5FE7">
              <w:rPr>
                <w:rFonts w:ascii="Arial" w:eastAsia="Times New Roman" w:hAnsi="Arial" w:cs="Arial"/>
                <w:color w:val="000000"/>
                <w:sz w:val="28"/>
                <w:szCs w:val="28"/>
                <w:lang w:eastAsia="en-GB"/>
              </w:rPr>
              <w:t>Review date  </w:t>
            </w:r>
          </w:p>
        </w:tc>
        <w:tc>
          <w:tcPr>
            <w:tcW w:w="6840" w:type="dxa"/>
            <w:gridSpan w:val="3"/>
            <w:tcBorders>
              <w:top w:val="single" w:sz="6" w:space="0" w:color="000000"/>
              <w:left w:val="single" w:sz="6" w:space="0" w:color="000000"/>
              <w:bottom w:val="single" w:sz="6" w:space="0" w:color="000000"/>
              <w:right w:val="single" w:sz="6" w:space="0" w:color="000000"/>
            </w:tcBorders>
            <w:hideMark/>
          </w:tcPr>
          <w:p w14:paraId="592E70A2" w14:textId="5662C43C" w:rsidR="00527BD1" w:rsidRPr="009F5FE7" w:rsidRDefault="00700427" w:rsidP="00527BD1">
            <w:pPr>
              <w:spacing w:after="0" w:line="240" w:lineRule="auto"/>
              <w:ind w:left="98"/>
              <w:textAlignment w:val="baseline"/>
              <w:rPr>
                <w:rFonts w:ascii="Arial" w:eastAsia="Times New Roman" w:hAnsi="Arial" w:cs="Arial"/>
                <w:i/>
                <w:iCs/>
                <w:color w:val="000000"/>
                <w:sz w:val="28"/>
                <w:szCs w:val="28"/>
                <w:lang w:eastAsia="en-GB"/>
              </w:rPr>
            </w:pPr>
            <w:r>
              <w:rPr>
                <w:rFonts w:ascii="Arial" w:eastAsia="Times New Roman" w:hAnsi="Arial" w:cs="Arial"/>
                <w:i/>
                <w:iCs/>
                <w:color w:val="000000"/>
                <w:sz w:val="28"/>
                <w:szCs w:val="28"/>
                <w:lang w:eastAsia="en-GB"/>
              </w:rPr>
              <w:t>January 2028</w:t>
            </w:r>
          </w:p>
        </w:tc>
      </w:tr>
      <w:tr w:rsidR="00527BD1" w:rsidRPr="009F5FE7" w14:paraId="64517AC3" w14:textId="77777777">
        <w:trPr>
          <w:trHeight w:val="1080"/>
        </w:trPr>
        <w:tc>
          <w:tcPr>
            <w:tcW w:w="2160" w:type="dxa"/>
            <w:tcBorders>
              <w:top w:val="single" w:sz="6" w:space="0" w:color="000000"/>
              <w:left w:val="single" w:sz="6" w:space="0" w:color="000000"/>
              <w:bottom w:val="single" w:sz="6" w:space="0" w:color="000000"/>
              <w:right w:val="single" w:sz="6" w:space="0" w:color="000000"/>
            </w:tcBorders>
            <w:shd w:val="clear" w:color="auto" w:fill="C5E0B3"/>
            <w:hideMark/>
          </w:tcPr>
          <w:p w14:paraId="5B66E6FE" w14:textId="77777777" w:rsidR="00527BD1" w:rsidRPr="009F5FE7" w:rsidRDefault="00527BD1" w:rsidP="00527BD1">
            <w:pPr>
              <w:spacing w:after="0" w:line="240" w:lineRule="auto"/>
              <w:ind w:firstLine="132"/>
              <w:textAlignment w:val="baseline"/>
              <w:rPr>
                <w:rFonts w:ascii="Arial" w:eastAsia="Times New Roman" w:hAnsi="Arial" w:cs="Arial"/>
                <w:color w:val="000000"/>
                <w:sz w:val="28"/>
                <w:szCs w:val="28"/>
                <w:lang w:eastAsia="en-GB"/>
              </w:rPr>
            </w:pPr>
            <w:r w:rsidRPr="009F5FE7">
              <w:rPr>
                <w:rFonts w:ascii="Arial" w:eastAsia="Times New Roman" w:hAnsi="Arial" w:cs="Arial"/>
                <w:color w:val="000000"/>
                <w:sz w:val="28"/>
                <w:szCs w:val="28"/>
                <w:lang w:eastAsia="en-GB"/>
              </w:rPr>
              <w:t>Purpose  </w:t>
            </w:r>
          </w:p>
        </w:tc>
        <w:tc>
          <w:tcPr>
            <w:tcW w:w="6840" w:type="dxa"/>
            <w:gridSpan w:val="3"/>
            <w:tcBorders>
              <w:top w:val="single" w:sz="6" w:space="0" w:color="000000"/>
              <w:left w:val="single" w:sz="6" w:space="0" w:color="000000"/>
              <w:bottom w:val="single" w:sz="6" w:space="0" w:color="000000"/>
              <w:right w:val="single" w:sz="6" w:space="0" w:color="000000"/>
            </w:tcBorders>
            <w:hideMark/>
          </w:tcPr>
          <w:p w14:paraId="15B88EF8" w14:textId="7A6FEEC2" w:rsidR="00527BD1" w:rsidRPr="009F5FE7" w:rsidRDefault="0016783D" w:rsidP="00527BD1">
            <w:pPr>
              <w:spacing w:after="0" w:line="240" w:lineRule="auto"/>
              <w:ind w:left="98"/>
              <w:textAlignment w:val="baseline"/>
              <w:rPr>
                <w:rFonts w:ascii="Arial" w:eastAsia="Times New Roman" w:hAnsi="Arial" w:cs="Arial"/>
                <w:i/>
                <w:iCs/>
                <w:color w:val="000000"/>
                <w:sz w:val="28"/>
                <w:szCs w:val="28"/>
                <w:lang w:eastAsia="en-GB"/>
              </w:rPr>
            </w:pPr>
            <w:r w:rsidRPr="009F5FE7">
              <w:rPr>
                <w:rFonts w:ascii="Arial" w:eastAsia="Times New Roman" w:hAnsi="Arial" w:cs="Arial"/>
                <w:i/>
                <w:iCs/>
                <w:color w:val="000000"/>
                <w:sz w:val="28"/>
                <w:szCs w:val="28"/>
                <w:lang w:eastAsia="en-GB"/>
              </w:rPr>
              <w:t>The purpose of this policy is to set out Sandwell Council’s position on the provision and management of council-owned housing, including the types, tenure, and distribution of homes required to meet the current and projected housing needs of residents across the borough.</w:t>
            </w:r>
          </w:p>
        </w:tc>
      </w:tr>
    </w:tbl>
    <w:p w14:paraId="532496D7" w14:textId="77777777" w:rsidR="00527BD1" w:rsidRPr="009F5FE7" w:rsidRDefault="00527BD1">
      <w:pPr>
        <w:rPr>
          <w:rFonts w:ascii="Arial" w:hAnsi="Arial" w:cs="Arial"/>
          <w:b/>
          <w:sz w:val="32"/>
          <w:szCs w:val="32"/>
        </w:rPr>
      </w:pPr>
    </w:p>
    <w:p w14:paraId="38B3D977" w14:textId="77777777" w:rsidR="00851F35" w:rsidRPr="009F5FE7" w:rsidRDefault="00851F35">
      <w:pPr>
        <w:rPr>
          <w:rFonts w:ascii="Arial" w:hAnsi="Arial" w:cs="Arial"/>
          <w:b/>
          <w:sz w:val="32"/>
          <w:szCs w:val="32"/>
        </w:rPr>
      </w:pPr>
    </w:p>
    <w:p w14:paraId="12392AAC" w14:textId="77777777" w:rsidR="00914BC1" w:rsidRPr="009F5FE7" w:rsidRDefault="00914BC1" w:rsidP="00914BC1">
      <w:pPr>
        <w:spacing w:line="276" w:lineRule="auto"/>
        <w:rPr>
          <w:rFonts w:ascii="Arial" w:hAnsi="Arial" w:cs="Arial"/>
          <w:b/>
          <w:iCs/>
          <w:sz w:val="24"/>
          <w:szCs w:val="24"/>
        </w:rPr>
      </w:pPr>
    </w:p>
    <w:tbl>
      <w:tblPr>
        <w:tblStyle w:val="TableGrid3"/>
        <w:tblpPr w:leftFromText="180" w:rightFromText="180" w:vertAnchor="page" w:horzAnchor="margin" w:tblpY="2111"/>
        <w:tblW w:w="0" w:type="auto"/>
        <w:tblLook w:val="04A0" w:firstRow="1" w:lastRow="0" w:firstColumn="1" w:lastColumn="0" w:noHBand="0" w:noVBand="1"/>
      </w:tblPr>
      <w:tblGrid>
        <w:gridCol w:w="7715"/>
        <w:gridCol w:w="1301"/>
      </w:tblGrid>
      <w:tr w:rsidR="00A2059E" w:rsidRPr="009F5FE7" w14:paraId="3FB8A3C1" w14:textId="77777777" w:rsidTr="00A2059E">
        <w:tc>
          <w:tcPr>
            <w:tcW w:w="7715" w:type="dxa"/>
          </w:tcPr>
          <w:p w14:paraId="6DCF829B" w14:textId="77777777" w:rsidR="00A2059E" w:rsidRPr="009F5FE7" w:rsidRDefault="00A2059E" w:rsidP="00A2059E">
            <w:pPr>
              <w:rPr>
                <w:rFonts w:ascii="Arial" w:hAnsi="Arial" w:cs="Arial"/>
                <w:b/>
                <w:bCs/>
                <w:sz w:val="28"/>
                <w:szCs w:val="28"/>
                <w:lang w:val="en-GB"/>
              </w:rPr>
            </w:pPr>
            <w:r w:rsidRPr="009F5FE7">
              <w:rPr>
                <w:rFonts w:ascii="Arial" w:hAnsi="Arial" w:cs="Arial"/>
                <w:b/>
                <w:bCs/>
                <w:sz w:val="28"/>
                <w:szCs w:val="28"/>
                <w:lang w:val="en-GB"/>
              </w:rPr>
              <w:t>Executive Summary</w:t>
            </w:r>
          </w:p>
        </w:tc>
        <w:tc>
          <w:tcPr>
            <w:tcW w:w="1301" w:type="dxa"/>
          </w:tcPr>
          <w:p w14:paraId="4CD26D51" w14:textId="77777777" w:rsidR="00A2059E" w:rsidRPr="009F5FE7" w:rsidRDefault="00A2059E" w:rsidP="00A2059E">
            <w:pPr>
              <w:jc w:val="right"/>
              <w:rPr>
                <w:rFonts w:ascii="Arial" w:hAnsi="Arial" w:cs="Arial"/>
                <w:b/>
                <w:bCs/>
                <w:sz w:val="28"/>
                <w:szCs w:val="28"/>
                <w:lang w:val="en-GB"/>
              </w:rPr>
            </w:pPr>
            <w:r w:rsidRPr="0003613D">
              <w:rPr>
                <w:rFonts w:ascii="Arial" w:hAnsi="Arial" w:cs="Arial"/>
                <w:b/>
                <w:bCs/>
                <w:sz w:val="28"/>
                <w:szCs w:val="28"/>
                <w:lang w:val="en-GB"/>
              </w:rPr>
              <w:t>3</w:t>
            </w:r>
          </w:p>
        </w:tc>
      </w:tr>
      <w:tr w:rsidR="00A2059E" w:rsidRPr="009F5FE7" w14:paraId="25E1AF6E" w14:textId="77777777" w:rsidTr="00A2059E">
        <w:tc>
          <w:tcPr>
            <w:tcW w:w="7715" w:type="dxa"/>
          </w:tcPr>
          <w:p w14:paraId="296EE919" w14:textId="77777777" w:rsidR="00A2059E" w:rsidRPr="009F5FE7" w:rsidRDefault="00A2059E" w:rsidP="00A2059E">
            <w:pPr>
              <w:ind w:left="360"/>
              <w:rPr>
                <w:rFonts w:ascii="Arial" w:hAnsi="Arial" w:cs="Arial"/>
                <w:sz w:val="28"/>
                <w:szCs w:val="28"/>
                <w:lang w:val="en-GB"/>
              </w:rPr>
            </w:pPr>
            <w:r w:rsidRPr="009F5FE7">
              <w:rPr>
                <w:rFonts w:ascii="Arial" w:hAnsi="Arial" w:cs="Arial"/>
                <w:sz w:val="28"/>
                <w:szCs w:val="28"/>
                <w:lang w:val="en-GB"/>
              </w:rPr>
              <w:t>1.1 Overview of Report</w:t>
            </w:r>
          </w:p>
        </w:tc>
        <w:tc>
          <w:tcPr>
            <w:tcW w:w="1301" w:type="dxa"/>
          </w:tcPr>
          <w:p w14:paraId="1EF13096" w14:textId="77777777" w:rsidR="00A2059E" w:rsidRPr="009F5FE7" w:rsidRDefault="00A2059E" w:rsidP="00A2059E">
            <w:pPr>
              <w:jc w:val="right"/>
              <w:rPr>
                <w:rFonts w:ascii="Arial" w:hAnsi="Arial" w:cs="Arial"/>
                <w:sz w:val="28"/>
                <w:szCs w:val="28"/>
                <w:lang w:val="en-GB"/>
              </w:rPr>
            </w:pPr>
            <w:r w:rsidRPr="0003613D">
              <w:rPr>
                <w:rFonts w:ascii="Arial" w:hAnsi="Arial" w:cs="Arial"/>
                <w:sz w:val="28"/>
                <w:szCs w:val="28"/>
                <w:lang w:val="en-GB"/>
              </w:rPr>
              <w:t>3</w:t>
            </w:r>
          </w:p>
        </w:tc>
      </w:tr>
      <w:tr w:rsidR="00A2059E" w:rsidRPr="009F5FE7" w14:paraId="2ADC10B1" w14:textId="77777777" w:rsidTr="00A2059E">
        <w:tc>
          <w:tcPr>
            <w:tcW w:w="7715" w:type="dxa"/>
          </w:tcPr>
          <w:p w14:paraId="5E13C6A2" w14:textId="77777777" w:rsidR="00A2059E" w:rsidRPr="009F5FE7" w:rsidRDefault="00A2059E" w:rsidP="00A2059E">
            <w:pPr>
              <w:rPr>
                <w:rFonts w:ascii="Arial" w:hAnsi="Arial" w:cs="Arial"/>
                <w:b/>
                <w:bCs/>
                <w:sz w:val="28"/>
                <w:szCs w:val="28"/>
                <w:lang w:val="en-GB"/>
              </w:rPr>
            </w:pPr>
            <w:r w:rsidRPr="009F5FE7">
              <w:rPr>
                <w:rFonts w:ascii="Arial" w:hAnsi="Arial" w:cs="Arial"/>
                <w:b/>
                <w:bCs/>
                <w:sz w:val="28"/>
                <w:szCs w:val="28"/>
                <w:lang w:val="en-GB"/>
              </w:rPr>
              <w:t>The National and Regional Picture</w:t>
            </w:r>
          </w:p>
        </w:tc>
        <w:tc>
          <w:tcPr>
            <w:tcW w:w="1301" w:type="dxa"/>
          </w:tcPr>
          <w:p w14:paraId="37B80D1E" w14:textId="77777777" w:rsidR="00A2059E" w:rsidRPr="009F5FE7" w:rsidRDefault="00A2059E" w:rsidP="00A2059E">
            <w:pPr>
              <w:jc w:val="right"/>
              <w:rPr>
                <w:rFonts w:ascii="Arial" w:hAnsi="Arial" w:cs="Arial"/>
                <w:b/>
                <w:bCs/>
                <w:sz w:val="28"/>
                <w:szCs w:val="28"/>
                <w:lang w:val="en-GB"/>
              </w:rPr>
            </w:pPr>
            <w:r w:rsidRPr="0003613D">
              <w:rPr>
                <w:rFonts w:ascii="Arial" w:hAnsi="Arial" w:cs="Arial"/>
                <w:b/>
                <w:bCs/>
                <w:sz w:val="28"/>
                <w:szCs w:val="28"/>
                <w:lang w:val="en-GB"/>
              </w:rPr>
              <w:t>5</w:t>
            </w:r>
          </w:p>
        </w:tc>
      </w:tr>
      <w:tr w:rsidR="00A2059E" w:rsidRPr="009F5FE7" w14:paraId="66EFD973" w14:textId="77777777" w:rsidTr="00A2059E">
        <w:tc>
          <w:tcPr>
            <w:tcW w:w="7715" w:type="dxa"/>
          </w:tcPr>
          <w:p w14:paraId="57791324" w14:textId="77777777" w:rsidR="00A2059E" w:rsidRPr="009F5FE7" w:rsidRDefault="00A2059E" w:rsidP="00A2059E">
            <w:pPr>
              <w:rPr>
                <w:rFonts w:ascii="Arial" w:hAnsi="Arial" w:cs="Arial"/>
                <w:b/>
                <w:bCs/>
                <w:sz w:val="28"/>
                <w:szCs w:val="28"/>
                <w:lang w:val="en-GB"/>
              </w:rPr>
            </w:pPr>
            <w:r w:rsidRPr="009F5FE7">
              <w:rPr>
                <w:rFonts w:ascii="Arial" w:hAnsi="Arial" w:cs="Arial"/>
                <w:b/>
                <w:bCs/>
                <w:sz w:val="28"/>
                <w:szCs w:val="28"/>
                <w:lang w:val="en-GB"/>
              </w:rPr>
              <w:t>Overview of Sandwell</w:t>
            </w:r>
          </w:p>
        </w:tc>
        <w:tc>
          <w:tcPr>
            <w:tcW w:w="1301" w:type="dxa"/>
          </w:tcPr>
          <w:p w14:paraId="5AE038CC" w14:textId="77777777" w:rsidR="00A2059E" w:rsidRPr="009F5FE7" w:rsidRDefault="00A2059E" w:rsidP="00A2059E">
            <w:pPr>
              <w:jc w:val="right"/>
              <w:rPr>
                <w:rFonts w:ascii="Arial" w:hAnsi="Arial" w:cs="Arial"/>
                <w:b/>
                <w:bCs/>
                <w:sz w:val="28"/>
                <w:szCs w:val="28"/>
                <w:lang w:val="en-GB"/>
              </w:rPr>
            </w:pPr>
            <w:r w:rsidRPr="0003613D">
              <w:rPr>
                <w:rFonts w:ascii="Arial" w:hAnsi="Arial" w:cs="Arial"/>
                <w:b/>
                <w:bCs/>
                <w:sz w:val="28"/>
                <w:szCs w:val="28"/>
                <w:lang w:val="en-GB"/>
              </w:rPr>
              <w:t>6</w:t>
            </w:r>
          </w:p>
        </w:tc>
      </w:tr>
      <w:tr w:rsidR="00A2059E" w:rsidRPr="009F5FE7" w14:paraId="41C8D18A" w14:textId="77777777" w:rsidTr="00A2059E">
        <w:tc>
          <w:tcPr>
            <w:tcW w:w="7715" w:type="dxa"/>
          </w:tcPr>
          <w:p w14:paraId="1A760DD6" w14:textId="77777777" w:rsidR="00A2059E" w:rsidRPr="009F5FE7" w:rsidRDefault="00A2059E" w:rsidP="00A2059E">
            <w:pPr>
              <w:ind w:left="360"/>
              <w:rPr>
                <w:rFonts w:ascii="Arial" w:hAnsi="Arial" w:cs="Arial"/>
                <w:sz w:val="28"/>
                <w:szCs w:val="28"/>
                <w:lang w:val="en-GB"/>
              </w:rPr>
            </w:pPr>
            <w:r w:rsidRPr="009F5FE7">
              <w:rPr>
                <w:rFonts w:ascii="Arial" w:hAnsi="Arial" w:cs="Arial"/>
                <w:sz w:val="28"/>
                <w:szCs w:val="28"/>
                <w:lang w:val="en-GB"/>
              </w:rPr>
              <w:t>3.1 Geography</w:t>
            </w:r>
          </w:p>
        </w:tc>
        <w:tc>
          <w:tcPr>
            <w:tcW w:w="1301" w:type="dxa"/>
          </w:tcPr>
          <w:p w14:paraId="3DFD844A" w14:textId="77777777" w:rsidR="00A2059E" w:rsidRPr="009F5FE7" w:rsidRDefault="00A2059E" w:rsidP="00A2059E">
            <w:pPr>
              <w:jc w:val="right"/>
              <w:rPr>
                <w:rFonts w:ascii="Arial" w:hAnsi="Arial" w:cs="Arial"/>
                <w:sz w:val="28"/>
                <w:szCs w:val="28"/>
                <w:lang w:val="en-GB"/>
              </w:rPr>
            </w:pPr>
            <w:r w:rsidRPr="0003613D">
              <w:rPr>
                <w:rFonts w:ascii="Arial" w:hAnsi="Arial" w:cs="Arial"/>
                <w:sz w:val="28"/>
                <w:szCs w:val="28"/>
                <w:lang w:val="en-GB"/>
              </w:rPr>
              <w:t>6</w:t>
            </w:r>
          </w:p>
        </w:tc>
      </w:tr>
      <w:tr w:rsidR="00A2059E" w:rsidRPr="009F5FE7" w14:paraId="75F5074D" w14:textId="77777777" w:rsidTr="00A2059E">
        <w:tc>
          <w:tcPr>
            <w:tcW w:w="7715" w:type="dxa"/>
          </w:tcPr>
          <w:p w14:paraId="501B7FFC" w14:textId="77777777" w:rsidR="00A2059E" w:rsidRPr="009F5FE7" w:rsidRDefault="00A2059E" w:rsidP="00A2059E">
            <w:pPr>
              <w:ind w:left="360"/>
              <w:rPr>
                <w:rFonts w:ascii="Arial" w:hAnsi="Arial" w:cs="Arial"/>
                <w:sz w:val="28"/>
                <w:szCs w:val="28"/>
                <w:lang w:val="en-GB"/>
              </w:rPr>
            </w:pPr>
            <w:r w:rsidRPr="009F5FE7">
              <w:rPr>
                <w:rFonts w:ascii="Arial" w:hAnsi="Arial" w:cs="Arial"/>
                <w:sz w:val="28"/>
                <w:szCs w:val="28"/>
                <w:lang w:val="en-GB"/>
              </w:rPr>
              <w:t>3.2 Population</w:t>
            </w:r>
          </w:p>
        </w:tc>
        <w:tc>
          <w:tcPr>
            <w:tcW w:w="1301" w:type="dxa"/>
          </w:tcPr>
          <w:p w14:paraId="4A09D31E" w14:textId="77777777" w:rsidR="00A2059E" w:rsidRPr="009F5FE7" w:rsidRDefault="00A2059E" w:rsidP="00A2059E">
            <w:pPr>
              <w:jc w:val="right"/>
              <w:rPr>
                <w:rFonts w:ascii="Arial" w:hAnsi="Arial" w:cs="Arial"/>
                <w:sz w:val="28"/>
                <w:szCs w:val="28"/>
                <w:lang w:val="en-GB"/>
              </w:rPr>
            </w:pPr>
            <w:r w:rsidRPr="0003613D">
              <w:rPr>
                <w:rFonts w:ascii="Arial" w:hAnsi="Arial" w:cs="Arial"/>
                <w:sz w:val="28"/>
                <w:szCs w:val="28"/>
                <w:lang w:val="en-GB"/>
              </w:rPr>
              <w:t>6</w:t>
            </w:r>
          </w:p>
        </w:tc>
      </w:tr>
      <w:tr w:rsidR="00A2059E" w:rsidRPr="009F5FE7" w14:paraId="7DA766A3" w14:textId="77777777" w:rsidTr="00A2059E">
        <w:tc>
          <w:tcPr>
            <w:tcW w:w="7715" w:type="dxa"/>
          </w:tcPr>
          <w:p w14:paraId="54261A45" w14:textId="77777777" w:rsidR="00A2059E" w:rsidRPr="009F5FE7" w:rsidRDefault="00A2059E" w:rsidP="00A2059E">
            <w:pPr>
              <w:ind w:left="360"/>
              <w:rPr>
                <w:rFonts w:ascii="Arial" w:hAnsi="Arial" w:cs="Arial"/>
                <w:sz w:val="28"/>
                <w:szCs w:val="28"/>
                <w:lang w:val="en-GB"/>
              </w:rPr>
            </w:pPr>
            <w:r w:rsidRPr="009F5FE7">
              <w:rPr>
                <w:rFonts w:ascii="Arial" w:hAnsi="Arial" w:cs="Arial"/>
                <w:sz w:val="28"/>
                <w:szCs w:val="28"/>
                <w:lang w:val="en-GB"/>
              </w:rPr>
              <w:t>3.3 Health</w:t>
            </w:r>
          </w:p>
        </w:tc>
        <w:tc>
          <w:tcPr>
            <w:tcW w:w="1301" w:type="dxa"/>
          </w:tcPr>
          <w:p w14:paraId="54CAA84D" w14:textId="77777777" w:rsidR="00A2059E" w:rsidRPr="009F5FE7" w:rsidRDefault="00A2059E" w:rsidP="00A2059E">
            <w:pPr>
              <w:jc w:val="right"/>
              <w:rPr>
                <w:rFonts w:ascii="Arial" w:hAnsi="Arial" w:cs="Arial"/>
                <w:sz w:val="28"/>
                <w:szCs w:val="28"/>
                <w:lang w:val="en-GB"/>
              </w:rPr>
            </w:pPr>
            <w:r w:rsidRPr="0003613D">
              <w:rPr>
                <w:rFonts w:ascii="Arial" w:hAnsi="Arial" w:cs="Arial"/>
                <w:sz w:val="28"/>
                <w:szCs w:val="28"/>
                <w:lang w:val="en-GB"/>
              </w:rPr>
              <w:t>8</w:t>
            </w:r>
          </w:p>
        </w:tc>
      </w:tr>
      <w:tr w:rsidR="00A2059E" w:rsidRPr="009F5FE7" w14:paraId="4F8E188B" w14:textId="77777777" w:rsidTr="00A2059E">
        <w:tc>
          <w:tcPr>
            <w:tcW w:w="7715" w:type="dxa"/>
          </w:tcPr>
          <w:p w14:paraId="1A198529" w14:textId="77777777" w:rsidR="00A2059E" w:rsidRPr="009F5FE7" w:rsidRDefault="00A2059E" w:rsidP="00A2059E">
            <w:pPr>
              <w:ind w:left="360"/>
              <w:rPr>
                <w:rFonts w:ascii="Arial" w:hAnsi="Arial" w:cs="Arial"/>
                <w:sz w:val="28"/>
                <w:szCs w:val="28"/>
                <w:lang w:val="en-GB"/>
              </w:rPr>
            </w:pPr>
            <w:r w:rsidRPr="009F5FE7">
              <w:rPr>
                <w:rFonts w:ascii="Arial" w:hAnsi="Arial" w:cs="Arial"/>
                <w:sz w:val="28"/>
                <w:szCs w:val="28"/>
                <w:lang w:val="en-GB"/>
              </w:rPr>
              <w:t>3.4 Deprivation</w:t>
            </w:r>
          </w:p>
        </w:tc>
        <w:tc>
          <w:tcPr>
            <w:tcW w:w="1301" w:type="dxa"/>
          </w:tcPr>
          <w:p w14:paraId="601638CE" w14:textId="77777777" w:rsidR="00A2059E" w:rsidRPr="009F5FE7" w:rsidRDefault="00A2059E" w:rsidP="00A2059E">
            <w:pPr>
              <w:jc w:val="right"/>
              <w:rPr>
                <w:rFonts w:ascii="Arial" w:hAnsi="Arial" w:cs="Arial"/>
                <w:sz w:val="28"/>
                <w:szCs w:val="28"/>
                <w:lang w:val="en-GB"/>
              </w:rPr>
            </w:pPr>
            <w:r w:rsidRPr="0003613D">
              <w:rPr>
                <w:rFonts w:ascii="Arial" w:hAnsi="Arial" w:cs="Arial"/>
                <w:sz w:val="28"/>
                <w:szCs w:val="28"/>
                <w:lang w:val="en-GB"/>
              </w:rPr>
              <w:t>8</w:t>
            </w:r>
          </w:p>
        </w:tc>
      </w:tr>
      <w:tr w:rsidR="00A2059E" w:rsidRPr="009F5FE7" w14:paraId="15DE9C46" w14:textId="77777777" w:rsidTr="00A2059E">
        <w:tc>
          <w:tcPr>
            <w:tcW w:w="7715" w:type="dxa"/>
          </w:tcPr>
          <w:p w14:paraId="195060F1" w14:textId="77777777" w:rsidR="00A2059E" w:rsidRPr="009F5FE7" w:rsidRDefault="00A2059E" w:rsidP="00A2059E">
            <w:pPr>
              <w:ind w:left="360"/>
              <w:rPr>
                <w:rFonts w:ascii="Arial" w:hAnsi="Arial" w:cs="Arial"/>
                <w:sz w:val="28"/>
                <w:szCs w:val="28"/>
                <w:lang w:val="en-GB"/>
              </w:rPr>
            </w:pPr>
            <w:r w:rsidRPr="009F5FE7">
              <w:rPr>
                <w:rFonts w:ascii="Arial" w:hAnsi="Arial" w:cs="Arial"/>
                <w:sz w:val="28"/>
                <w:szCs w:val="28"/>
                <w:lang w:val="en-GB"/>
              </w:rPr>
              <w:t>3.5 Fuel Poverty</w:t>
            </w:r>
          </w:p>
        </w:tc>
        <w:tc>
          <w:tcPr>
            <w:tcW w:w="1301" w:type="dxa"/>
          </w:tcPr>
          <w:p w14:paraId="3BA3CC3A" w14:textId="77777777" w:rsidR="00A2059E" w:rsidRPr="009F5FE7" w:rsidRDefault="00A2059E" w:rsidP="00A2059E">
            <w:pPr>
              <w:jc w:val="right"/>
              <w:rPr>
                <w:rFonts w:ascii="Arial" w:hAnsi="Arial" w:cs="Arial"/>
                <w:sz w:val="28"/>
                <w:szCs w:val="28"/>
                <w:lang w:val="en-GB"/>
              </w:rPr>
            </w:pPr>
            <w:r w:rsidRPr="0003613D">
              <w:rPr>
                <w:rFonts w:ascii="Arial" w:hAnsi="Arial" w:cs="Arial"/>
                <w:sz w:val="28"/>
                <w:szCs w:val="28"/>
                <w:lang w:val="en-GB"/>
              </w:rPr>
              <w:t>8</w:t>
            </w:r>
          </w:p>
        </w:tc>
      </w:tr>
      <w:tr w:rsidR="00A2059E" w:rsidRPr="009F5FE7" w14:paraId="5FA3095B" w14:textId="77777777" w:rsidTr="00A2059E">
        <w:tc>
          <w:tcPr>
            <w:tcW w:w="7715" w:type="dxa"/>
          </w:tcPr>
          <w:p w14:paraId="181DDCAF" w14:textId="77777777" w:rsidR="00A2059E" w:rsidRPr="009F5FE7" w:rsidRDefault="00A2059E" w:rsidP="00A2059E">
            <w:pPr>
              <w:rPr>
                <w:rFonts w:ascii="Arial" w:hAnsi="Arial" w:cs="Arial"/>
                <w:b/>
                <w:bCs/>
                <w:sz w:val="28"/>
                <w:szCs w:val="28"/>
                <w:lang w:val="en-GB"/>
              </w:rPr>
            </w:pPr>
            <w:r w:rsidRPr="009F5FE7">
              <w:rPr>
                <w:rFonts w:ascii="Arial" w:hAnsi="Arial" w:cs="Arial"/>
                <w:b/>
                <w:bCs/>
                <w:sz w:val="28"/>
                <w:szCs w:val="28"/>
                <w:lang w:val="en-GB"/>
              </w:rPr>
              <w:t>Sandwell’s Housing Market</w:t>
            </w:r>
          </w:p>
        </w:tc>
        <w:tc>
          <w:tcPr>
            <w:tcW w:w="1301" w:type="dxa"/>
          </w:tcPr>
          <w:p w14:paraId="4CA7E257" w14:textId="77777777" w:rsidR="00A2059E" w:rsidRPr="009F5FE7" w:rsidRDefault="00A2059E" w:rsidP="00A2059E">
            <w:pPr>
              <w:jc w:val="right"/>
              <w:rPr>
                <w:rFonts w:ascii="Arial" w:hAnsi="Arial" w:cs="Arial"/>
                <w:b/>
                <w:bCs/>
                <w:sz w:val="28"/>
                <w:szCs w:val="28"/>
                <w:lang w:val="en-GB"/>
              </w:rPr>
            </w:pPr>
            <w:r w:rsidRPr="0003613D">
              <w:rPr>
                <w:rFonts w:ascii="Arial" w:hAnsi="Arial" w:cs="Arial"/>
                <w:b/>
                <w:bCs/>
                <w:sz w:val="28"/>
                <w:szCs w:val="28"/>
                <w:lang w:val="en-GB"/>
              </w:rPr>
              <w:t>9</w:t>
            </w:r>
          </w:p>
        </w:tc>
      </w:tr>
      <w:tr w:rsidR="00A2059E" w:rsidRPr="009F5FE7" w14:paraId="53B90F11" w14:textId="77777777" w:rsidTr="00A2059E">
        <w:tc>
          <w:tcPr>
            <w:tcW w:w="7715" w:type="dxa"/>
          </w:tcPr>
          <w:p w14:paraId="0CAADB87" w14:textId="77777777" w:rsidR="00A2059E" w:rsidRPr="009F5FE7" w:rsidRDefault="00A2059E" w:rsidP="00A2059E">
            <w:pPr>
              <w:ind w:left="360"/>
              <w:rPr>
                <w:rFonts w:ascii="Arial" w:hAnsi="Arial" w:cs="Arial"/>
                <w:sz w:val="28"/>
                <w:szCs w:val="28"/>
                <w:lang w:val="en-GB"/>
              </w:rPr>
            </w:pPr>
            <w:r w:rsidRPr="009F5FE7">
              <w:rPr>
                <w:rFonts w:ascii="Arial" w:hAnsi="Arial" w:cs="Arial"/>
                <w:sz w:val="28"/>
                <w:szCs w:val="28"/>
                <w:lang w:val="en-GB"/>
              </w:rPr>
              <w:t>4.1 House Prices, Rental Market &amp; LHA</w:t>
            </w:r>
          </w:p>
        </w:tc>
        <w:tc>
          <w:tcPr>
            <w:tcW w:w="1301" w:type="dxa"/>
          </w:tcPr>
          <w:p w14:paraId="11B47A00" w14:textId="77777777" w:rsidR="00A2059E" w:rsidRPr="009F5FE7" w:rsidRDefault="00A2059E" w:rsidP="00A2059E">
            <w:pPr>
              <w:jc w:val="right"/>
              <w:rPr>
                <w:rFonts w:ascii="Arial" w:hAnsi="Arial" w:cs="Arial"/>
                <w:sz w:val="28"/>
                <w:szCs w:val="28"/>
                <w:lang w:val="en-GB"/>
              </w:rPr>
            </w:pPr>
            <w:r w:rsidRPr="0003613D">
              <w:rPr>
                <w:rFonts w:ascii="Arial" w:hAnsi="Arial" w:cs="Arial"/>
                <w:sz w:val="28"/>
                <w:szCs w:val="28"/>
                <w:lang w:val="en-GB"/>
              </w:rPr>
              <w:t>9</w:t>
            </w:r>
          </w:p>
        </w:tc>
      </w:tr>
      <w:tr w:rsidR="00A2059E" w:rsidRPr="009F5FE7" w14:paraId="66C7C103" w14:textId="77777777" w:rsidTr="00A2059E">
        <w:tc>
          <w:tcPr>
            <w:tcW w:w="7715" w:type="dxa"/>
          </w:tcPr>
          <w:p w14:paraId="7D83DA6F" w14:textId="77777777" w:rsidR="00A2059E" w:rsidRPr="009F5FE7" w:rsidRDefault="00A2059E" w:rsidP="00A2059E">
            <w:pPr>
              <w:ind w:left="360"/>
              <w:rPr>
                <w:rFonts w:ascii="Arial" w:hAnsi="Arial" w:cs="Arial"/>
                <w:sz w:val="28"/>
                <w:szCs w:val="28"/>
                <w:lang w:val="en-GB"/>
              </w:rPr>
            </w:pPr>
            <w:r w:rsidRPr="009F5FE7">
              <w:rPr>
                <w:rFonts w:ascii="Arial" w:hAnsi="Arial" w:cs="Arial"/>
                <w:sz w:val="28"/>
                <w:szCs w:val="28"/>
                <w:lang w:val="en-GB"/>
              </w:rPr>
              <w:t>4.2 Properties and Households in Sandwell</w:t>
            </w:r>
          </w:p>
        </w:tc>
        <w:tc>
          <w:tcPr>
            <w:tcW w:w="1301" w:type="dxa"/>
          </w:tcPr>
          <w:p w14:paraId="465FDDAB" w14:textId="77777777" w:rsidR="00A2059E" w:rsidRPr="009F5FE7" w:rsidRDefault="00A2059E" w:rsidP="00A2059E">
            <w:pPr>
              <w:jc w:val="right"/>
              <w:rPr>
                <w:rFonts w:ascii="Arial" w:hAnsi="Arial" w:cs="Arial"/>
                <w:sz w:val="28"/>
                <w:szCs w:val="28"/>
                <w:lang w:val="en-GB"/>
              </w:rPr>
            </w:pPr>
            <w:r w:rsidRPr="0003613D">
              <w:rPr>
                <w:rFonts w:ascii="Arial" w:hAnsi="Arial" w:cs="Arial"/>
                <w:sz w:val="28"/>
                <w:szCs w:val="28"/>
                <w:lang w:val="en-GB"/>
              </w:rPr>
              <w:t>9</w:t>
            </w:r>
          </w:p>
        </w:tc>
      </w:tr>
      <w:tr w:rsidR="00A2059E" w:rsidRPr="009F5FE7" w14:paraId="4B661522" w14:textId="77777777" w:rsidTr="00A2059E">
        <w:tc>
          <w:tcPr>
            <w:tcW w:w="7715" w:type="dxa"/>
          </w:tcPr>
          <w:p w14:paraId="18446C67" w14:textId="77777777" w:rsidR="00A2059E" w:rsidRPr="009F5FE7" w:rsidRDefault="00A2059E" w:rsidP="00A2059E">
            <w:pPr>
              <w:ind w:left="360"/>
              <w:rPr>
                <w:rFonts w:ascii="Arial" w:hAnsi="Arial" w:cs="Arial"/>
                <w:sz w:val="28"/>
                <w:szCs w:val="28"/>
                <w:lang w:val="en-GB"/>
              </w:rPr>
            </w:pPr>
            <w:r w:rsidRPr="009F5FE7">
              <w:rPr>
                <w:rFonts w:ascii="Arial" w:hAnsi="Arial" w:cs="Arial"/>
                <w:sz w:val="28"/>
                <w:szCs w:val="28"/>
                <w:lang w:val="en-GB"/>
              </w:rPr>
              <w:t>4.3 Council Stock Profile</w:t>
            </w:r>
          </w:p>
        </w:tc>
        <w:tc>
          <w:tcPr>
            <w:tcW w:w="1301" w:type="dxa"/>
          </w:tcPr>
          <w:p w14:paraId="13FF7CDE" w14:textId="77777777" w:rsidR="00A2059E" w:rsidRPr="009F5FE7" w:rsidRDefault="00A2059E" w:rsidP="00A2059E">
            <w:pPr>
              <w:jc w:val="right"/>
              <w:rPr>
                <w:rFonts w:ascii="Arial" w:hAnsi="Arial" w:cs="Arial"/>
                <w:sz w:val="28"/>
                <w:szCs w:val="28"/>
                <w:lang w:val="en-GB"/>
              </w:rPr>
            </w:pPr>
            <w:r w:rsidRPr="009F5FE7">
              <w:rPr>
                <w:rFonts w:ascii="Arial" w:hAnsi="Arial" w:cs="Arial"/>
                <w:sz w:val="28"/>
                <w:szCs w:val="28"/>
                <w:lang w:val="en-GB"/>
              </w:rPr>
              <w:t>1</w:t>
            </w:r>
            <w:r w:rsidRPr="0003613D">
              <w:rPr>
                <w:rFonts w:ascii="Arial" w:hAnsi="Arial" w:cs="Arial"/>
                <w:sz w:val="28"/>
                <w:szCs w:val="28"/>
                <w:lang w:val="en-GB"/>
              </w:rPr>
              <w:t>2</w:t>
            </w:r>
          </w:p>
        </w:tc>
      </w:tr>
      <w:tr w:rsidR="00A2059E" w:rsidRPr="009F5FE7" w14:paraId="556F6E41" w14:textId="77777777" w:rsidTr="00A2059E">
        <w:tc>
          <w:tcPr>
            <w:tcW w:w="7715" w:type="dxa"/>
          </w:tcPr>
          <w:p w14:paraId="264593F1" w14:textId="77777777" w:rsidR="00A2059E" w:rsidRPr="009F5FE7" w:rsidRDefault="00A2059E" w:rsidP="00A2059E">
            <w:pPr>
              <w:ind w:left="360"/>
              <w:rPr>
                <w:rFonts w:ascii="Arial" w:hAnsi="Arial" w:cs="Arial"/>
                <w:sz w:val="28"/>
                <w:szCs w:val="28"/>
                <w:lang w:val="en-GB"/>
              </w:rPr>
            </w:pPr>
            <w:r w:rsidRPr="009F5FE7">
              <w:rPr>
                <w:rFonts w:ascii="Arial" w:hAnsi="Arial" w:cs="Arial"/>
                <w:sz w:val="28"/>
                <w:szCs w:val="28"/>
                <w:lang w:val="en-GB"/>
              </w:rPr>
              <w:t>4.4 Council Stock by Town</w:t>
            </w:r>
          </w:p>
        </w:tc>
        <w:tc>
          <w:tcPr>
            <w:tcW w:w="1301" w:type="dxa"/>
          </w:tcPr>
          <w:p w14:paraId="56494F2E" w14:textId="77777777" w:rsidR="00A2059E" w:rsidRPr="009F5FE7" w:rsidRDefault="00A2059E" w:rsidP="00A2059E">
            <w:pPr>
              <w:jc w:val="right"/>
              <w:rPr>
                <w:rFonts w:ascii="Arial" w:hAnsi="Arial" w:cs="Arial"/>
                <w:sz w:val="28"/>
                <w:szCs w:val="28"/>
                <w:lang w:val="en-GB"/>
              </w:rPr>
            </w:pPr>
            <w:r w:rsidRPr="009F5FE7">
              <w:rPr>
                <w:rFonts w:ascii="Arial" w:hAnsi="Arial" w:cs="Arial"/>
                <w:sz w:val="28"/>
                <w:szCs w:val="28"/>
                <w:lang w:val="en-GB"/>
              </w:rPr>
              <w:t>1</w:t>
            </w:r>
            <w:r w:rsidRPr="0003613D">
              <w:rPr>
                <w:rFonts w:ascii="Arial" w:hAnsi="Arial" w:cs="Arial"/>
                <w:sz w:val="28"/>
                <w:szCs w:val="28"/>
                <w:lang w:val="en-GB"/>
              </w:rPr>
              <w:t>2</w:t>
            </w:r>
          </w:p>
        </w:tc>
      </w:tr>
      <w:tr w:rsidR="00A2059E" w:rsidRPr="009F5FE7" w14:paraId="3429D26F" w14:textId="77777777" w:rsidTr="00A2059E">
        <w:tc>
          <w:tcPr>
            <w:tcW w:w="7715" w:type="dxa"/>
          </w:tcPr>
          <w:p w14:paraId="2EE58596" w14:textId="77777777" w:rsidR="00A2059E" w:rsidRPr="009F5FE7" w:rsidRDefault="00A2059E" w:rsidP="00A2059E">
            <w:pPr>
              <w:ind w:left="360"/>
              <w:rPr>
                <w:rFonts w:ascii="Arial" w:hAnsi="Arial" w:cs="Arial"/>
                <w:sz w:val="28"/>
                <w:szCs w:val="28"/>
                <w:lang w:val="en-GB"/>
              </w:rPr>
            </w:pPr>
            <w:r w:rsidRPr="009F5FE7">
              <w:rPr>
                <w:rFonts w:ascii="Arial" w:hAnsi="Arial" w:cs="Arial"/>
                <w:sz w:val="28"/>
                <w:szCs w:val="28"/>
                <w:lang w:val="en-GB"/>
              </w:rPr>
              <w:t>4.5 Housing Associations</w:t>
            </w:r>
          </w:p>
        </w:tc>
        <w:tc>
          <w:tcPr>
            <w:tcW w:w="1301" w:type="dxa"/>
          </w:tcPr>
          <w:p w14:paraId="36429A65" w14:textId="77777777" w:rsidR="00A2059E" w:rsidRPr="009F5FE7" w:rsidRDefault="00A2059E" w:rsidP="00A2059E">
            <w:pPr>
              <w:jc w:val="right"/>
              <w:rPr>
                <w:rFonts w:ascii="Arial" w:hAnsi="Arial" w:cs="Arial"/>
                <w:sz w:val="28"/>
                <w:szCs w:val="28"/>
                <w:lang w:val="en-GB"/>
              </w:rPr>
            </w:pPr>
            <w:r w:rsidRPr="009F5FE7">
              <w:rPr>
                <w:rFonts w:ascii="Arial" w:hAnsi="Arial" w:cs="Arial"/>
                <w:sz w:val="28"/>
                <w:szCs w:val="28"/>
                <w:lang w:val="en-GB"/>
              </w:rPr>
              <w:t>1</w:t>
            </w:r>
            <w:r w:rsidRPr="0003613D">
              <w:rPr>
                <w:rFonts w:ascii="Arial" w:hAnsi="Arial" w:cs="Arial"/>
                <w:sz w:val="28"/>
                <w:szCs w:val="28"/>
                <w:lang w:val="en-GB"/>
              </w:rPr>
              <w:t>3</w:t>
            </w:r>
          </w:p>
        </w:tc>
      </w:tr>
      <w:tr w:rsidR="00A2059E" w:rsidRPr="009F5FE7" w14:paraId="42A7A838" w14:textId="77777777" w:rsidTr="00A2059E">
        <w:tc>
          <w:tcPr>
            <w:tcW w:w="7715" w:type="dxa"/>
          </w:tcPr>
          <w:p w14:paraId="437AB993" w14:textId="77777777" w:rsidR="00A2059E" w:rsidRPr="009F5FE7" w:rsidRDefault="00A2059E" w:rsidP="00A2059E">
            <w:pPr>
              <w:ind w:left="360"/>
              <w:rPr>
                <w:rFonts w:ascii="Arial" w:hAnsi="Arial" w:cs="Arial"/>
                <w:sz w:val="28"/>
                <w:szCs w:val="28"/>
                <w:lang w:val="en-GB"/>
              </w:rPr>
            </w:pPr>
            <w:r w:rsidRPr="009F5FE7">
              <w:rPr>
                <w:rFonts w:ascii="Arial" w:hAnsi="Arial" w:cs="Arial"/>
                <w:sz w:val="28"/>
                <w:szCs w:val="28"/>
                <w:lang w:val="en-GB"/>
              </w:rPr>
              <w:t>4.6 Impact of Right to Buy</w:t>
            </w:r>
          </w:p>
        </w:tc>
        <w:tc>
          <w:tcPr>
            <w:tcW w:w="1301" w:type="dxa"/>
          </w:tcPr>
          <w:p w14:paraId="562E20A8" w14:textId="77777777" w:rsidR="00A2059E" w:rsidRPr="009F5FE7" w:rsidRDefault="00A2059E" w:rsidP="00A2059E">
            <w:pPr>
              <w:jc w:val="right"/>
              <w:rPr>
                <w:rFonts w:ascii="Arial" w:hAnsi="Arial" w:cs="Arial"/>
                <w:sz w:val="28"/>
                <w:szCs w:val="28"/>
                <w:lang w:val="en-GB"/>
              </w:rPr>
            </w:pPr>
            <w:r w:rsidRPr="009F5FE7">
              <w:rPr>
                <w:rFonts w:ascii="Arial" w:hAnsi="Arial" w:cs="Arial"/>
                <w:sz w:val="28"/>
                <w:szCs w:val="28"/>
                <w:lang w:val="en-GB"/>
              </w:rPr>
              <w:t>1</w:t>
            </w:r>
            <w:r w:rsidRPr="0003613D">
              <w:rPr>
                <w:rFonts w:ascii="Arial" w:hAnsi="Arial" w:cs="Arial"/>
                <w:sz w:val="28"/>
                <w:szCs w:val="28"/>
                <w:lang w:val="en-GB"/>
              </w:rPr>
              <w:t>4</w:t>
            </w:r>
          </w:p>
        </w:tc>
      </w:tr>
      <w:tr w:rsidR="00A2059E" w:rsidRPr="009F5FE7" w14:paraId="56FC599B" w14:textId="77777777" w:rsidTr="00A2059E">
        <w:tc>
          <w:tcPr>
            <w:tcW w:w="7715" w:type="dxa"/>
          </w:tcPr>
          <w:p w14:paraId="34ED485B" w14:textId="77777777" w:rsidR="00A2059E" w:rsidRPr="009F5FE7" w:rsidRDefault="00A2059E" w:rsidP="00A2059E">
            <w:pPr>
              <w:rPr>
                <w:rFonts w:ascii="Arial" w:hAnsi="Arial" w:cs="Arial"/>
                <w:b/>
                <w:bCs/>
                <w:sz w:val="28"/>
                <w:szCs w:val="28"/>
                <w:lang w:val="en-GB"/>
              </w:rPr>
            </w:pPr>
            <w:r w:rsidRPr="009F5FE7">
              <w:rPr>
                <w:rFonts w:ascii="Arial" w:hAnsi="Arial" w:cs="Arial"/>
                <w:b/>
                <w:bCs/>
                <w:sz w:val="28"/>
                <w:szCs w:val="28"/>
                <w:lang w:val="en-GB"/>
              </w:rPr>
              <w:t>Sandwell’s Future Social Housing Stock</w:t>
            </w:r>
          </w:p>
        </w:tc>
        <w:tc>
          <w:tcPr>
            <w:tcW w:w="1301" w:type="dxa"/>
          </w:tcPr>
          <w:p w14:paraId="0DFDA700" w14:textId="77777777" w:rsidR="00A2059E" w:rsidRPr="009F5FE7" w:rsidRDefault="00A2059E" w:rsidP="00A2059E">
            <w:pPr>
              <w:jc w:val="right"/>
              <w:rPr>
                <w:rFonts w:ascii="Arial" w:hAnsi="Arial" w:cs="Arial"/>
                <w:b/>
                <w:bCs/>
                <w:sz w:val="28"/>
                <w:szCs w:val="28"/>
                <w:lang w:val="en-GB"/>
              </w:rPr>
            </w:pPr>
            <w:r w:rsidRPr="009F5FE7">
              <w:rPr>
                <w:rFonts w:ascii="Arial" w:hAnsi="Arial" w:cs="Arial"/>
                <w:b/>
                <w:bCs/>
                <w:sz w:val="28"/>
                <w:szCs w:val="28"/>
                <w:lang w:val="en-GB"/>
              </w:rPr>
              <w:t>1</w:t>
            </w:r>
            <w:r w:rsidRPr="0003613D">
              <w:rPr>
                <w:rFonts w:ascii="Arial" w:hAnsi="Arial" w:cs="Arial"/>
                <w:b/>
                <w:bCs/>
                <w:sz w:val="28"/>
                <w:szCs w:val="28"/>
                <w:lang w:val="en-GB"/>
              </w:rPr>
              <w:t>5</w:t>
            </w:r>
          </w:p>
        </w:tc>
      </w:tr>
      <w:tr w:rsidR="00A2059E" w:rsidRPr="009F5FE7" w14:paraId="731806CD" w14:textId="77777777" w:rsidTr="00A2059E">
        <w:tc>
          <w:tcPr>
            <w:tcW w:w="7715" w:type="dxa"/>
          </w:tcPr>
          <w:p w14:paraId="2A066866" w14:textId="77777777" w:rsidR="00A2059E" w:rsidRPr="009F5FE7" w:rsidRDefault="00A2059E" w:rsidP="00A2059E">
            <w:pPr>
              <w:ind w:left="360"/>
              <w:rPr>
                <w:rFonts w:ascii="Arial" w:hAnsi="Arial" w:cs="Arial"/>
                <w:sz w:val="28"/>
                <w:szCs w:val="28"/>
                <w:lang w:val="en-GB"/>
              </w:rPr>
            </w:pPr>
            <w:r w:rsidRPr="009F5FE7">
              <w:rPr>
                <w:rFonts w:ascii="Arial" w:hAnsi="Arial" w:cs="Arial"/>
                <w:sz w:val="28"/>
                <w:szCs w:val="28"/>
                <w:lang w:val="en-GB"/>
              </w:rPr>
              <w:t>5.1 Future Housing Stock</w:t>
            </w:r>
          </w:p>
        </w:tc>
        <w:tc>
          <w:tcPr>
            <w:tcW w:w="1301" w:type="dxa"/>
          </w:tcPr>
          <w:p w14:paraId="52DFE9C5" w14:textId="77777777" w:rsidR="00A2059E" w:rsidRPr="009F5FE7" w:rsidRDefault="00A2059E" w:rsidP="00A2059E">
            <w:pPr>
              <w:jc w:val="right"/>
              <w:rPr>
                <w:rFonts w:ascii="Arial" w:hAnsi="Arial" w:cs="Arial"/>
                <w:sz w:val="28"/>
                <w:szCs w:val="28"/>
                <w:lang w:val="en-GB"/>
              </w:rPr>
            </w:pPr>
            <w:r w:rsidRPr="009F5FE7">
              <w:rPr>
                <w:rFonts w:ascii="Arial" w:hAnsi="Arial" w:cs="Arial"/>
                <w:sz w:val="28"/>
                <w:szCs w:val="28"/>
                <w:lang w:val="en-GB"/>
              </w:rPr>
              <w:t>1</w:t>
            </w:r>
            <w:r w:rsidRPr="0003613D">
              <w:rPr>
                <w:rFonts w:ascii="Arial" w:hAnsi="Arial" w:cs="Arial"/>
                <w:sz w:val="28"/>
                <w:szCs w:val="28"/>
                <w:lang w:val="en-GB"/>
              </w:rPr>
              <w:t>5</w:t>
            </w:r>
          </w:p>
        </w:tc>
      </w:tr>
      <w:tr w:rsidR="00A2059E" w:rsidRPr="009F5FE7" w14:paraId="445E57F0" w14:textId="77777777" w:rsidTr="00A2059E">
        <w:tc>
          <w:tcPr>
            <w:tcW w:w="7715" w:type="dxa"/>
          </w:tcPr>
          <w:p w14:paraId="7BC9D750" w14:textId="77777777" w:rsidR="00A2059E" w:rsidRPr="009F5FE7" w:rsidRDefault="00A2059E" w:rsidP="00A2059E">
            <w:pPr>
              <w:ind w:left="360"/>
              <w:rPr>
                <w:rFonts w:ascii="Arial" w:hAnsi="Arial" w:cs="Arial"/>
                <w:sz w:val="28"/>
                <w:szCs w:val="28"/>
                <w:lang w:val="en-GB"/>
              </w:rPr>
            </w:pPr>
            <w:r w:rsidRPr="009F5FE7">
              <w:rPr>
                <w:rFonts w:ascii="Arial" w:hAnsi="Arial" w:cs="Arial"/>
                <w:sz w:val="28"/>
                <w:szCs w:val="28"/>
                <w:lang w:val="en-GB"/>
              </w:rPr>
              <w:t>5.2 Future Housing Developments</w:t>
            </w:r>
          </w:p>
        </w:tc>
        <w:tc>
          <w:tcPr>
            <w:tcW w:w="1301" w:type="dxa"/>
          </w:tcPr>
          <w:p w14:paraId="0956072F" w14:textId="77777777" w:rsidR="00A2059E" w:rsidRPr="009F5FE7" w:rsidRDefault="00A2059E" w:rsidP="00A2059E">
            <w:pPr>
              <w:jc w:val="right"/>
              <w:rPr>
                <w:rFonts w:ascii="Arial" w:hAnsi="Arial" w:cs="Arial"/>
                <w:sz w:val="28"/>
                <w:szCs w:val="28"/>
                <w:lang w:val="en-GB"/>
              </w:rPr>
            </w:pPr>
            <w:r w:rsidRPr="009F5FE7">
              <w:rPr>
                <w:rFonts w:ascii="Arial" w:hAnsi="Arial" w:cs="Arial"/>
                <w:sz w:val="28"/>
                <w:szCs w:val="28"/>
                <w:lang w:val="en-GB"/>
              </w:rPr>
              <w:t>1</w:t>
            </w:r>
            <w:r w:rsidRPr="0003613D">
              <w:rPr>
                <w:rFonts w:ascii="Arial" w:hAnsi="Arial" w:cs="Arial"/>
                <w:sz w:val="28"/>
                <w:szCs w:val="28"/>
                <w:lang w:val="en-GB"/>
              </w:rPr>
              <w:t>6</w:t>
            </w:r>
          </w:p>
        </w:tc>
      </w:tr>
      <w:tr w:rsidR="00A2059E" w:rsidRPr="009F5FE7" w14:paraId="09EDFA5D" w14:textId="77777777" w:rsidTr="00A2059E">
        <w:tc>
          <w:tcPr>
            <w:tcW w:w="7715" w:type="dxa"/>
          </w:tcPr>
          <w:p w14:paraId="72605F10" w14:textId="77777777" w:rsidR="00A2059E" w:rsidRPr="009F5FE7" w:rsidRDefault="00A2059E" w:rsidP="00A2059E">
            <w:pPr>
              <w:rPr>
                <w:rFonts w:ascii="Arial" w:hAnsi="Arial" w:cs="Arial"/>
                <w:b/>
                <w:bCs/>
                <w:sz w:val="28"/>
                <w:szCs w:val="28"/>
                <w:lang w:val="en-GB"/>
              </w:rPr>
            </w:pPr>
            <w:r w:rsidRPr="009F5FE7">
              <w:rPr>
                <w:rFonts w:ascii="Arial" w:hAnsi="Arial" w:cs="Arial"/>
                <w:b/>
                <w:bCs/>
                <w:sz w:val="28"/>
                <w:szCs w:val="28"/>
                <w:lang w:val="en-GB"/>
              </w:rPr>
              <w:t>Housing Needs for the General Population</w:t>
            </w:r>
          </w:p>
        </w:tc>
        <w:tc>
          <w:tcPr>
            <w:tcW w:w="1301" w:type="dxa"/>
          </w:tcPr>
          <w:p w14:paraId="762BD096" w14:textId="77777777" w:rsidR="00A2059E" w:rsidRPr="009F5FE7" w:rsidRDefault="00A2059E" w:rsidP="00A2059E">
            <w:pPr>
              <w:jc w:val="right"/>
              <w:rPr>
                <w:rFonts w:ascii="Arial" w:hAnsi="Arial" w:cs="Arial"/>
                <w:b/>
                <w:bCs/>
                <w:sz w:val="28"/>
                <w:szCs w:val="28"/>
                <w:lang w:val="en-GB"/>
              </w:rPr>
            </w:pPr>
            <w:r w:rsidRPr="009F5FE7">
              <w:rPr>
                <w:rFonts w:ascii="Arial" w:hAnsi="Arial" w:cs="Arial"/>
                <w:b/>
                <w:bCs/>
                <w:sz w:val="28"/>
                <w:szCs w:val="28"/>
                <w:lang w:val="en-GB"/>
              </w:rPr>
              <w:t>1</w:t>
            </w:r>
            <w:r w:rsidRPr="0003613D">
              <w:rPr>
                <w:rFonts w:ascii="Arial" w:hAnsi="Arial" w:cs="Arial"/>
                <w:b/>
                <w:bCs/>
                <w:sz w:val="28"/>
                <w:szCs w:val="28"/>
                <w:lang w:val="en-GB"/>
              </w:rPr>
              <w:t>7</w:t>
            </w:r>
          </w:p>
        </w:tc>
      </w:tr>
      <w:tr w:rsidR="00A2059E" w:rsidRPr="009F5FE7" w14:paraId="482E9EC4" w14:textId="77777777" w:rsidTr="00A2059E">
        <w:tc>
          <w:tcPr>
            <w:tcW w:w="7715" w:type="dxa"/>
          </w:tcPr>
          <w:p w14:paraId="09AA7C9C" w14:textId="77777777" w:rsidR="00A2059E" w:rsidRPr="009F5FE7" w:rsidRDefault="00A2059E" w:rsidP="00A2059E">
            <w:pPr>
              <w:ind w:left="360"/>
              <w:rPr>
                <w:rFonts w:ascii="Arial" w:hAnsi="Arial" w:cs="Arial"/>
                <w:sz w:val="28"/>
                <w:szCs w:val="28"/>
                <w:lang w:val="en-GB"/>
              </w:rPr>
            </w:pPr>
            <w:r w:rsidRPr="009F5FE7">
              <w:rPr>
                <w:rFonts w:ascii="Arial" w:hAnsi="Arial" w:cs="Arial"/>
                <w:sz w:val="28"/>
                <w:szCs w:val="28"/>
                <w:lang w:val="en-GB"/>
              </w:rPr>
              <w:t>6.1 Housing Register Overview</w:t>
            </w:r>
          </w:p>
        </w:tc>
        <w:tc>
          <w:tcPr>
            <w:tcW w:w="1301" w:type="dxa"/>
          </w:tcPr>
          <w:p w14:paraId="6C7B1056" w14:textId="77777777" w:rsidR="00A2059E" w:rsidRPr="009F5FE7" w:rsidRDefault="00A2059E" w:rsidP="00A2059E">
            <w:pPr>
              <w:jc w:val="right"/>
              <w:rPr>
                <w:rFonts w:ascii="Arial" w:hAnsi="Arial" w:cs="Arial"/>
                <w:sz w:val="28"/>
                <w:szCs w:val="28"/>
                <w:lang w:val="en-GB"/>
              </w:rPr>
            </w:pPr>
            <w:r w:rsidRPr="009F5FE7">
              <w:rPr>
                <w:rFonts w:ascii="Arial" w:hAnsi="Arial" w:cs="Arial"/>
                <w:sz w:val="28"/>
                <w:szCs w:val="28"/>
                <w:lang w:val="en-GB"/>
              </w:rPr>
              <w:t>1</w:t>
            </w:r>
            <w:r w:rsidRPr="0003613D">
              <w:rPr>
                <w:rFonts w:ascii="Arial" w:hAnsi="Arial" w:cs="Arial"/>
                <w:sz w:val="28"/>
                <w:szCs w:val="28"/>
                <w:lang w:val="en-GB"/>
              </w:rPr>
              <w:t>7</w:t>
            </w:r>
          </w:p>
        </w:tc>
      </w:tr>
      <w:tr w:rsidR="00A2059E" w:rsidRPr="009F5FE7" w14:paraId="5A3DBEC1" w14:textId="77777777" w:rsidTr="00A2059E">
        <w:tc>
          <w:tcPr>
            <w:tcW w:w="7715" w:type="dxa"/>
          </w:tcPr>
          <w:p w14:paraId="3F8D91DB" w14:textId="77777777" w:rsidR="00A2059E" w:rsidRPr="009F5FE7" w:rsidRDefault="00A2059E" w:rsidP="00A2059E">
            <w:pPr>
              <w:ind w:left="360"/>
              <w:rPr>
                <w:rFonts w:ascii="Arial" w:hAnsi="Arial" w:cs="Arial"/>
                <w:sz w:val="28"/>
                <w:szCs w:val="28"/>
                <w:lang w:val="en-GB"/>
              </w:rPr>
            </w:pPr>
            <w:r w:rsidRPr="009F5FE7">
              <w:rPr>
                <w:rFonts w:ascii="Arial" w:hAnsi="Arial" w:cs="Arial"/>
                <w:sz w:val="28"/>
                <w:szCs w:val="28"/>
                <w:lang w:val="en-GB"/>
              </w:rPr>
              <w:t>6.2 Bidding Activity</w:t>
            </w:r>
          </w:p>
        </w:tc>
        <w:tc>
          <w:tcPr>
            <w:tcW w:w="1301" w:type="dxa"/>
          </w:tcPr>
          <w:p w14:paraId="3521516E" w14:textId="77777777" w:rsidR="00A2059E" w:rsidRPr="009F5FE7" w:rsidRDefault="00A2059E" w:rsidP="00A2059E">
            <w:pPr>
              <w:jc w:val="right"/>
              <w:rPr>
                <w:rFonts w:ascii="Arial" w:hAnsi="Arial" w:cs="Arial"/>
                <w:sz w:val="28"/>
                <w:szCs w:val="28"/>
                <w:lang w:val="en-GB"/>
              </w:rPr>
            </w:pPr>
            <w:r w:rsidRPr="009F5FE7">
              <w:rPr>
                <w:rFonts w:ascii="Arial" w:hAnsi="Arial" w:cs="Arial"/>
                <w:sz w:val="28"/>
                <w:szCs w:val="28"/>
                <w:lang w:val="en-GB"/>
              </w:rPr>
              <w:t>2</w:t>
            </w:r>
            <w:r w:rsidRPr="0003613D">
              <w:rPr>
                <w:rFonts w:ascii="Arial" w:hAnsi="Arial" w:cs="Arial"/>
                <w:sz w:val="28"/>
                <w:szCs w:val="28"/>
                <w:lang w:val="en-GB"/>
              </w:rPr>
              <w:t>0</w:t>
            </w:r>
          </w:p>
        </w:tc>
      </w:tr>
      <w:tr w:rsidR="00A2059E" w:rsidRPr="009F5FE7" w14:paraId="527046A7" w14:textId="77777777" w:rsidTr="00A2059E">
        <w:tc>
          <w:tcPr>
            <w:tcW w:w="7715" w:type="dxa"/>
          </w:tcPr>
          <w:p w14:paraId="0DCBCB22" w14:textId="77777777" w:rsidR="00A2059E" w:rsidRPr="009F5FE7" w:rsidRDefault="00A2059E" w:rsidP="00A2059E">
            <w:pPr>
              <w:rPr>
                <w:rFonts w:ascii="Arial" w:hAnsi="Arial" w:cs="Arial"/>
                <w:b/>
                <w:bCs/>
                <w:sz w:val="28"/>
                <w:szCs w:val="28"/>
                <w:lang w:val="en-GB"/>
              </w:rPr>
            </w:pPr>
            <w:r w:rsidRPr="009F5FE7">
              <w:rPr>
                <w:rFonts w:ascii="Arial" w:hAnsi="Arial" w:cs="Arial"/>
                <w:b/>
                <w:bCs/>
                <w:sz w:val="28"/>
                <w:szCs w:val="28"/>
                <w:lang w:val="en-GB"/>
              </w:rPr>
              <w:t>Housing Needs for Specific Groups</w:t>
            </w:r>
          </w:p>
        </w:tc>
        <w:tc>
          <w:tcPr>
            <w:tcW w:w="1301" w:type="dxa"/>
          </w:tcPr>
          <w:p w14:paraId="5E3C82BC" w14:textId="77777777" w:rsidR="00A2059E" w:rsidRPr="009F5FE7" w:rsidRDefault="00A2059E" w:rsidP="00A2059E">
            <w:pPr>
              <w:jc w:val="right"/>
              <w:rPr>
                <w:rFonts w:ascii="Arial" w:hAnsi="Arial" w:cs="Arial"/>
                <w:b/>
                <w:bCs/>
                <w:sz w:val="28"/>
                <w:szCs w:val="28"/>
                <w:lang w:val="en-GB"/>
              </w:rPr>
            </w:pPr>
            <w:r w:rsidRPr="009F5FE7">
              <w:rPr>
                <w:rFonts w:ascii="Arial" w:hAnsi="Arial" w:cs="Arial"/>
                <w:b/>
                <w:bCs/>
                <w:sz w:val="28"/>
                <w:szCs w:val="28"/>
                <w:lang w:val="en-GB"/>
              </w:rPr>
              <w:t>2</w:t>
            </w:r>
            <w:r w:rsidRPr="0003613D">
              <w:rPr>
                <w:rFonts w:ascii="Arial" w:hAnsi="Arial" w:cs="Arial"/>
                <w:b/>
                <w:bCs/>
                <w:sz w:val="28"/>
                <w:szCs w:val="28"/>
                <w:lang w:val="en-GB"/>
              </w:rPr>
              <w:t>2</w:t>
            </w:r>
          </w:p>
        </w:tc>
      </w:tr>
      <w:tr w:rsidR="00A2059E" w:rsidRPr="009F5FE7" w14:paraId="444215ED" w14:textId="77777777" w:rsidTr="00A2059E">
        <w:tc>
          <w:tcPr>
            <w:tcW w:w="7715" w:type="dxa"/>
          </w:tcPr>
          <w:p w14:paraId="38536523" w14:textId="77777777" w:rsidR="00A2059E" w:rsidRPr="009F5FE7" w:rsidRDefault="00A2059E" w:rsidP="00A2059E">
            <w:pPr>
              <w:ind w:left="360"/>
              <w:rPr>
                <w:rFonts w:ascii="Arial" w:hAnsi="Arial" w:cs="Arial"/>
                <w:sz w:val="28"/>
                <w:szCs w:val="28"/>
                <w:lang w:val="en-GB"/>
              </w:rPr>
            </w:pPr>
            <w:r w:rsidRPr="009F5FE7">
              <w:rPr>
                <w:rFonts w:ascii="Arial" w:hAnsi="Arial" w:cs="Arial"/>
                <w:sz w:val="28"/>
                <w:szCs w:val="28"/>
                <w:lang w:val="en-GB"/>
              </w:rPr>
              <w:t>7.1 Disabled Households</w:t>
            </w:r>
          </w:p>
        </w:tc>
        <w:tc>
          <w:tcPr>
            <w:tcW w:w="1301" w:type="dxa"/>
          </w:tcPr>
          <w:p w14:paraId="725BBBD7" w14:textId="77777777" w:rsidR="00A2059E" w:rsidRPr="009F5FE7" w:rsidRDefault="00A2059E" w:rsidP="00A2059E">
            <w:pPr>
              <w:jc w:val="right"/>
              <w:rPr>
                <w:rFonts w:ascii="Arial" w:hAnsi="Arial" w:cs="Arial"/>
                <w:sz w:val="28"/>
                <w:szCs w:val="28"/>
                <w:lang w:val="en-GB"/>
              </w:rPr>
            </w:pPr>
            <w:r w:rsidRPr="009F5FE7">
              <w:rPr>
                <w:rFonts w:ascii="Arial" w:hAnsi="Arial" w:cs="Arial"/>
                <w:sz w:val="28"/>
                <w:szCs w:val="28"/>
                <w:lang w:val="en-GB"/>
              </w:rPr>
              <w:t>2</w:t>
            </w:r>
            <w:r w:rsidRPr="0003613D">
              <w:rPr>
                <w:rFonts w:ascii="Arial" w:hAnsi="Arial" w:cs="Arial"/>
                <w:sz w:val="28"/>
                <w:szCs w:val="28"/>
                <w:lang w:val="en-GB"/>
              </w:rPr>
              <w:t>2</w:t>
            </w:r>
          </w:p>
        </w:tc>
      </w:tr>
      <w:tr w:rsidR="00A2059E" w:rsidRPr="009F5FE7" w14:paraId="656872FD" w14:textId="77777777" w:rsidTr="00A2059E">
        <w:tc>
          <w:tcPr>
            <w:tcW w:w="7715" w:type="dxa"/>
          </w:tcPr>
          <w:p w14:paraId="364FF173" w14:textId="77777777" w:rsidR="00A2059E" w:rsidRPr="009F5FE7" w:rsidRDefault="00A2059E" w:rsidP="00A2059E">
            <w:pPr>
              <w:ind w:left="360"/>
              <w:rPr>
                <w:rFonts w:ascii="Arial" w:hAnsi="Arial" w:cs="Arial"/>
                <w:sz w:val="28"/>
                <w:szCs w:val="28"/>
                <w:lang w:val="en-GB"/>
              </w:rPr>
            </w:pPr>
            <w:r w:rsidRPr="009F5FE7">
              <w:rPr>
                <w:rFonts w:ascii="Arial" w:hAnsi="Arial" w:cs="Arial"/>
                <w:sz w:val="28"/>
                <w:szCs w:val="28"/>
                <w:lang w:val="en-GB"/>
              </w:rPr>
              <w:t>7.2 Older People</w:t>
            </w:r>
          </w:p>
        </w:tc>
        <w:tc>
          <w:tcPr>
            <w:tcW w:w="1301" w:type="dxa"/>
          </w:tcPr>
          <w:p w14:paraId="33EEA624" w14:textId="77777777" w:rsidR="00A2059E" w:rsidRPr="009F5FE7" w:rsidRDefault="00A2059E" w:rsidP="00A2059E">
            <w:pPr>
              <w:jc w:val="right"/>
              <w:rPr>
                <w:rFonts w:ascii="Arial" w:hAnsi="Arial" w:cs="Arial"/>
                <w:sz w:val="28"/>
                <w:szCs w:val="28"/>
                <w:lang w:val="en-GB"/>
              </w:rPr>
            </w:pPr>
            <w:r w:rsidRPr="009F5FE7">
              <w:rPr>
                <w:rFonts w:ascii="Arial" w:hAnsi="Arial" w:cs="Arial"/>
                <w:sz w:val="28"/>
                <w:szCs w:val="28"/>
                <w:lang w:val="en-GB"/>
              </w:rPr>
              <w:t>2</w:t>
            </w:r>
            <w:r w:rsidRPr="0003613D">
              <w:rPr>
                <w:rFonts w:ascii="Arial" w:hAnsi="Arial" w:cs="Arial"/>
                <w:sz w:val="28"/>
                <w:szCs w:val="28"/>
                <w:lang w:val="en-GB"/>
              </w:rPr>
              <w:t>4</w:t>
            </w:r>
          </w:p>
        </w:tc>
      </w:tr>
      <w:tr w:rsidR="00A2059E" w:rsidRPr="009F5FE7" w14:paraId="33DC2E1C" w14:textId="77777777" w:rsidTr="00A2059E">
        <w:tc>
          <w:tcPr>
            <w:tcW w:w="7715" w:type="dxa"/>
          </w:tcPr>
          <w:p w14:paraId="731051C9" w14:textId="77777777" w:rsidR="00A2059E" w:rsidRPr="009F5FE7" w:rsidRDefault="00A2059E" w:rsidP="00A2059E">
            <w:pPr>
              <w:ind w:left="360"/>
              <w:rPr>
                <w:rFonts w:ascii="Arial" w:hAnsi="Arial" w:cs="Arial"/>
                <w:sz w:val="28"/>
                <w:szCs w:val="28"/>
                <w:lang w:val="en-GB"/>
              </w:rPr>
            </w:pPr>
            <w:r w:rsidRPr="009F5FE7">
              <w:rPr>
                <w:rFonts w:ascii="Arial" w:hAnsi="Arial" w:cs="Arial"/>
                <w:sz w:val="28"/>
                <w:szCs w:val="28"/>
                <w:lang w:val="en-GB"/>
              </w:rPr>
              <w:t>7.3 General / Adapted Living</w:t>
            </w:r>
          </w:p>
        </w:tc>
        <w:tc>
          <w:tcPr>
            <w:tcW w:w="1301" w:type="dxa"/>
          </w:tcPr>
          <w:p w14:paraId="541E9237" w14:textId="77777777" w:rsidR="00A2059E" w:rsidRPr="009F5FE7" w:rsidRDefault="00A2059E" w:rsidP="00A2059E">
            <w:pPr>
              <w:jc w:val="right"/>
              <w:rPr>
                <w:rFonts w:ascii="Arial" w:hAnsi="Arial" w:cs="Arial"/>
                <w:sz w:val="28"/>
                <w:szCs w:val="28"/>
                <w:lang w:val="en-GB"/>
              </w:rPr>
            </w:pPr>
            <w:r w:rsidRPr="009F5FE7">
              <w:rPr>
                <w:rFonts w:ascii="Arial" w:hAnsi="Arial" w:cs="Arial"/>
                <w:sz w:val="28"/>
                <w:szCs w:val="28"/>
                <w:lang w:val="en-GB"/>
              </w:rPr>
              <w:t>2</w:t>
            </w:r>
            <w:r w:rsidRPr="0003613D">
              <w:rPr>
                <w:rFonts w:ascii="Arial" w:hAnsi="Arial" w:cs="Arial"/>
                <w:sz w:val="28"/>
                <w:szCs w:val="28"/>
                <w:lang w:val="en-GB"/>
              </w:rPr>
              <w:t>5</w:t>
            </w:r>
          </w:p>
        </w:tc>
      </w:tr>
      <w:tr w:rsidR="00A2059E" w:rsidRPr="009F5FE7" w14:paraId="28DF55F5" w14:textId="77777777" w:rsidTr="00A2059E">
        <w:tc>
          <w:tcPr>
            <w:tcW w:w="7715" w:type="dxa"/>
          </w:tcPr>
          <w:p w14:paraId="20E1B1C1" w14:textId="77777777" w:rsidR="00A2059E" w:rsidRPr="009F5FE7" w:rsidRDefault="00A2059E" w:rsidP="00A2059E">
            <w:pPr>
              <w:ind w:left="360"/>
              <w:rPr>
                <w:rFonts w:ascii="Arial" w:hAnsi="Arial" w:cs="Arial"/>
                <w:sz w:val="28"/>
                <w:szCs w:val="28"/>
                <w:lang w:val="en-GB"/>
              </w:rPr>
            </w:pPr>
            <w:r w:rsidRPr="009F5FE7">
              <w:rPr>
                <w:rFonts w:ascii="Arial" w:hAnsi="Arial" w:cs="Arial"/>
                <w:sz w:val="28"/>
                <w:szCs w:val="28"/>
                <w:lang w:val="en-GB"/>
              </w:rPr>
              <w:t>7.4 Supported Living (LD &amp; Autism)</w:t>
            </w:r>
          </w:p>
        </w:tc>
        <w:tc>
          <w:tcPr>
            <w:tcW w:w="1301" w:type="dxa"/>
          </w:tcPr>
          <w:p w14:paraId="0D6CFAD4" w14:textId="77777777" w:rsidR="00A2059E" w:rsidRPr="009F5FE7" w:rsidRDefault="00A2059E" w:rsidP="00A2059E">
            <w:pPr>
              <w:jc w:val="right"/>
              <w:rPr>
                <w:rFonts w:ascii="Arial" w:hAnsi="Arial" w:cs="Arial"/>
                <w:sz w:val="28"/>
                <w:szCs w:val="28"/>
                <w:lang w:val="en-GB"/>
              </w:rPr>
            </w:pPr>
            <w:r w:rsidRPr="009F5FE7">
              <w:rPr>
                <w:rFonts w:ascii="Arial" w:hAnsi="Arial" w:cs="Arial"/>
                <w:sz w:val="28"/>
                <w:szCs w:val="28"/>
                <w:lang w:val="en-GB"/>
              </w:rPr>
              <w:t>2</w:t>
            </w:r>
            <w:r w:rsidRPr="0003613D">
              <w:rPr>
                <w:rFonts w:ascii="Arial" w:hAnsi="Arial" w:cs="Arial"/>
                <w:sz w:val="28"/>
                <w:szCs w:val="28"/>
                <w:lang w:val="en-GB"/>
              </w:rPr>
              <w:t>6</w:t>
            </w:r>
          </w:p>
        </w:tc>
      </w:tr>
      <w:tr w:rsidR="00A2059E" w:rsidRPr="009F5FE7" w14:paraId="5B320F15" w14:textId="77777777" w:rsidTr="00A2059E">
        <w:tc>
          <w:tcPr>
            <w:tcW w:w="7715" w:type="dxa"/>
          </w:tcPr>
          <w:p w14:paraId="1AF161A9" w14:textId="77777777" w:rsidR="00A2059E" w:rsidRPr="009F5FE7" w:rsidRDefault="00A2059E" w:rsidP="00A2059E">
            <w:pPr>
              <w:ind w:left="360"/>
              <w:rPr>
                <w:rFonts w:ascii="Arial" w:hAnsi="Arial" w:cs="Arial"/>
                <w:sz w:val="28"/>
                <w:szCs w:val="28"/>
                <w:lang w:val="en-GB"/>
              </w:rPr>
            </w:pPr>
            <w:r w:rsidRPr="009F5FE7">
              <w:rPr>
                <w:rFonts w:ascii="Arial" w:hAnsi="Arial" w:cs="Arial"/>
                <w:sz w:val="28"/>
                <w:szCs w:val="28"/>
                <w:lang w:val="en-GB"/>
              </w:rPr>
              <w:t>7.5 Accommodation Needs for Young People</w:t>
            </w:r>
          </w:p>
        </w:tc>
        <w:tc>
          <w:tcPr>
            <w:tcW w:w="1301" w:type="dxa"/>
          </w:tcPr>
          <w:p w14:paraId="393C5913" w14:textId="77777777" w:rsidR="00A2059E" w:rsidRPr="009F5FE7" w:rsidRDefault="00A2059E" w:rsidP="00A2059E">
            <w:pPr>
              <w:jc w:val="right"/>
              <w:rPr>
                <w:rFonts w:ascii="Arial" w:hAnsi="Arial" w:cs="Arial"/>
                <w:sz w:val="28"/>
                <w:szCs w:val="28"/>
                <w:lang w:val="en-GB"/>
              </w:rPr>
            </w:pPr>
            <w:r w:rsidRPr="009F5FE7">
              <w:rPr>
                <w:rFonts w:ascii="Arial" w:hAnsi="Arial" w:cs="Arial"/>
                <w:sz w:val="28"/>
                <w:szCs w:val="28"/>
                <w:lang w:val="en-GB"/>
              </w:rPr>
              <w:t>2</w:t>
            </w:r>
            <w:r w:rsidRPr="0003613D">
              <w:rPr>
                <w:rFonts w:ascii="Arial" w:hAnsi="Arial" w:cs="Arial"/>
                <w:sz w:val="28"/>
                <w:szCs w:val="28"/>
                <w:lang w:val="en-GB"/>
              </w:rPr>
              <w:t>7</w:t>
            </w:r>
          </w:p>
        </w:tc>
      </w:tr>
      <w:tr w:rsidR="00A2059E" w:rsidRPr="009F5FE7" w14:paraId="4104862F" w14:textId="77777777" w:rsidTr="00A2059E">
        <w:tc>
          <w:tcPr>
            <w:tcW w:w="7715" w:type="dxa"/>
          </w:tcPr>
          <w:p w14:paraId="2A798906" w14:textId="77777777" w:rsidR="00A2059E" w:rsidRPr="009F5FE7" w:rsidRDefault="00A2059E" w:rsidP="00A2059E">
            <w:pPr>
              <w:ind w:left="360"/>
              <w:rPr>
                <w:rFonts w:ascii="Arial" w:hAnsi="Arial" w:cs="Arial"/>
                <w:sz w:val="28"/>
                <w:szCs w:val="28"/>
                <w:lang w:val="en-GB"/>
              </w:rPr>
            </w:pPr>
            <w:r w:rsidRPr="009F5FE7">
              <w:rPr>
                <w:rFonts w:ascii="Arial" w:hAnsi="Arial" w:cs="Arial"/>
                <w:sz w:val="28"/>
                <w:szCs w:val="28"/>
                <w:lang w:val="en-GB"/>
              </w:rPr>
              <w:t>7.6 Care Experienced Young People</w:t>
            </w:r>
          </w:p>
        </w:tc>
        <w:tc>
          <w:tcPr>
            <w:tcW w:w="1301" w:type="dxa"/>
          </w:tcPr>
          <w:p w14:paraId="138A7057" w14:textId="77777777" w:rsidR="00A2059E" w:rsidRPr="009F5FE7" w:rsidRDefault="00A2059E" w:rsidP="00A2059E">
            <w:pPr>
              <w:jc w:val="right"/>
              <w:rPr>
                <w:rFonts w:ascii="Arial" w:hAnsi="Arial" w:cs="Arial"/>
                <w:sz w:val="28"/>
                <w:szCs w:val="28"/>
                <w:lang w:val="en-GB"/>
              </w:rPr>
            </w:pPr>
            <w:r w:rsidRPr="009F5FE7">
              <w:rPr>
                <w:rFonts w:ascii="Arial" w:hAnsi="Arial" w:cs="Arial"/>
                <w:sz w:val="28"/>
                <w:szCs w:val="28"/>
                <w:lang w:val="en-GB"/>
              </w:rPr>
              <w:t>2</w:t>
            </w:r>
            <w:r w:rsidRPr="0003613D">
              <w:rPr>
                <w:rFonts w:ascii="Arial" w:hAnsi="Arial" w:cs="Arial"/>
                <w:sz w:val="28"/>
                <w:szCs w:val="28"/>
                <w:lang w:val="en-GB"/>
              </w:rPr>
              <w:t>7</w:t>
            </w:r>
          </w:p>
        </w:tc>
      </w:tr>
      <w:tr w:rsidR="00A2059E" w:rsidRPr="009F5FE7" w14:paraId="45A7B8F0" w14:textId="77777777" w:rsidTr="00A2059E">
        <w:tc>
          <w:tcPr>
            <w:tcW w:w="7715" w:type="dxa"/>
          </w:tcPr>
          <w:p w14:paraId="659C84FA" w14:textId="77777777" w:rsidR="00A2059E" w:rsidRPr="009F5FE7" w:rsidRDefault="00A2059E" w:rsidP="00A2059E">
            <w:pPr>
              <w:ind w:left="360"/>
              <w:rPr>
                <w:rFonts w:ascii="Arial" w:hAnsi="Arial" w:cs="Arial"/>
                <w:sz w:val="28"/>
                <w:szCs w:val="28"/>
                <w:lang w:val="en-GB"/>
              </w:rPr>
            </w:pPr>
            <w:r w:rsidRPr="009F5FE7">
              <w:rPr>
                <w:rFonts w:ascii="Arial" w:hAnsi="Arial" w:cs="Arial"/>
                <w:sz w:val="28"/>
                <w:szCs w:val="28"/>
                <w:lang w:val="en-GB"/>
              </w:rPr>
              <w:t>7.7 Housing Needs by Ethnicity</w:t>
            </w:r>
          </w:p>
        </w:tc>
        <w:tc>
          <w:tcPr>
            <w:tcW w:w="1301" w:type="dxa"/>
          </w:tcPr>
          <w:p w14:paraId="40A644BC" w14:textId="77777777" w:rsidR="00A2059E" w:rsidRPr="009F5FE7" w:rsidRDefault="00A2059E" w:rsidP="00A2059E">
            <w:pPr>
              <w:jc w:val="right"/>
              <w:rPr>
                <w:rFonts w:ascii="Arial" w:hAnsi="Arial" w:cs="Arial"/>
                <w:sz w:val="28"/>
                <w:szCs w:val="28"/>
                <w:lang w:val="en-GB"/>
              </w:rPr>
            </w:pPr>
            <w:r w:rsidRPr="009F5FE7">
              <w:rPr>
                <w:rFonts w:ascii="Arial" w:hAnsi="Arial" w:cs="Arial"/>
                <w:sz w:val="28"/>
                <w:szCs w:val="28"/>
                <w:lang w:val="en-GB"/>
              </w:rPr>
              <w:t>2</w:t>
            </w:r>
            <w:r w:rsidRPr="0003613D">
              <w:rPr>
                <w:rFonts w:ascii="Arial" w:hAnsi="Arial" w:cs="Arial"/>
                <w:sz w:val="28"/>
                <w:szCs w:val="28"/>
                <w:lang w:val="en-GB"/>
              </w:rPr>
              <w:t>8</w:t>
            </w:r>
          </w:p>
        </w:tc>
      </w:tr>
      <w:tr w:rsidR="00A2059E" w:rsidRPr="009F5FE7" w14:paraId="15F3330B" w14:textId="77777777" w:rsidTr="00A2059E">
        <w:tc>
          <w:tcPr>
            <w:tcW w:w="7715" w:type="dxa"/>
          </w:tcPr>
          <w:p w14:paraId="4E6EA475" w14:textId="77777777" w:rsidR="00A2059E" w:rsidRPr="009F5FE7" w:rsidRDefault="00A2059E" w:rsidP="00A2059E">
            <w:pPr>
              <w:ind w:left="360"/>
              <w:rPr>
                <w:rFonts w:ascii="Arial" w:hAnsi="Arial" w:cs="Arial"/>
                <w:sz w:val="28"/>
                <w:szCs w:val="28"/>
                <w:lang w:val="en-GB"/>
              </w:rPr>
            </w:pPr>
            <w:r w:rsidRPr="009F5FE7">
              <w:rPr>
                <w:rFonts w:ascii="Arial" w:hAnsi="Arial" w:cs="Arial"/>
                <w:sz w:val="28"/>
                <w:szCs w:val="28"/>
                <w:lang w:val="en-GB"/>
              </w:rPr>
              <w:t>7.8 Gypsy, Roma &amp; Traveller Communities</w:t>
            </w:r>
          </w:p>
        </w:tc>
        <w:tc>
          <w:tcPr>
            <w:tcW w:w="1301" w:type="dxa"/>
          </w:tcPr>
          <w:p w14:paraId="05A7EB1C" w14:textId="77777777" w:rsidR="00A2059E" w:rsidRPr="009F5FE7" w:rsidRDefault="00A2059E" w:rsidP="00A2059E">
            <w:pPr>
              <w:jc w:val="right"/>
              <w:rPr>
                <w:rFonts w:ascii="Arial" w:hAnsi="Arial" w:cs="Arial"/>
                <w:sz w:val="28"/>
                <w:szCs w:val="28"/>
                <w:lang w:val="en-GB"/>
              </w:rPr>
            </w:pPr>
            <w:r w:rsidRPr="009F5FE7">
              <w:rPr>
                <w:rFonts w:ascii="Arial" w:hAnsi="Arial" w:cs="Arial"/>
                <w:sz w:val="28"/>
                <w:szCs w:val="28"/>
                <w:lang w:val="en-GB"/>
              </w:rPr>
              <w:t>3</w:t>
            </w:r>
            <w:r w:rsidRPr="0003613D">
              <w:rPr>
                <w:rFonts w:ascii="Arial" w:hAnsi="Arial" w:cs="Arial"/>
                <w:sz w:val="28"/>
                <w:szCs w:val="28"/>
                <w:lang w:val="en-GB"/>
              </w:rPr>
              <w:t>3</w:t>
            </w:r>
          </w:p>
        </w:tc>
      </w:tr>
      <w:tr w:rsidR="00A2059E" w:rsidRPr="009F5FE7" w14:paraId="2753A332" w14:textId="77777777" w:rsidTr="00A2059E">
        <w:tc>
          <w:tcPr>
            <w:tcW w:w="7715" w:type="dxa"/>
          </w:tcPr>
          <w:p w14:paraId="2DF9E45F" w14:textId="77777777" w:rsidR="00A2059E" w:rsidRPr="009F5FE7" w:rsidRDefault="00A2059E" w:rsidP="00A2059E">
            <w:pPr>
              <w:rPr>
                <w:rFonts w:ascii="Arial" w:hAnsi="Arial" w:cs="Arial"/>
                <w:b/>
                <w:bCs/>
                <w:sz w:val="28"/>
                <w:szCs w:val="28"/>
                <w:lang w:val="en-GB"/>
              </w:rPr>
            </w:pPr>
            <w:r w:rsidRPr="009F5FE7">
              <w:rPr>
                <w:rFonts w:ascii="Arial" w:hAnsi="Arial" w:cs="Arial"/>
                <w:b/>
                <w:bCs/>
                <w:sz w:val="28"/>
                <w:szCs w:val="28"/>
                <w:lang w:val="en-GB"/>
              </w:rPr>
              <w:t>References</w:t>
            </w:r>
          </w:p>
        </w:tc>
        <w:tc>
          <w:tcPr>
            <w:tcW w:w="1301" w:type="dxa"/>
          </w:tcPr>
          <w:p w14:paraId="66BACCE7" w14:textId="77777777" w:rsidR="00A2059E" w:rsidRPr="009F5FE7" w:rsidRDefault="00A2059E" w:rsidP="00A2059E">
            <w:pPr>
              <w:jc w:val="right"/>
              <w:rPr>
                <w:rFonts w:ascii="Arial" w:hAnsi="Arial" w:cs="Arial"/>
                <w:b/>
                <w:bCs/>
                <w:sz w:val="28"/>
                <w:szCs w:val="28"/>
                <w:lang w:val="en-GB"/>
              </w:rPr>
            </w:pPr>
            <w:r w:rsidRPr="009F5FE7">
              <w:rPr>
                <w:rFonts w:ascii="Arial" w:hAnsi="Arial" w:cs="Arial"/>
                <w:b/>
                <w:bCs/>
                <w:sz w:val="28"/>
                <w:szCs w:val="28"/>
                <w:lang w:val="en-GB"/>
              </w:rPr>
              <w:t>3</w:t>
            </w:r>
            <w:r w:rsidRPr="0003613D">
              <w:rPr>
                <w:rFonts w:ascii="Arial" w:hAnsi="Arial" w:cs="Arial"/>
                <w:b/>
                <w:bCs/>
                <w:sz w:val="28"/>
                <w:szCs w:val="28"/>
                <w:lang w:val="en-GB"/>
              </w:rPr>
              <w:t>5</w:t>
            </w:r>
          </w:p>
        </w:tc>
      </w:tr>
      <w:tr w:rsidR="00A2059E" w:rsidRPr="009F5FE7" w14:paraId="6E8D3828" w14:textId="77777777" w:rsidTr="00A2059E">
        <w:tc>
          <w:tcPr>
            <w:tcW w:w="7715" w:type="dxa"/>
          </w:tcPr>
          <w:p w14:paraId="4EA87082" w14:textId="77777777" w:rsidR="00A2059E" w:rsidRPr="009F5FE7" w:rsidRDefault="00A2059E" w:rsidP="00A2059E">
            <w:pPr>
              <w:rPr>
                <w:rFonts w:ascii="Arial" w:hAnsi="Arial" w:cs="Arial"/>
                <w:b/>
                <w:bCs/>
                <w:sz w:val="28"/>
                <w:szCs w:val="28"/>
                <w:lang w:val="en-GB"/>
              </w:rPr>
            </w:pPr>
            <w:r w:rsidRPr="009F5FE7">
              <w:rPr>
                <w:rFonts w:ascii="Arial" w:hAnsi="Arial" w:cs="Arial"/>
                <w:b/>
                <w:bCs/>
                <w:sz w:val="28"/>
                <w:szCs w:val="28"/>
                <w:lang w:val="en-GB"/>
              </w:rPr>
              <w:t>Appendices</w:t>
            </w:r>
          </w:p>
        </w:tc>
        <w:tc>
          <w:tcPr>
            <w:tcW w:w="1301" w:type="dxa"/>
          </w:tcPr>
          <w:p w14:paraId="2EF0FFAC" w14:textId="77777777" w:rsidR="00A2059E" w:rsidRPr="009F5FE7" w:rsidRDefault="00A2059E" w:rsidP="00A2059E">
            <w:pPr>
              <w:jc w:val="right"/>
              <w:rPr>
                <w:rFonts w:ascii="Arial" w:hAnsi="Arial" w:cs="Arial"/>
                <w:b/>
                <w:bCs/>
                <w:sz w:val="28"/>
                <w:szCs w:val="28"/>
                <w:lang w:val="en-GB"/>
              </w:rPr>
            </w:pPr>
            <w:r w:rsidRPr="009F5FE7">
              <w:rPr>
                <w:rFonts w:ascii="Arial" w:hAnsi="Arial" w:cs="Arial"/>
                <w:b/>
                <w:bCs/>
                <w:sz w:val="28"/>
                <w:szCs w:val="28"/>
                <w:lang w:val="en-GB"/>
              </w:rPr>
              <w:t>3</w:t>
            </w:r>
            <w:r w:rsidRPr="0003613D">
              <w:rPr>
                <w:rFonts w:ascii="Arial" w:hAnsi="Arial" w:cs="Arial"/>
                <w:b/>
                <w:bCs/>
                <w:sz w:val="28"/>
                <w:szCs w:val="28"/>
                <w:lang w:val="en-GB"/>
              </w:rPr>
              <w:t>8</w:t>
            </w:r>
          </w:p>
        </w:tc>
      </w:tr>
    </w:tbl>
    <w:p w14:paraId="5EF0B792" w14:textId="77777777" w:rsidR="00914BC1" w:rsidRPr="0003613D" w:rsidRDefault="00914BC1" w:rsidP="00914BC1">
      <w:pPr>
        <w:rPr>
          <w:rFonts w:ascii="Arial" w:eastAsia="Calibri" w:hAnsi="Arial" w:cs="Arial"/>
          <w:bCs/>
          <w:iCs/>
          <w:color w:val="C00000"/>
          <w:sz w:val="24"/>
          <w:szCs w:val="24"/>
        </w:rPr>
      </w:pPr>
    </w:p>
    <w:p w14:paraId="18640E69" w14:textId="77777777" w:rsidR="00A2059E" w:rsidRDefault="00A2059E" w:rsidP="00914BC1">
      <w:pPr>
        <w:rPr>
          <w:rFonts w:ascii="Arial" w:eastAsia="Calibri" w:hAnsi="Arial" w:cs="Arial"/>
          <w:bCs/>
          <w:iCs/>
          <w:color w:val="C00000"/>
          <w:sz w:val="24"/>
          <w:szCs w:val="24"/>
        </w:rPr>
      </w:pPr>
    </w:p>
    <w:p w14:paraId="2D7A18A4" w14:textId="77777777" w:rsidR="00700427" w:rsidRPr="0003613D" w:rsidRDefault="00700427" w:rsidP="00914BC1">
      <w:pPr>
        <w:rPr>
          <w:rFonts w:ascii="Arial" w:eastAsia="Calibri" w:hAnsi="Arial" w:cs="Arial"/>
          <w:bCs/>
          <w:iCs/>
          <w:color w:val="C00000"/>
          <w:sz w:val="24"/>
          <w:szCs w:val="24"/>
        </w:rPr>
      </w:pPr>
    </w:p>
    <w:p w14:paraId="47BB7CEC" w14:textId="77777777" w:rsidR="00914BC1" w:rsidRPr="0003613D" w:rsidRDefault="00914BC1" w:rsidP="00914BC1">
      <w:pPr>
        <w:rPr>
          <w:rFonts w:ascii="Arial" w:hAnsi="Arial" w:cs="Arial"/>
          <w:b/>
          <w:sz w:val="24"/>
          <w:szCs w:val="24"/>
        </w:rPr>
      </w:pPr>
    </w:p>
    <w:p w14:paraId="5E9E58A5" w14:textId="77777777" w:rsidR="00A243B2" w:rsidRPr="0003613D" w:rsidRDefault="00A243B2">
      <w:pPr>
        <w:rPr>
          <w:rFonts w:ascii="Arial" w:hAnsi="Arial" w:cs="Arial"/>
          <w:b/>
          <w:sz w:val="24"/>
          <w:szCs w:val="24"/>
        </w:rPr>
      </w:pPr>
    </w:p>
    <w:p w14:paraId="3F826547" w14:textId="7D271004" w:rsidR="00F84C08" w:rsidRPr="0003613D" w:rsidRDefault="00F84C08">
      <w:pPr>
        <w:rPr>
          <w:rFonts w:ascii="Arial" w:hAnsi="Arial" w:cs="Arial"/>
          <w:b/>
          <w:sz w:val="56"/>
          <w:szCs w:val="56"/>
        </w:rPr>
      </w:pPr>
      <w:r w:rsidRPr="0003613D">
        <w:rPr>
          <w:rFonts w:ascii="Arial" w:hAnsi="Arial" w:cs="Arial"/>
          <w:b/>
          <w:sz w:val="56"/>
          <w:szCs w:val="56"/>
        </w:rPr>
        <w:lastRenderedPageBreak/>
        <w:t xml:space="preserve">Housing Needs Assessment 2025 </w:t>
      </w:r>
    </w:p>
    <w:p w14:paraId="12A27734" w14:textId="27B2842B" w:rsidR="007A42A4" w:rsidRPr="0003613D" w:rsidRDefault="00F84C08" w:rsidP="00F84C08">
      <w:pPr>
        <w:spacing w:line="276" w:lineRule="auto"/>
        <w:rPr>
          <w:rFonts w:ascii="Arial" w:hAnsi="Arial" w:cs="Arial"/>
          <w:b/>
          <w:color w:val="0070C0"/>
          <w:sz w:val="32"/>
          <w:szCs w:val="32"/>
          <w:u w:val="single"/>
        </w:rPr>
      </w:pPr>
      <w:r w:rsidRPr="0003613D">
        <w:rPr>
          <w:rFonts w:ascii="Arial" w:hAnsi="Arial" w:cs="Arial"/>
          <w:b/>
          <w:color w:val="0070C0"/>
          <w:sz w:val="32"/>
          <w:szCs w:val="32"/>
          <w:u w:val="single"/>
        </w:rPr>
        <w:t>Executive Summary</w:t>
      </w:r>
      <w:r w:rsidR="00E92D60" w:rsidRPr="0003613D">
        <w:rPr>
          <w:rFonts w:ascii="Arial" w:hAnsi="Arial" w:cs="Arial"/>
          <w:b/>
          <w:color w:val="0070C0"/>
          <w:sz w:val="32"/>
          <w:szCs w:val="32"/>
          <w:u w:val="single"/>
        </w:rPr>
        <w:t xml:space="preserve"> and Overview of Report</w:t>
      </w:r>
    </w:p>
    <w:p w14:paraId="0608C0D0" w14:textId="77777777" w:rsidR="00E91432" w:rsidRPr="0003613D" w:rsidRDefault="00E91432" w:rsidP="00761A48">
      <w:pPr>
        <w:rPr>
          <w:rFonts w:ascii="Arial" w:hAnsi="Arial" w:cs="Arial"/>
          <w:bCs/>
          <w:sz w:val="24"/>
          <w:szCs w:val="24"/>
        </w:rPr>
      </w:pPr>
      <w:r w:rsidRPr="0003613D">
        <w:rPr>
          <w:rFonts w:ascii="Arial" w:hAnsi="Arial" w:cs="Arial"/>
          <w:bCs/>
          <w:sz w:val="24"/>
          <w:szCs w:val="24"/>
        </w:rPr>
        <w:t xml:space="preserve">The Housing Needs Assessment outlines the current housing demands within the borough and predicts future housing requirements based on both local and national data. This 2025 document expands upon the 2022 version, incorporating the latest data and updated housing need projections through to 2041. </w:t>
      </w:r>
    </w:p>
    <w:p w14:paraId="467B31B8" w14:textId="0ADE3C24" w:rsidR="00206192" w:rsidRPr="0003613D" w:rsidRDefault="00206192" w:rsidP="00761A48">
      <w:pPr>
        <w:rPr>
          <w:rFonts w:ascii="Arial" w:hAnsi="Arial" w:cs="Arial"/>
          <w:bCs/>
          <w:sz w:val="24"/>
          <w:szCs w:val="24"/>
        </w:rPr>
      </w:pPr>
      <w:r w:rsidRPr="0003613D">
        <w:rPr>
          <w:rFonts w:ascii="Arial" w:hAnsi="Arial" w:cs="Arial"/>
          <w:bCs/>
          <w:sz w:val="24"/>
          <w:szCs w:val="24"/>
        </w:rPr>
        <w:t xml:space="preserve">The Housing Needs Assessment provides an outline of the housing register as of </w:t>
      </w:r>
      <w:r w:rsidR="001F3F57" w:rsidRPr="0003613D">
        <w:rPr>
          <w:rFonts w:ascii="Arial" w:hAnsi="Arial" w:cs="Arial"/>
          <w:bCs/>
          <w:sz w:val="24"/>
          <w:szCs w:val="24"/>
        </w:rPr>
        <w:t>November</w:t>
      </w:r>
      <w:r w:rsidRPr="0003613D">
        <w:rPr>
          <w:rFonts w:ascii="Arial" w:hAnsi="Arial" w:cs="Arial"/>
          <w:bCs/>
          <w:sz w:val="24"/>
          <w:szCs w:val="24"/>
        </w:rPr>
        <w:t xml:space="preserve"> 2025, </w:t>
      </w:r>
      <w:r w:rsidR="00E91432" w:rsidRPr="0003613D">
        <w:rPr>
          <w:rFonts w:ascii="Arial" w:hAnsi="Arial" w:cs="Arial"/>
          <w:bCs/>
          <w:sz w:val="24"/>
          <w:szCs w:val="24"/>
        </w:rPr>
        <w:t>presenting</w:t>
      </w:r>
      <w:r w:rsidR="00E72E94" w:rsidRPr="0003613D">
        <w:rPr>
          <w:rFonts w:ascii="Arial" w:hAnsi="Arial" w:cs="Arial"/>
          <w:bCs/>
          <w:sz w:val="24"/>
          <w:szCs w:val="24"/>
        </w:rPr>
        <w:t xml:space="preserve"> the household composition of those on the register, their ethnicity, age and priority banding. An outline of the housing stock presents the proportion of the stock by area, bedroom number, and property type.</w:t>
      </w:r>
    </w:p>
    <w:p w14:paraId="1C249F3C" w14:textId="78B2A8DB" w:rsidR="006502D7" w:rsidRPr="0003613D" w:rsidRDefault="006502D7" w:rsidP="00761A48">
      <w:pPr>
        <w:rPr>
          <w:rFonts w:ascii="Arial" w:hAnsi="Arial" w:cs="Arial"/>
          <w:bCs/>
          <w:sz w:val="24"/>
          <w:szCs w:val="24"/>
        </w:rPr>
      </w:pPr>
      <w:r w:rsidRPr="0003613D">
        <w:rPr>
          <w:rFonts w:ascii="Arial" w:hAnsi="Arial" w:cs="Arial"/>
          <w:bCs/>
          <w:sz w:val="24"/>
          <w:szCs w:val="24"/>
        </w:rPr>
        <w:t>The Housing Needs Assessment also provides a s</w:t>
      </w:r>
      <w:r w:rsidR="003A7E1E" w:rsidRPr="0003613D">
        <w:rPr>
          <w:rFonts w:ascii="Arial" w:hAnsi="Arial" w:cs="Arial"/>
          <w:bCs/>
          <w:sz w:val="24"/>
          <w:szCs w:val="24"/>
        </w:rPr>
        <w:t xml:space="preserve">ummary </w:t>
      </w:r>
      <w:r w:rsidRPr="0003613D">
        <w:rPr>
          <w:rFonts w:ascii="Arial" w:hAnsi="Arial" w:cs="Arial"/>
          <w:bCs/>
          <w:sz w:val="24"/>
          <w:szCs w:val="24"/>
        </w:rPr>
        <w:t>of current and future housing need in the borough for specific groups.</w:t>
      </w:r>
    </w:p>
    <w:p w14:paraId="0570EE67" w14:textId="51F893C7" w:rsidR="007A3936" w:rsidRPr="0003613D" w:rsidRDefault="00D34F5D" w:rsidP="00E92D60">
      <w:pPr>
        <w:rPr>
          <w:rFonts w:ascii="Arial" w:hAnsi="Arial" w:cs="Arial"/>
          <w:bCs/>
          <w:sz w:val="24"/>
          <w:szCs w:val="24"/>
        </w:rPr>
      </w:pPr>
      <w:r w:rsidRPr="0003613D">
        <w:rPr>
          <w:rFonts w:ascii="Arial" w:hAnsi="Arial" w:cs="Arial"/>
          <w:bCs/>
          <w:sz w:val="24"/>
          <w:szCs w:val="24"/>
        </w:rPr>
        <w:t>It is vital that local authorities have a comprehensive understanding of their local housing market, and a robust evidence base on which to make informed decisions about future housing provision</w:t>
      </w:r>
      <w:r w:rsidR="00206192" w:rsidRPr="0003613D">
        <w:rPr>
          <w:rFonts w:ascii="Arial" w:hAnsi="Arial" w:cs="Arial"/>
          <w:bCs/>
          <w:sz w:val="24"/>
          <w:szCs w:val="24"/>
        </w:rPr>
        <w:t>.</w:t>
      </w:r>
    </w:p>
    <w:p w14:paraId="0AE97E79" w14:textId="62AB4624" w:rsidR="00A27BB7" w:rsidRPr="0003613D" w:rsidRDefault="00A27BB7" w:rsidP="007A42A4">
      <w:pPr>
        <w:spacing w:line="240" w:lineRule="auto"/>
        <w:rPr>
          <w:rFonts w:ascii="Arial" w:hAnsi="Arial" w:cs="Arial"/>
          <w:b/>
          <w:sz w:val="24"/>
          <w:szCs w:val="24"/>
        </w:rPr>
      </w:pPr>
      <w:r w:rsidRPr="0003613D">
        <w:rPr>
          <w:rFonts w:ascii="Arial" w:hAnsi="Arial" w:cs="Arial"/>
          <w:b/>
          <w:sz w:val="24"/>
          <w:szCs w:val="24"/>
        </w:rPr>
        <w:t>Overview of Sandwell</w:t>
      </w:r>
      <w:r w:rsidR="003A7E1E" w:rsidRPr="0003613D">
        <w:rPr>
          <w:rFonts w:ascii="Arial" w:hAnsi="Arial" w:cs="Arial"/>
          <w:b/>
          <w:sz w:val="24"/>
          <w:szCs w:val="24"/>
        </w:rPr>
        <w:t>’s Population and Demographics</w:t>
      </w:r>
    </w:p>
    <w:p w14:paraId="1075E9EA" w14:textId="779CCF51" w:rsidR="004C0EDE" w:rsidRPr="0003613D" w:rsidRDefault="004C0EDE" w:rsidP="004C0EDE">
      <w:pPr>
        <w:spacing w:line="240" w:lineRule="auto"/>
        <w:rPr>
          <w:rFonts w:ascii="Arial" w:hAnsi="Arial" w:cs="Arial"/>
          <w:bCs/>
          <w:sz w:val="24"/>
          <w:szCs w:val="24"/>
        </w:rPr>
      </w:pPr>
      <w:r w:rsidRPr="0003613D">
        <w:rPr>
          <w:rFonts w:ascii="Arial" w:hAnsi="Arial" w:cs="Arial"/>
          <w:bCs/>
          <w:sz w:val="24"/>
          <w:szCs w:val="24"/>
        </w:rPr>
        <w:t xml:space="preserve">Sandwell, a metropolitan borough in the West Midlands, consists of six towns and 24 wards. </w:t>
      </w:r>
      <w:r w:rsidR="00740ED5" w:rsidRPr="0003613D">
        <w:rPr>
          <w:rFonts w:ascii="Arial" w:hAnsi="Arial" w:cs="Arial"/>
          <w:bCs/>
          <w:sz w:val="24"/>
          <w:szCs w:val="24"/>
        </w:rPr>
        <w:t xml:space="preserve">Sandwell </w:t>
      </w:r>
      <w:r w:rsidRPr="0003613D">
        <w:rPr>
          <w:rFonts w:ascii="Arial" w:hAnsi="Arial" w:cs="Arial"/>
          <w:bCs/>
          <w:sz w:val="24"/>
          <w:szCs w:val="24"/>
        </w:rPr>
        <w:t xml:space="preserve">has a strong industrial heritage as part of the Black Country </w:t>
      </w:r>
      <w:r w:rsidR="00740ED5" w:rsidRPr="0003613D">
        <w:rPr>
          <w:rFonts w:ascii="Arial" w:hAnsi="Arial" w:cs="Arial"/>
          <w:bCs/>
          <w:sz w:val="24"/>
          <w:szCs w:val="24"/>
        </w:rPr>
        <w:t xml:space="preserve">and </w:t>
      </w:r>
      <w:r w:rsidRPr="0003613D">
        <w:rPr>
          <w:rFonts w:ascii="Arial" w:hAnsi="Arial" w:cs="Arial"/>
          <w:bCs/>
          <w:sz w:val="24"/>
          <w:szCs w:val="24"/>
        </w:rPr>
        <w:t>has major road and rail links</w:t>
      </w:r>
      <w:r w:rsidR="005B5642" w:rsidRPr="0003613D">
        <w:rPr>
          <w:rFonts w:ascii="Arial" w:hAnsi="Arial" w:cs="Arial"/>
          <w:bCs/>
          <w:sz w:val="24"/>
          <w:szCs w:val="24"/>
        </w:rPr>
        <w:t xml:space="preserve"> with Birmingham and the wider West Midlands.</w:t>
      </w:r>
    </w:p>
    <w:p w14:paraId="169B6271" w14:textId="39F4DA35" w:rsidR="004C0EDE" w:rsidRPr="0003613D" w:rsidRDefault="004C0EDE" w:rsidP="004C0EDE">
      <w:pPr>
        <w:spacing w:line="240" w:lineRule="auto"/>
        <w:rPr>
          <w:rFonts w:ascii="Arial" w:hAnsi="Arial" w:cs="Arial"/>
          <w:bCs/>
          <w:sz w:val="24"/>
          <w:szCs w:val="24"/>
        </w:rPr>
      </w:pPr>
      <w:r w:rsidRPr="0003613D">
        <w:rPr>
          <w:rFonts w:ascii="Arial" w:hAnsi="Arial" w:cs="Arial"/>
          <w:bCs/>
          <w:sz w:val="24"/>
          <w:szCs w:val="24"/>
        </w:rPr>
        <w:t xml:space="preserve">Sandwell’s population reached 341,900 in 2021, growing by 11%, outpacing national trends. </w:t>
      </w:r>
      <w:r w:rsidR="005B5642" w:rsidRPr="0003613D">
        <w:rPr>
          <w:rFonts w:ascii="Arial" w:hAnsi="Arial" w:cs="Arial"/>
          <w:bCs/>
          <w:sz w:val="24"/>
          <w:szCs w:val="24"/>
        </w:rPr>
        <w:t xml:space="preserve">Sandwell </w:t>
      </w:r>
      <w:r w:rsidRPr="0003613D">
        <w:rPr>
          <w:rFonts w:ascii="Arial" w:hAnsi="Arial" w:cs="Arial"/>
          <w:bCs/>
          <w:sz w:val="24"/>
          <w:szCs w:val="24"/>
        </w:rPr>
        <w:t>has a young and diverse population, with over 40%</w:t>
      </w:r>
      <w:r w:rsidR="005B5642" w:rsidRPr="0003613D">
        <w:rPr>
          <w:rFonts w:ascii="Arial" w:hAnsi="Arial" w:cs="Arial"/>
          <w:bCs/>
          <w:sz w:val="24"/>
          <w:szCs w:val="24"/>
        </w:rPr>
        <w:t xml:space="preserve"> of residents</w:t>
      </w:r>
      <w:r w:rsidRPr="0003613D">
        <w:rPr>
          <w:rFonts w:ascii="Arial" w:hAnsi="Arial" w:cs="Arial"/>
          <w:bCs/>
          <w:sz w:val="24"/>
          <w:szCs w:val="24"/>
        </w:rPr>
        <w:t xml:space="preserve"> under 30 and </w:t>
      </w:r>
      <w:r w:rsidR="00EB4832" w:rsidRPr="0003613D">
        <w:rPr>
          <w:rFonts w:ascii="Arial" w:hAnsi="Arial" w:cs="Arial"/>
          <w:bCs/>
          <w:sz w:val="24"/>
          <w:szCs w:val="24"/>
        </w:rPr>
        <w:t>42</w:t>
      </w:r>
      <w:r w:rsidRPr="0003613D">
        <w:rPr>
          <w:rFonts w:ascii="Arial" w:hAnsi="Arial" w:cs="Arial"/>
          <w:bCs/>
          <w:sz w:val="24"/>
          <w:szCs w:val="24"/>
        </w:rPr>
        <w:t>.</w:t>
      </w:r>
      <w:r w:rsidR="00EB4832" w:rsidRPr="0003613D">
        <w:rPr>
          <w:rFonts w:ascii="Arial" w:hAnsi="Arial" w:cs="Arial"/>
          <w:bCs/>
          <w:sz w:val="24"/>
          <w:szCs w:val="24"/>
        </w:rPr>
        <w:t>7</w:t>
      </w:r>
      <w:r w:rsidRPr="0003613D">
        <w:rPr>
          <w:rFonts w:ascii="Arial" w:hAnsi="Arial" w:cs="Arial"/>
          <w:bCs/>
          <w:sz w:val="24"/>
          <w:szCs w:val="24"/>
        </w:rPr>
        <w:t>% from global majority backgrounds.</w:t>
      </w:r>
    </w:p>
    <w:p w14:paraId="621C57E0" w14:textId="5DF8FA37" w:rsidR="004C0EDE" w:rsidRPr="0003613D" w:rsidRDefault="004C0EDE" w:rsidP="004C0EDE">
      <w:pPr>
        <w:spacing w:line="240" w:lineRule="auto"/>
        <w:rPr>
          <w:rFonts w:ascii="Arial" w:hAnsi="Arial" w:cs="Arial"/>
          <w:bCs/>
          <w:sz w:val="24"/>
          <w:szCs w:val="24"/>
        </w:rPr>
      </w:pPr>
      <w:r w:rsidRPr="0003613D">
        <w:rPr>
          <w:rFonts w:ascii="Arial" w:hAnsi="Arial" w:cs="Arial"/>
          <w:bCs/>
          <w:sz w:val="24"/>
          <w:szCs w:val="24"/>
        </w:rPr>
        <w:t>Life expectancy remains below the national average, with 60.2% of residents reporting long-term health conditions</w:t>
      </w:r>
      <w:r w:rsidR="005B5642" w:rsidRPr="0003613D">
        <w:rPr>
          <w:rFonts w:ascii="Arial" w:hAnsi="Arial" w:cs="Arial"/>
          <w:bCs/>
          <w:sz w:val="24"/>
          <w:szCs w:val="24"/>
        </w:rPr>
        <w:t xml:space="preserve"> lasting more than 12 months</w:t>
      </w:r>
      <w:r w:rsidRPr="0003613D">
        <w:rPr>
          <w:rFonts w:ascii="Arial" w:hAnsi="Arial" w:cs="Arial"/>
          <w:bCs/>
          <w:sz w:val="24"/>
          <w:szCs w:val="24"/>
        </w:rPr>
        <w:t xml:space="preserve">. </w:t>
      </w:r>
    </w:p>
    <w:p w14:paraId="74640982" w14:textId="49CA2E48" w:rsidR="004C0EDE" w:rsidRPr="0003613D" w:rsidRDefault="004C0EDE" w:rsidP="004C0EDE">
      <w:pPr>
        <w:spacing w:line="240" w:lineRule="auto"/>
        <w:rPr>
          <w:rFonts w:ascii="Arial" w:hAnsi="Arial" w:cs="Arial"/>
          <w:bCs/>
          <w:sz w:val="24"/>
          <w:szCs w:val="24"/>
        </w:rPr>
      </w:pPr>
      <w:r w:rsidRPr="0003613D">
        <w:rPr>
          <w:rFonts w:ascii="Arial" w:hAnsi="Arial" w:cs="Arial"/>
          <w:bCs/>
          <w:sz w:val="24"/>
          <w:szCs w:val="24"/>
        </w:rPr>
        <w:t xml:space="preserve">Sandwell is the </w:t>
      </w:r>
      <w:r w:rsidR="00C534E8" w:rsidRPr="0003613D">
        <w:rPr>
          <w:rFonts w:ascii="Arial" w:hAnsi="Arial" w:cs="Arial"/>
          <w:bCs/>
          <w:sz w:val="24"/>
          <w:szCs w:val="24"/>
        </w:rPr>
        <w:t>19</w:t>
      </w:r>
      <w:r w:rsidRPr="0003613D">
        <w:rPr>
          <w:rFonts w:ascii="Arial" w:hAnsi="Arial" w:cs="Arial"/>
          <w:bCs/>
          <w:sz w:val="24"/>
          <w:szCs w:val="24"/>
        </w:rPr>
        <w:t xml:space="preserve">th most deprived local authority in England, with low employment (67.4%) and high economic inactivity (28.5%). Universal Credit </w:t>
      </w:r>
      <w:r w:rsidR="005B5642" w:rsidRPr="0003613D">
        <w:rPr>
          <w:rFonts w:ascii="Arial" w:hAnsi="Arial" w:cs="Arial"/>
          <w:bCs/>
          <w:sz w:val="24"/>
          <w:szCs w:val="24"/>
        </w:rPr>
        <w:t>claimants</w:t>
      </w:r>
      <w:r w:rsidRPr="0003613D">
        <w:rPr>
          <w:rFonts w:ascii="Arial" w:hAnsi="Arial" w:cs="Arial"/>
          <w:bCs/>
          <w:sz w:val="24"/>
          <w:szCs w:val="24"/>
        </w:rPr>
        <w:t xml:space="preserve"> (6%) and youth unemployment (7.7%) are significantly above national averages</w:t>
      </w:r>
      <w:r w:rsidR="00740ED5" w:rsidRPr="0003613D">
        <w:rPr>
          <w:rFonts w:ascii="Arial" w:hAnsi="Arial" w:cs="Arial"/>
          <w:bCs/>
          <w:sz w:val="24"/>
          <w:szCs w:val="24"/>
        </w:rPr>
        <w:t>.</w:t>
      </w:r>
    </w:p>
    <w:p w14:paraId="7F0D40A6" w14:textId="27ECAE81" w:rsidR="004C0EDE" w:rsidRPr="0003613D" w:rsidRDefault="00ED431D" w:rsidP="007A42A4">
      <w:pPr>
        <w:spacing w:line="240" w:lineRule="auto"/>
        <w:rPr>
          <w:rFonts w:ascii="Arial" w:hAnsi="Arial" w:cs="Arial"/>
          <w:bCs/>
          <w:sz w:val="24"/>
          <w:szCs w:val="24"/>
        </w:rPr>
      </w:pPr>
      <w:r w:rsidRPr="0003613D">
        <w:rPr>
          <w:rFonts w:ascii="Arial" w:eastAsia="Calibri" w:hAnsi="Arial" w:cs="Arial"/>
          <w:bCs/>
          <w:sz w:val="24"/>
          <w:szCs w:val="24"/>
        </w:rPr>
        <w:t>Sandwell</w:t>
      </w:r>
      <w:r w:rsidR="00097A97" w:rsidRPr="0003613D">
        <w:rPr>
          <w:rFonts w:ascii="Arial" w:eastAsia="Calibri" w:hAnsi="Arial" w:cs="Arial"/>
          <w:bCs/>
          <w:sz w:val="24"/>
          <w:szCs w:val="24"/>
        </w:rPr>
        <w:t xml:space="preserve"> has a significant level of fuel poverty</w:t>
      </w:r>
      <w:r w:rsidR="009D0F10" w:rsidRPr="0003613D">
        <w:rPr>
          <w:rFonts w:ascii="Arial" w:eastAsia="Calibri" w:hAnsi="Arial" w:cs="Arial"/>
          <w:bCs/>
          <w:sz w:val="24"/>
          <w:szCs w:val="24"/>
        </w:rPr>
        <w:t>. The Fuel Poverty Risk Index ranks Sandwell as the</w:t>
      </w:r>
      <w:r w:rsidR="00097A97" w:rsidRPr="0003613D">
        <w:rPr>
          <w:rFonts w:ascii="Arial" w:eastAsia="Calibri" w:hAnsi="Arial" w:cs="Arial"/>
          <w:bCs/>
          <w:sz w:val="24"/>
          <w:szCs w:val="24"/>
        </w:rPr>
        <w:t xml:space="preserve"> 6</w:t>
      </w:r>
      <w:r w:rsidR="00097A97" w:rsidRPr="0003613D">
        <w:rPr>
          <w:rFonts w:ascii="Arial" w:eastAsia="Calibri" w:hAnsi="Arial" w:cs="Arial"/>
          <w:bCs/>
          <w:sz w:val="24"/>
          <w:szCs w:val="24"/>
          <w:vertAlign w:val="superscript"/>
        </w:rPr>
        <w:t>th</w:t>
      </w:r>
      <w:r w:rsidR="00097A97" w:rsidRPr="0003613D">
        <w:rPr>
          <w:rFonts w:ascii="Arial" w:eastAsia="Calibri" w:hAnsi="Arial" w:cs="Arial"/>
          <w:bCs/>
          <w:sz w:val="24"/>
          <w:szCs w:val="24"/>
        </w:rPr>
        <w:t xml:space="preserve"> highest risk</w:t>
      </w:r>
      <w:r w:rsidR="009D0F10" w:rsidRPr="0003613D">
        <w:rPr>
          <w:rFonts w:ascii="Arial" w:eastAsia="Calibri" w:hAnsi="Arial" w:cs="Arial"/>
          <w:bCs/>
          <w:sz w:val="24"/>
          <w:szCs w:val="24"/>
        </w:rPr>
        <w:t xml:space="preserve"> area </w:t>
      </w:r>
      <w:r w:rsidR="00097A97" w:rsidRPr="0003613D">
        <w:rPr>
          <w:rFonts w:ascii="Arial" w:eastAsia="Calibri" w:hAnsi="Arial" w:cs="Arial"/>
          <w:bCs/>
          <w:sz w:val="24"/>
          <w:szCs w:val="24"/>
        </w:rPr>
        <w:t>for fuel poverty, across all local authorities in England</w:t>
      </w:r>
      <w:r w:rsidRPr="0003613D">
        <w:rPr>
          <w:rFonts w:ascii="Arial" w:eastAsia="Calibri" w:hAnsi="Arial" w:cs="Arial"/>
          <w:bCs/>
          <w:sz w:val="24"/>
          <w:szCs w:val="24"/>
        </w:rPr>
        <w:t>. 20.8% of residents in Sandwell are in fuel poverty. This compares to 13.2% across England.</w:t>
      </w:r>
    </w:p>
    <w:p w14:paraId="5294AFF8" w14:textId="2533F5F9" w:rsidR="007A42A4" w:rsidRPr="0003613D" w:rsidRDefault="003F5215" w:rsidP="007A42A4">
      <w:pPr>
        <w:spacing w:line="276" w:lineRule="auto"/>
        <w:rPr>
          <w:rFonts w:ascii="Arial" w:hAnsi="Arial" w:cs="Arial"/>
          <w:b/>
          <w:sz w:val="24"/>
          <w:szCs w:val="24"/>
        </w:rPr>
      </w:pPr>
      <w:r w:rsidRPr="0003613D">
        <w:rPr>
          <w:rFonts w:ascii="Arial" w:hAnsi="Arial" w:cs="Arial"/>
          <w:b/>
          <w:sz w:val="24"/>
          <w:szCs w:val="24"/>
        </w:rPr>
        <w:t xml:space="preserve">Overview of </w:t>
      </w:r>
      <w:r w:rsidR="007A42A4" w:rsidRPr="0003613D">
        <w:rPr>
          <w:rFonts w:ascii="Arial" w:hAnsi="Arial" w:cs="Arial"/>
          <w:b/>
          <w:sz w:val="24"/>
          <w:szCs w:val="24"/>
        </w:rPr>
        <w:t>Sandwell’s Housing Market</w:t>
      </w:r>
    </w:p>
    <w:p w14:paraId="674DF7DC" w14:textId="0C97EF7E" w:rsidR="00DC0261" w:rsidRPr="0003613D" w:rsidRDefault="00DC0261" w:rsidP="00DC0261">
      <w:pPr>
        <w:spacing w:line="276" w:lineRule="auto"/>
        <w:rPr>
          <w:rFonts w:ascii="Arial" w:hAnsi="Arial" w:cs="Arial"/>
          <w:sz w:val="24"/>
          <w:szCs w:val="24"/>
        </w:rPr>
      </w:pPr>
      <w:r w:rsidRPr="0003613D">
        <w:rPr>
          <w:rFonts w:ascii="Arial" w:hAnsi="Arial" w:cs="Arial"/>
          <w:sz w:val="24"/>
          <w:szCs w:val="24"/>
        </w:rPr>
        <w:t xml:space="preserve">Sandwell’s housing market has evolved over the past decade, with the private rental market expanding, and the local authority sector continuing to shrink. Despite a decrease in the social housing stock, Sandwell still has a higher proportion of social rented properties compared to the rest of the Black Country and England &amp; Wales. The </w:t>
      </w:r>
      <w:r w:rsidR="008631CC" w:rsidRPr="0003613D">
        <w:rPr>
          <w:rFonts w:ascii="Arial" w:hAnsi="Arial" w:cs="Arial"/>
          <w:sz w:val="24"/>
          <w:szCs w:val="24"/>
        </w:rPr>
        <w:t xml:space="preserve">total </w:t>
      </w:r>
      <w:r w:rsidRPr="0003613D">
        <w:rPr>
          <w:rFonts w:ascii="Arial" w:hAnsi="Arial" w:cs="Arial"/>
          <w:sz w:val="24"/>
          <w:szCs w:val="24"/>
        </w:rPr>
        <w:t xml:space="preserve">number of properties </w:t>
      </w:r>
      <w:r w:rsidRPr="0003613D">
        <w:rPr>
          <w:rFonts w:ascii="Arial" w:eastAsia="Calibri" w:hAnsi="Arial" w:cs="Arial"/>
          <w:bCs/>
          <w:iCs/>
          <w:sz w:val="24"/>
          <w:szCs w:val="24"/>
        </w:rPr>
        <w:t xml:space="preserve">in the borough grew by 6% between 2011 and 2021, a lower increase than that observed both regionally and nationally. </w:t>
      </w:r>
    </w:p>
    <w:p w14:paraId="352A9E72" w14:textId="61EE4A5D" w:rsidR="00DC0261" w:rsidRPr="0003613D" w:rsidRDefault="00DC0261" w:rsidP="00DC0261">
      <w:pPr>
        <w:spacing w:line="276" w:lineRule="auto"/>
        <w:rPr>
          <w:rFonts w:ascii="Arial" w:hAnsi="Arial" w:cs="Arial"/>
          <w:sz w:val="24"/>
          <w:szCs w:val="24"/>
        </w:rPr>
      </w:pPr>
      <w:r w:rsidRPr="0003613D">
        <w:rPr>
          <w:rFonts w:ascii="Arial" w:hAnsi="Arial" w:cs="Arial"/>
          <w:sz w:val="24"/>
          <w:szCs w:val="24"/>
        </w:rPr>
        <w:lastRenderedPageBreak/>
        <w:t>The average house price in Sandwell was £199,000 in December 2024, increasing by 2.7% over the year but increasing slower than the regional average. Private rents also rose by 2.8% in the same period, but at a slower rate than in the West Midlands and nationally.</w:t>
      </w:r>
    </w:p>
    <w:p w14:paraId="676E8C9A" w14:textId="22FBD8B8" w:rsidR="00DC0261" w:rsidRPr="0003613D" w:rsidRDefault="00DC0261" w:rsidP="007A42A4">
      <w:pPr>
        <w:spacing w:line="276" w:lineRule="auto"/>
        <w:rPr>
          <w:rFonts w:ascii="Arial" w:hAnsi="Arial" w:cs="Arial"/>
          <w:sz w:val="24"/>
          <w:szCs w:val="24"/>
        </w:rPr>
      </w:pPr>
      <w:r w:rsidRPr="0003613D">
        <w:rPr>
          <w:rFonts w:ascii="Arial" w:hAnsi="Arial" w:cs="Arial"/>
          <w:sz w:val="24"/>
          <w:szCs w:val="24"/>
        </w:rPr>
        <w:t xml:space="preserve">Over half (53.7%) of households in Sandwell own their own home, while 26.6% are in social housing and 18.6% are privately renting. Issues such as overcrowding (8.2%) and lack of central heating (1.8%) persist, with Smethwick having the highest rates of both. </w:t>
      </w:r>
    </w:p>
    <w:p w14:paraId="45E2EA19" w14:textId="73586589" w:rsidR="007A42A4" w:rsidRPr="0003613D" w:rsidRDefault="003F5215" w:rsidP="007A42A4">
      <w:pPr>
        <w:spacing w:line="276" w:lineRule="auto"/>
        <w:rPr>
          <w:rFonts w:ascii="Arial" w:hAnsi="Arial" w:cs="Arial"/>
          <w:b/>
          <w:iCs/>
          <w:sz w:val="24"/>
          <w:szCs w:val="24"/>
        </w:rPr>
      </w:pPr>
      <w:r w:rsidRPr="0003613D">
        <w:rPr>
          <w:rFonts w:ascii="Arial" w:hAnsi="Arial" w:cs="Arial"/>
          <w:b/>
          <w:iCs/>
          <w:sz w:val="24"/>
          <w:szCs w:val="24"/>
        </w:rPr>
        <w:t xml:space="preserve">Overview of Our Housing </w:t>
      </w:r>
      <w:r w:rsidR="007A42A4" w:rsidRPr="0003613D">
        <w:rPr>
          <w:rFonts w:ascii="Arial" w:hAnsi="Arial" w:cs="Arial"/>
          <w:b/>
          <w:iCs/>
          <w:sz w:val="24"/>
          <w:szCs w:val="24"/>
        </w:rPr>
        <w:t>Stock</w:t>
      </w:r>
    </w:p>
    <w:p w14:paraId="563F3C15" w14:textId="5ACB07B7" w:rsidR="00FC7C8E" w:rsidRPr="0003613D" w:rsidRDefault="00FC7C8E" w:rsidP="00FC7C8E">
      <w:pPr>
        <w:rPr>
          <w:rFonts w:ascii="Arial" w:hAnsi="Arial" w:cs="Arial"/>
          <w:sz w:val="24"/>
          <w:szCs w:val="24"/>
        </w:rPr>
      </w:pPr>
      <w:r w:rsidRPr="0003613D">
        <w:rPr>
          <w:rFonts w:ascii="Arial" w:hAnsi="Arial" w:cs="Arial"/>
          <w:sz w:val="24"/>
          <w:szCs w:val="24"/>
        </w:rPr>
        <w:t>In total, there are 27,781 properties in Sandwell Council’s housing stock. Of these, 964 are managed by PFI Riverside. 53% of the total stock consists of houses</w:t>
      </w:r>
      <w:r w:rsidR="0012026B" w:rsidRPr="0003613D">
        <w:rPr>
          <w:rFonts w:ascii="Arial" w:hAnsi="Arial" w:cs="Arial"/>
          <w:sz w:val="24"/>
          <w:szCs w:val="24"/>
        </w:rPr>
        <w:t xml:space="preserve"> (14,720)</w:t>
      </w:r>
      <w:r w:rsidRPr="0003613D">
        <w:rPr>
          <w:rFonts w:ascii="Arial" w:hAnsi="Arial" w:cs="Arial"/>
          <w:sz w:val="24"/>
          <w:szCs w:val="24"/>
        </w:rPr>
        <w:t xml:space="preserve">, and 10,837 flats make up 39% of the housing stock. 41% of the housing stock consists of 3 bedroom properties (11,371 properties). </w:t>
      </w:r>
    </w:p>
    <w:p w14:paraId="30A85896" w14:textId="11B76C53" w:rsidR="00FC7C8E" w:rsidRPr="0003613D" w:rsidRDefault="00FC7C8E" w:rsidP="00AD4A80">
      <w:pPr>
        <w:rPr>
          <w:rFonts w:ascii="Arial" w:hAnsi="Arial" w:cs="Arial"/>
          <w:sz w:val="24"/>
          <w:szCs w:val="24"/>
        </w:rPr>
      </w:pPr>
      <w:r w:rsidRPr="0003613D">
        <w:rPr>
          <w:rFonts w:ascii="Arial" w:hAnsi="Arial" w:cs="Arial"/>
          <w:sz w:val="24"/>
          <w:szCs w:val="24"/>
        </w:rPr>
        <w:t>26% of the council’s social housing stock is within West Bromwich, the highest percentage of any town. However, for the relative population size, Tipton has the highest overall percentage of social housing properties.</w:t>
      </w:r>
      <w:r w:rsidR="00AD4A80" w:rsidRPr="0003613D">
        <w:rPr>
          <w:rFonts w:ascii="Arial" w:hAnsi="Arial" w:cs="Arial"/>
          <w:sz w:val="24"/>
          <w:szCs w:val="24"/>
        </w:rPr>
        <w:t xml:space="preserve"> Smethwick has the highest percentage of privately rented accommodation (28.4%), by a large margin of 9.9%.</w:t>
      </w:r>
    </w:p>
    <w:p w14:paraId="7062729C" w14:textId="1C1E1F5F" w:rsidR="00794EAF" w:rsidRPr="0003613D" w:rsidRDefault="003F5215" w:rsidP="00AD4A80">
      <w:pPr>
        <w:rPr>
          <w:rFonts w:ascii="Arial" w:hAnsi="Arial" w:cs="Arial"/>
          <w:b/>
          <w:bCs/>
          <w:sz w:val="24"/>
          <w:szCs w:val="24"/>
        </w:rPr>
      </w:pPr>
      <w:r w:rsidRPr="0003613D">
        <w:rPr>
          <w:rFonts w:ascii="Arial" w:hAnsi="Arial" w:cs="Arial"/>
          <w:b/>
          <w:bCs/>
          <w:sz w:val="24"/>
          <w:szCs w:val="24"/>
        </w:rPr>
        <w:t xml:space="preserve">Overview of </w:t>
      </w:r>
      <w:r w:rsidR="00794EAF" w:rsidRPr="0003613D">
        <w:rPr>
          <w:rFonts w:ascii="Arial" w:hAnsi="Arial" w:cs="Arial"/>
          <w:b/>
          <w:bCs/>
          <w:sz w:val="24"/>
          <w:szCs w:val="24"/>
        </w:rPr>
        <w:t>Sandwell’s Future Affordable and Social Housing Stock</w:t>
      </w:r>
    </w:p>
    <w:p w14:paraId="01486736" w14:textId="558D34EF" w:rsidR="00794EAF" w:rsidRPr="0003613D" w:rsidRDefault="00794EAF" w:rsidP="00AD4A80">
      <w:pPr>
        <w:rPr>
          <w:rFonts w:ascii="Arial" w:hAnsi="Arial" w:cs="Arial"/>
          <w:sz w:val="24"/>
          <w:szCs w:val="24"/>
        </w:rPr>
      </w:pPr>
      <w:r w:rsidRPr="0003613D">
        <w:rPr>
          <w:rFonts w:ascii="Arial" w:hAnsi="Arial" w:cs="Arial"/>
          <w:sz w:val="24"/>
          <w:szCs w:val="24"/>
        </w:rPr>
        <w:t xml:space="preserve">Future projections indicate that by 2041, </w:t>
      </w:r>
      <w:r w:rsidRPr="0003613D">
        <w:rPr>
          <w:rFonts w:ascii="Arial" w:eastAsia="Calibri" w:hAnsi="Arial" w:cs="Arial"/>
          <w:iCs/>
          <w:color w:val="000000" w:themeColor="text1"/>
          <w:sz w:val="24"/>
          <w:szCs w:val="24"/>
        </w:rPr>
        <w:t>39,726 social housing and affordable housing units for renting will be required. This is an increase of 4,609 properties. Projections indicate that of these 4,609, 34.5% should have four bedrooms or more.</w:t>
      </w:r>
    </w:p>
    <w:p w14:paraId="0BA9D0DE" w14:textId="65FE6574" w:rsidR="00546FE5" w:rsidRPr="0003613D" w:rsidRDefault="00794EAF" w:rsidP="00546FE5">
      <w:pPr>
        <w:spacing w:line="276" w:lineRule="auto"/>
        <w:rPr>
          <w:rFonts w:ascii="Arial" w:eastAsia="Calibri" w:hAnsi="Arial" w:cs="Arial"/>
          <w:iCs/>
          <w:sz w:val="24"/>
          <w:szCs w:val="24"/>
        </w:rPr>
      </w:pPr>
      <w:r w:rsidRPr="0003613D">
        <w:rPr>
          <w:rFonts w:ascii="Arial" w:hAnsi="Arial" w:cs="Arial"/>
          <w:sz w:val="24"/>
          <w:szCs w:val="24"/>
        </w:rPr>
        <w:t xml:space="preserve">To address this, </w:t>
      </w:r>
      <w:r w:rsidR="00546FE5" w:rsidRPr="0003613D">
        <w:rPr>
          <w:rFonts w:ascii="Arial" w:hAnsi="Arial" w:cs="Arial"/>
          <w:sz w:val="24"/>
          <w:szCs w:val="24"/>
        </w:rPr>
        <w:t xml:space="preserve">Sandwell Council’s Housing </w:t>
      </w:r>
      <w:r w:rsidR="00546FE5" w:rsidRPr="0003613D">
        <w:rPr>
          <w:rFonts w:ascii="Arial" w:eastAsia="Calibri" w:hAnsi="Arial" w:cs="Arial"/>
          <w:bCs/>
          <w:iCs/>
          <w:sz w:val="24"/>
          <w:szCs w:val="24"/>
        </w:rPr>
        <w:t xml:space="preserve">Strategy sets a target of building </w:t>
      </w:r>
      <w:r w:rsidR="00546FE5" w:rsidRPr="0003613D">
        <w:rPr>
          <w:rFonts w:ascii="Arial" w:eastAsia="Calibri" w:hAnsi="Arial" w:cs="Arial"/>
          <w:iCs/>
          <w:sz w:val="24"/>
          <w:szCs w:val="24"/>
        </w:rPr>
        <w:t>100-150 new council homes each year through 2028.</w:t>
      </w:r>
    </w:p>
    <w:p w14:paraId="4D9FAC3D" w14:textId="32488F40" w:rsidR="007A42A4" w:rsidRPr="0003613D" w:rsidRDefault="003F5215" w:rsidP="007A42A4">
      <w:pPr>
        <w:spacing w:line="276" w:lineRule="auto"/>
        <w:rPr>
          <w:rFonts w:ascii="Arial" w:hAnsi="Arial" w:cs="Arial"/>
          <w:b/>
          <w:sz w:val="24"/>
          <w:szCs w:val="24"/>
        </w:rPr>
      </w:pPr>
      <w:r w:rsidRPr="0003613D">
        <w:rPr>
          <w:rFonts w:ascii="Arial" w:hAnsi="Arial" w:cs="Arial"/>
          <w:b/>
          <w:sz w:val="24"/>
          <w:szCs w:val="24"/>
        </w:rPr>
        <w:t xml:space="preserve">Overview of </w:t>
      </w:r>
      <w:r w:rsidR="007A42A4" w:rsidRPr="0003613D">
        <w:rPr>
          <w:rFonts w:ascii="Arial" w:hAnsi="Arial" w:cs="Arial"/>
          <w:b/>
          <w:sz w:val="24"/>
          <w:szCs w:val="24"/>
        </w:rPr>
        <w:t>Housing Needs for Sandwell’s General Population</w:t>
      </w:r>
    </w:p>
    <w:p w14:paraId="0081E51E" w14:textId="475FD50F" w:rsidR="00DC5F36" w:rsidRPr="0003613D" w:rsidRDefault="00DC5F36" w:rsidP="00DC5F36">
      <w:pPr>
        <w:rPr>
          <w:rFonts w:ascii="Arial" w:eastAsia="Calibri" w:hAnsi="Arial" w:cs="Arial"/>
          <w:bCs/>
          <w:sz w:val="24"/>
          <w:szCs w:val="24"/>
          <w:lang w:eastAsia="en-GB"/>
        </w:rPr>
      </w:pPr>
      <w:r w:rsidRPr="0003613D">
        <w:rPr>
          <w:rFonts w:ascii="Arial" w:eastAsia="Calibri" w:hAnsi="Arial" w:cs="Arial"/>
          <w:bCs/>
          <w:sz w:val="24"/>
          <w:szCs w:val="24"/>
          <w:lang w:eastAsia="en-GB"/>
        </w:rPr>
        <w:t>Since publication of the previous Housing Needs Assessment in 2022, the number of households on the register has significantly increased, doubling from 10,591 in 2022 to 2</w:t>
      </w:r>
      <w:r w:rsidR="00323F14" w:rsidRPr="0003613D">
        <w:rPr>
          <w:rFonts w:ascii="Arial" w:eastAsia="Calibri" w:hAnsi="Arial" w:cs="Arial"/>
          <w:bCs/>
          <w:sz w:val="24"/>
          <w:szCs w:val="24"/>
          <w:lang w:eastAsia="en-GB"/>
        </w:rPr>
        <w:t>3</w:t>
      </w:r>
      <w:r w:rsidRPr="0003613D">
        <w:rPr>
          <w:rFonts w:ascii="Arial" w:eastAsia="Calibri" w:hAnsi="Arial" w:cs="Arial"/>
          <w:bCs/>
          <w:sz w:val="24"/>
          <w:szCs w:val="24"/>
          <w:lang w:eastAsia="en-GB"/>
        </w:rPr>
        <w:t>,</w:t>
      </w:r>
      <w:r w:rsidR="00323F14" w:rsidRPr="0003613D">
        <w:rPr>
          <w:rFonts w:ascii="Arial" w:eastAsia="Calibri" w:hAnsi="Arial" w:cs="Arial"/>
          <w:bCs/>
          <w:sz w:val="24"/>
          <w:szCs w:val="24"/>
          <w:lang w:eastAsia="en-GB"/>
        </w:rPr>
        <w:t>370</w:t>
      </w:r>
      <w:r w:rsidRPr="0003613D">
        <w:rPr>
          <w:rFonts w:ascii="Arial" w:eastAsia="Calibri" w:hAnsi="Arial" w:cs="Arial"/>
          <w:bCs/>
          <w:sz w:val="24"/>
          <w:szCs w:val="24"/>
          <w:lang w:eastAsia="en-GB"/>
        </w:rPr>
        <w:t xml:space="preserve"> in March 2025. </w:t>
      </w:r>
    </w:p>
    <w:p w14:paraId="392F4607" w14:textId="43F6F09B" w:rsidR="00EA4C64" w:rsidRPr="0003613D" w:rsidRDefault="00EA4C64" w:rsidP="00EA4C64">
      <w:pPr>
        <w:rPr>
          <w:rFonts w:ascii="Arial" w:eastAsia="Calibri" w:hAnsi="Arial" w:cs="Arial"/>
          <w:bCs/>
          <w:sz w:val="24"/>
          <w:szCs w:val="24"/>
          <w:lang w:eastAsia="en-GB"/>
        </w:rPr>
      </w:pPr>
      <w:r w:rsidRPr="0003613D">
        <w:rPr>
          <w:rFonts w:ascii="Arial" w:eastAsia="Calibri" w:hAnsi="Arial" w:cs="Arial"/>
          <w:bCs/>
          <w:sz w:val="24"/>
          <w:szCs w:val="24"/>
          <w:lang w:eastAsia="en-GB"/>
        </w:rPr>
        <w:t xml:space="preserve">276 households on the register require an adapted property. 330 households currently on the housing register are stated as homeless. 5,476 households on the housing register are current Sandwell Council tenants. </w:t>
      </w:r>
    </w:p>
    <w:p w14:paraId="52653AA7" w14:textId="751665ED" w:rsidR="00375034" w:rsidRPr="0003613D" w:rsidRDefault="00375034" w:rsidP="00EA4C64">
      <w:pPr>
        <w:rPr>
          <w:rFonts w:ascii="Arial" w:eastAsia="Calibri" w:hAnsi="Arial" w:cs="Arial"/>
          <w:bCs/>
          <w:sz w:val="24"/>
          <w:szCs w:val="24"/>
          <w:lang w:eastAsia="en-GB"/>
        </w:rPr>
      </w:pPr>
      <w:r w:rsidRPr="0003613D">
        <w:rPr>
          <w:rFonts w:ascii="Arial" w:eastAsia="Calibri" w:hAnsi="Arial" w:cs="Arial"/>
          <w:bCs/>
          <w:sz w:val="24"/>
          <w:szCs w:val="24"/>
          <w:lang w:eastAsia="en-GB"/>
        </w:rPr>
        <w:t>9,506 households have a head of household between the ages 26-40. This compromises the largest group (47%) of the total housing register.</w:t>
      </w:r>
    </w:p>
    <w:p w14:paraId="0A2BDE85" w14:textId="500437AF" w:rsidR="00EF4BDB" w:rsidRPr="0003613D" w:rsidRDefault="00375034" w:rsidP="00EA4C64">
      <w:pPr>
        <w:rPr>
          <w:rFonts w:ascii="Arial" w:eastAsia="Calibri" w:hAnsi="Arial" w:cs="Arial"/>
          <w:bCs/>
          <w:sz w:val="24"/>
          <w:szCs w:val="24"/>
          <w:lang w:eastAsia="en-GB"/>
        </w:rPr>
      </w:pPr>
      <w:r w:rsidRPr="0003613D">
        <w:rPr>
          <w:rFonts w:ascii="Arial" w:eastAsia="Calibri" w:hAnsi="Arial" w:cs="Arial"/>
          <w:bCs/>
          <w:sz w:val="24"/>
          <w:szCs w:val="24"/>
          <w:lang w:eastAsia="en-GB"/>
        </w:rPr>
        <w:t>The vast majority of households on the housing register are currently in band 5. 15,389 households are in band 5, accounting for 75% of the housing register. 25% of households in the housing register are in bands 1-4 (a priority band). The majority of these households are in band 3 (2817,14%).</w:t>
      </w:r>
    </w:p>
    <w:p w14:paraId="2992DEF9" w14:textId="4E313F79" w:rsidR="00EF4BDB" w:rsidRPr="0003613D" w:rsidRDefault="00EF4BDB" w:rsidP="00EA4C64">
      <w:pPr>
        <w:rPr>
          <w:rFonts w:ascii="Arial" w:eastAsia="Calibri" w:hAnsi="Arial" w:cs="Arial"/>
          <w:bCs/>
          <w:sz w:val="24"/>
          <w:szCs w:val="24"/>
          <w:lang w:eastAsia="en-GB"/>
        </w:rPr>
      </w:pPr>
      <w:r w:rsidRPr="0003613D">
        <w:rPr>
          <w:rFonts w:ascii="Arial" w:eastAsia="Calibri" w:hAnsi="Arial" w:cs="Arial"/>
          <w:bCs/>
          <w:iCs/>
          <w:sz w:val="24"/>
          <w:szCs w:val="24"/>
        </w:rPr>
        <w:t xml:space="preserve">The majority of households on the housing register require a </w:t>
      </w:r>
      <w:r w:rsidR="001B4AC4" w:rsidRPr="0003613D">
        <w:rPr>
          <w:rFonts w:ascii="Arial" w:eastAsia="Calibri" w:hAnsi="Arial" w:cs="Arial"/>
          <w:bCs/>
          <w:iCs/>
          <w:sz w:val="24"/>
          <w:szCs w:val="24"/>
        </w:rPr>
        <w:t>one-bedroom</w:t>
      </w:r>
      <w:r w:rsidRPr="0003613D">
        <w:rPr>
          <w:rFonts w:ascii="Arial" w:eastAsia="Calibri" w:hAnsi="Arial" w:cs="Arial"/>
          <w:bCs/>
          <w:iCs/>
          <w:sz w:val="24"/>
          <w:szCs w:val="24"/>
        </w:rPr>
        <w:t xml:space="preserve"> property (1</w:t>
      </w:r>
      <w:r w:rsidR="008835A7" w:rsidRPr="0003613D">
        <w:rPr>
          <w:rFonts w:ascii="Arial" w:eastAsia="Calibri" w:hAnsi="Arial" w:cs="Arial"/>
          <w:bCs/>
          <w:iCs/>
          <w:sz w:val="24"/>
          <w:szCs w:val="24"/>
        </w:rPr>
        <w:t>2</w:t>
      </w:r>
      <w:r w:rsidR="001B4AC4" w:rsidRPr="0003613D">
        <w:rPr>
          <w:rFonts w:ascii="Arial" w:eastAsia="Calibri" w:hAnsi="Arial" w:cs="Arial"/>
          <w:bCs/>
          <w:iCs/>
          <w:sz w:val="24"/>
          <w:szCs w:val="24"/>
        </w:rPr>
        <w:t>,</w:t>
      </w:r>
      <w:r w:rsidR="008835A7" w:rsidRPr="0003613D">
        <w:rPr>
          <w:rFonts w:ascii="Arial" w:eastAsia="Calibri" w:hAnsi="Arial" w:cs="Arial"/>
          <w:bCs/>
          <w:iCs/>
          <w:sz w:val="24"/>
          <w:szCs w:val="24"/>
        </w:rPr>
        <w:t>276</w:t>
      </w:r>
      <w:r w:rsidRPr="0003613D">
        <w:rPr>
          <w:rFonts w:ascii="Arial" w:eastAsia="Calibri" w:hAnsi="Arial" w:cs="Arial"/>
          <w:bCs/>
          <w:iCs/>
          <w:sz w:val="24"/>
          <w:szCs w:val="24"/>
        </w:rPr>
        <w:t xml:space="preserve">). This accounts for 52% of the housing register. </w:t>
      </w:r>
      <w:r w:rsidR="00B8771C" w:rsidRPr="0003613D">
        <w:rPr>
          <w:rFonts w:ascii="Arial" w:eastAsia="Calibri" w:hAnsi="Arial" w:cs="Arial"/>
          <w:bCs/>
          <w:iCs/>
          <w:sz w:val="24"/>
          <w:szCs w:val="24"/>
        </w:rPr>
        <w:t>6</w:t>
      </w:r>
      <w:r w:rsidR="001B4AC4" w:rsidRPr="0003613D">
        <w:rPr>
          <w:rFonts w:ascii="Arial" w:eastAsia="Calibri" w:hAnsi="Arial" w:cs="Arial"/>
          <w:bCs/>
          <w:iCs/>
          <w:sz w:val="24"/>
          <w:szCs w:val="24"/>
        </w:rPr>
        <w:t>077</w:t>
      </w:r>
      <w:r w:rsidRPr="0003613D">
        <w:rPr>
          <w:rFonts w:ascii="Arial" w:eastAsia="Calibri" w:hAnsi="Arial" w:cs="Arial"/>
          <w:bCs/>
          <w:iCs/>
          <w:sz w:val="24"/>
          <w:szCs w:val="24"/>
        </w:rPr>
        <w:t xml:space="preserve"> households, the second largest group (26%) of the housing register, require a </w:t>
      </w:r>
      <w:r w:rsidR="00B8771C" w:rsidRPr="0003613D">
        <w:rPr>
          <w:rFonts w:ascii="Arial" w:eastAsia="Calibri" w:hAnsi="Arial" w:cs="Arial"/>
          <w:bCs/>
          <w:iCs/>
          <w:sz w:val="24"/>
          <w:szCs w:val="24"/>
        </w:rPr>
        <w:t>two-bedroom</w:t>
      </w:r>
      <w:r w:rsidRPr="0003613D">
        <w:rPr>
          <w:rFonts w:ascii="Arial" w:eastAsia="Calibri" w:hAnsi="Arial" w:cs="Arial"/>
          <w:bCs/>
          <w:iCs/>
          <w:sz w:val="24"/>
          <w:szCs w:val="24"/>
        </w:rPr>
        <w:t xml:space="preserve"> property. </w:t>
      </w:r>
    </w:p>
    <w:p w14:paraId="3B4770CD" w14:textId="77777777" w:rsidR="00B47E9A" w:rsidRPr="0003613D" w:rsidRDefault="007D4E10" w:rsidP="00B47E9A">
      <w:pPr>
        <w:rPr>
          <w:rFonts w:ascii="Arial" w:eastAsia="Calibri" w:hAnsi="Arial" w:cs="Arial"/>
          <w:bCs/>
          <w:sz w:val="24"/>
          <w:szCs w:val="24"/>
          <w:lang w:eastAsia="en-GB"/>
        </w:rPr>
      </w:pPr>
      <w:r w:rsidRPr="0003613D">
        <w:rPr>
          <w:rFonts w:ascii="Arial" w:eastAsia="Calibri" w:hAnsi="Arial" w:cs="Arial"/>
          <w:bCs/>
          <w:sz w:val="24"/>
          <w:szCs w:val="24"/>
          <w:lang w:eastAsia="en-GB"/>
        </w:rPr>
        <w:lastRenderedPageBreak/>
        <w:t>Single person households are the largest household type on the housing register (8,267 households). They account for 40% of the housing register.</w:t>
      </w:r>
    </w:p>
    <w:p w14:paraId="07B97BAE" w14:textId="10579F13" w:rsidR="00803223" w:rsidRPr="0003613D" w:rsidRDefault="003F5215" w:rsidP="00B47E9A">
      <w:pPr>
        <w:rPr>
          <w:rFonts w:ascii="Arial" w:eastAsia="Calibri" w:hAnsi="Arial" w:cs="Arial"/>
          <w:bCs/>
          <w:sz w:val="24"/>
          <w:szCs w:val="24"/>
          <w:lang w:eastAsia="en-GB"/>
        </w:rPr>
      </w:pPr>
      <w:r w:rsidRPr="0003613D">
        <w:rPr>
          <w:rFonts w:ascii="Arial" w:hAnsi="Arial" w:cs="Arial"/>
          <w:b/>
          <w:bCs/>
          <w:sz w:val="24"/>
          <w:szCs w:val="24"/>
        </w:rPr>
        <w:t xml:space="preserve">Overview of </w:t>
      </w:r>
      <w:r w:rsidR="00803223" w:rsidRPr="0003613D">
        <w:rPr>
          <w:rFonts w:ascii="Arial" w:hAnsi="Arial" w:cs="Arial"/>
          <w:b/>
          <w:bCs/>
          <w:sz w:val="24"/>
          <w:szCs w:val="24"/>
        </w:rPr>
        <w:t>Housing Needs and Requirements for Specific Groups in Sandwell</w:t>
      </w:r>
    </w:p>
    <w:p w14:paraId="63B2E716" w14:textId="075D0ACC" w:rsidR="000C546C" w:rsidRPr="0003613D" w:rsidRDefault="00B807EE" w:rsidP="000C546C">
      <w:pPr>
        <w:spacing w:line="276" w:lineRule="auto"/>
        <w:rPr>
          <w:rFonts w:ascii="Arial" w:hAnsi="Arial" w:cs="Arial"/>
          <w:sz w:val="24"/>
          <w:szCs w:val="24"/>
        </w:rPr>
      </w:pPr>
      <w:r w:rsidRPr="0003613D">
        <w:rPr>
          <w:rFonts w:ascii="Arial" w:hAnsi="Arial" w:cs="Arial"/>
          <w:sz w:val="24"/>
          <w:szCs w:val="24"/>
        </w:rPr>
        <w:t>20</w:t>
      </w:r>
      <w:r w:rsidR="000C546C" w:rsidRPr="0003613D">
        <w:rPr>
          <w:rFonts w:ascii="Arial" w:hAnsi="Arial" w:cs="Arial"/>
          <w:sz w:val="24"/>
          <w:szCs w:val="24"/>
        </w:rPr>
        <w:t>% of Sandwell’s population is disabled under the Equality Act. There is likely to be an increase of 42%, in individuals who are 65+ with a disability, and a 52% rise in dementia cases by the year 2041.</w:t>
      </w:r>
      <w:r w:rsidR="006D40D1" w:rsidRPr="0003613D">
        <w:rPr>
          <w:rFonts w:ascii="Arial" w:hAnsi="Arial" w:cs="Arial"/>
          <w:sz w:val="24"/>
          <w:szCs w:val="24"/>
        </w:rPr>
        <w:t xml:space="preserve"> </w:t>
      </w:r>
      <w:r w:rsidR="000C546C" w:rsidRPr="0003613D">
        <w:rPr>
          <w:rFonts w:ascii="Arial" w:hAnsi="Arial" w:cs="Arial"/>
          <w:sz w:val="24"/>
          <w:szCs w:val="24"/>
        </w:rPr>
        <w:t>There is also a 41% projected increase in Sandwell’s over 65 population by the year 2041.</w:t>
      </w:r>
      <w:r w:rsidR="006D40D1" w:rsidRPr="0003613D">
        <w:rPr>
          <w:rFonts w:ascii="Arial" w:hAnsi="Arial" w:cs="Arial"/>
          <w:sz w:val="24"/>
          <w:szCs w:val="24"/>
        </w:rPr>
        <w:t xml:space="preserve"> 6,510 accessible/adapted homes are needed by 2041, with 4,122 </w:t>
      </w:r>
      <w:r w:rsidR="00CF3866" w:rsidRPr="0003613D">
        <w:rPr>
          <w:rFonts w:ascii="Arial" w:hAnsi="Arial" w:cs="Arial"/>
          <w:sz w:val="24"/>
          <w:szCs w:val="24"/>
        </w:rPr>
        <w:t xml:space="preserve">required </w:t>
      </w:r>
      <w:r w:rsidR="006D40D1" w:rsidRPr="0003613D">
        <w:rPr>
          <w:rFonts w:ascii="Arial" w:hAnsi="Arial" w:cs="Arial"/>
          <w:sz w:val="24"/>
          <w:szCs w:val="24"/>
        </w:rPr>
        <w:t>in affordable housing.</w:t>
      </w:r>
    </w:p>
    <w:p w14:paraId="579B3C32" w14:textId="6658A368" w:rsidR="006D40D1" w:rsidRPr="0003613D" w:rsidRDefault="006D40D1" w:rsidP="006D40D1">
      <w:pPr>
        <w:rPr>
          <w:rFonts w:ascii="Arial" w:hAnsi="Arial" w:cs="Arial"/>
          <w:sz w:val="24"/>
          <w:szCs w:val="24"/>
        </w:rPr>
      </w:pPr>
      <w:r w:rsidRPr="0003613D">
        <w:rPr>
          <w:rFonts w:ascii="Arial" w:hAnsi="Arial" w:cs="Arial"/>
          <w:sz w:val="24"/>
          <w:szCs w:val="24"/>
        </w:rPr>
        <w:t xml:space="preserve">Sandwell Council recognises care experience as a protected characteristic and must prioritise the needs of care experienced young people. </w:t>
      </w:r>
    </w:p>
    <w:p w14:paraId="35AF3720" w14:textId="4DE31E35" w:rsidR="000C546C" w:rsidRPr="0003613D" w:rsidRDefault="006D40D1" w:rsidP="006D40D1">
      <w:pPr>
        <w:rPr>
          <w:rFonts w:ascii="Arial" w:hAnsi="Arial" w:cs="Arial"/>
          <w:bCs/>
          <w:color w:val="000000" w:themeColor="text1"/>
          <w:sz w:val="24"/>
          <w:szCs w:val="24"/>
        </w:rPr>
      </w:pPr>
      <w:r w:rsidRPr="0003613D">
        <w:rPr>
          <w:rFonts w:ascii="Arial" w:hAnsi="Arial" w:cs="Arial"/>
          <w:sz w:val="24"/>
          <w:szCs w:val="24"/>
        </w:rPr>
        <w:t xml:space="preserve">45.8% of housing applicants on the housing register are White British, the second largest group </w:t>
      </w:r>
      <w:r w:rsidR="00CF3866" w:rsidRPr="0003613D">
        <w:rPr>
          <w:rFonts w:ascii="Arial" w:hAnsi="Arial" w:cs="Arial"/>
          <w:sz w:val="24"/>
          <w:szCs w:val="24"/>
        </w:rPr>
        <w:t xml:space="preserve">on the housing register </w:t>
      </w:r>
      <w:r w:rsidR="00677E54" w:rsidRPr="0003613D">
        <w:rPr>
          <w:rFonts w:ascii="Arial" w:hAnsi="Arial" w:cs="Arial"/>
          <w:sz w:val="24"/>
          <w:szCs w:val="24"/>
        </w:rPr>
        <w:t xml:space="preserve">is </w:t>
      </w:r>
      <w:r w:rsidRPr="0003613D">
        <w:rPr>
          <w:rFonts w:ascii="Arial" w:eastAsia="Times New Roman" w:hAnsi="Arial" w:cs="Arial"/>
          <w:color w:val="000000"/>
          <w:sz w:val="24"/>
          <w:szCs w:val="24"/>
          <w:lang w:eastAsia="en-GB"/>
        </w:rPr>
        <w:t xml:space="preserve">Black or Black British Caribbean (7.4%). Overcrowding is more prevalent in </w:t>
      </w:r>
      <w:r w:rsidRPr="0003613D">
        <w:rPr>
          <w:rFonts w:ascii="Arial" w:hAnsi="Arial" w:cs="Arial"/>
          <w:bCs/>
          <w:color w:val="000000" w:themeColor="text1"/>
          <w:sz w:val="24"/>
          <w:szCs w:val="24"/>
        </w:rPr>
        <w:t xml:space="preserve">households of global majority groups including Asian or Asian British Other and Asian or Asian British Pakistani households. </w:t>
      </w:r>
    </w:p>
    <w:p w14:paraId="6EC38AF6" w14:textId="61852399" w:rsidR="00036587" w:rsidRPr="0003613D" w:rsidRDefault="00CF3866" w:rsidP="00E92D60">
      <w:pPr>
        <w:rPr>
          <w:rFonts w:ascii="Arial" w:hAnsi="Arial" w:cs="Arial"/>
          <w:iCs/>
          <w:sz w:val="24"/>
          <w:szCs w:val="24"/>
        </w:rPr>
      </w:pPr>
      <w:r w:rsidRPr="0003613D">
        <w:rPr>
          <w:rFonts w:ascii="Arial" w:hAnsi="Arial" w:cs="Arial"/>
          <w:sz w:val="24"/>
          <w:szCs w:val="24"/>
        </w:rPr>
        <w:t xml:space="preserve">23.6% of Sandwell’s population was born outside the UK, and the areas with the highest number of migrants include Smethwick and to a lesser degree West Bromwich and Oldbury. There was a </w:t>
      </w:r>
      <w:r w:rsidRPr="0003613D">
        <w:rPr>
          <w:rFonts w:ascii="Arial" w:hAnsi="Arial" w:cs="Arial"/>
          <w:iCs/>
          <w:sz w:val="24"/>
          <w:szCs w:val="24"/>
        </w:rPr>
        <w:t xml:space="preserve">1200% increase in the number of </w:t>
      </w:r>
      <w:r w:rsidR="00E92D60" w:rsidRPr="0003613D">
        <w:rPr>
          <w:rFonts w:ascii="Arial" w:hAnsi="Arial" w:cs="Arial"/>
          <w:iCs/>
          <w:sz w:val="24"/>
          <w:szCs w:val="24"/>
        </w:rPr>
        <w:t>Romanians in</w:t>
      </w:r>
      <w:r w:rsidRPr="0003613D">
        <w:rPr>
          <w:rFonts w:ascii="Arial" w:hAnsi="Arial" w:cs="Arial"/>
          <w:iCs/>
          <w:sz w:val="24"/>
          <w:szCs w:val="24"/>
        </w:rPr>
        <w:t xml:space="preserve"> Sandwell, from 210 in 2011 to 2,710 in 2021. </w:t>
      </w:r>
    </w:p>
    <w:p w14:paraId="469D3CAE" w14:textId="75A4B099" w:rsidR="0011173A" w:rsidRPr="0003613D" w:rsidRDefault="00B1234D" w:rsidP="00E92D60">
      <w:pPr>
        <w:rPr>
          <w:rFonts w:ascii="Arial" w:hAnsi="Arial" w:cs="Arial"/>
          <w:b/>
          <w:bCs/>
          <w:iCs/>
          <w:color w:val="0070C0"/>
          <w:sz w:val="32"/>
          <w:szCs w:val="32"/>
          <w:u w:val="single"/>
        </w:rPr>
      </w:pPr>
      <w:r w:rsidRPr="0003613D">
        <w:rPr>
          <w:rFonts w:ascii="Arial" w:hAnsi="Arial" w:cs="Arial"/>
          <w:b/>
          <w:bCs/>
          <w:iCs/>
          <w:color w:val="0070C0"/>
          <w:sz w:val="32"/>
          <w:szCs w:val="32"/>
          <w:u w:val="single"/>
        </w:rPr>
        <w:t xml:space="preserve">The National </w:t>
      </w:r>
      <w:r w:rsidR="00605BEB" w:rsidRPr="0003613D">
        <w:rPr>
          <w:rFonts w:ascii="Arial" w:hAnsi="Arial" w:cs="Arial"/>
          <w:b/>
          <w:bCs/>
          <w:iCs/>
          <w:color w:val="0070C0"/>
          <w:sz w:val="32"/>
          <w:szCs w:val="32"/>
          <w:u w:val="single"/>
        </w:rPr>
        <w:t xml:space="preserve">and Regional </w:t>
      </w:r>
      <w:r w:rsidRPr="0003613D">
        <w:rPr>
          <w:rFonts w:ascii="Arial" w:hAnsi="Arial" w:cs="Arial"/>
          <w:b/>
          <w:bCs/>
          <w:iCs/>
          <w:color w:val="0070C0"/>
          <w:sz w:val="32"/>
          <w:szCs w:val="32"/>
          <w:u w:val="single"/>
        </w:rPr>
        <w:t xml:space="preserve">Picture </w:t>
      </w:r>
    </w:p>
    <w:p w14:paraId="4E25BAEA" w14:textId="204E43DC" w:rsidR="00A773F0" w:rsidRPr="0003613D" w:rsidRDefault="00A773F0" w:rsidP="00605BEB">
      <w:pPr>
        <w:rPr>
          <w:rFonts w:ascii="Arial" w:hAnsi="Arial" w:cs="Arial"/>
          <w:sz w:val="24"/>
          <w:szCs w:val="24"/>
        </w:rPr>
      </w:pPr>
      <w:r w:rsidRPr="0003613D">
        <w:rPr>
          <w:rFonts w:ascii="Arial" w:hAnsi="Arial" w:cs="Arial"/>
          <w:sz w:val="24"/>
          <w:szCs w:val="24"/>
        </w:rPr>
        <w:t xml:space="preserve">As of early 2025, England faces a deepening social housing crisis, with over 1.33 million households on social housing waiting lists, the highest figure since 2014 and a 10% increase over the last two years. Despite the pressing demand, the supply of social housing is declining. In 2023/24, England experienced a net loss of 650 social homes, with 20,560 units lost due to Right to Buy sales and demolitions, while only 19,910 new units were added. </w:t>
      </w:r>
    </w:p>
    <w:p w14:paraId="46886B6B" w14:textId="0541182D" w:rsidR="00A773F0" w:rsidRPr="0003613D" w:rsidRDefault="00973B0C" w:rsidP="00605BEB">
      <w:pPr>
        <w:rPr>
          <w:rFonts w:ascii="Arial" w:hAnsi="Arial" w:cs="Arial"/>
          <w:sz w:val="24"/>
          <w:szCs w:val="24"/>
        </w:rPr>
      </w:pPr>
      <w:r w:rsidRPr="0003613D">
        <w:rPr>
          <w:rFonts w:ascii="Arial" w:hAnsi="Arial" w:cs="Arial"/>
          <w:sz w:val="24"/>
          <w:szCs w:val="24"/>
        </w:rPr>
        <w:t xml:space="preserve">With increasingly high demand for affordable housing, </w:t>
      </w:r>
      <w:r w:rsidR="00A773F0" w:rsidRPr="0003613D">
        <w:rPr>
          <w:rFonts w:ascii="Arial" w:hAnsi="Arial" w:cs="Arial"/>
          <w:sz w:val="24"/>
          <w:szCs w:val="24"/>
        </w:rPr>
        <w:t xml:space="preserve">the </w:t>
      </w:r>
      <w:r w:rsidRPr="0003613D">
        <w:rPr>
          <w:rFonts w:ascii="Arial" w:hAnsi="Arial" w:cs="Arial"/>
          <w:sz w:val="24"/>
          <w:szCs w:val="24"/>
        </w:rPr>
        <w:t>G</w:t>
      </w:r>
      <w:r w:rsidR="00A773F0" w:rsidRPr="0003613D">
        <w:rPr>
          <w:rFonts w:ascii="Arial" w:hAnsi="Arial" w:cs="Arial"/>
          <w:sz w:val="24"/>
          <w:szCs w:val="24"/>
        </w:rPr>
        <w:t>overnment ha</w:t>
      </w:r>
      <w:r w:rsidRPr="0003613D">
        <w:rPr>
          <w:rFonts w:ascii="Arial" w:hAnsi="Arial" w:cs="Arial"/>
          <w:sz w:val="24"/>
          <w:szCs w:val="24"/>
        </w:rPr>
        <w:t>ve</w:t>
      </w:r>
      <w:r w:rsidR="00A773F0" w:rsidRPr="0003613D">
        <w:rPr>
          <w:rFonts w:ascii="Arial" w:hAnsi="Arial" w:cs="Arial"/>
          <w:sz w:val="24"/>
          <w:szCs w:val="24"/>
        </w:rPr>
        <w:t xml:space="preserve"> pledged to build 1.5 million homes by 2029</w:t>
      </w:r>
      <w:r w:rsidRPr="0003613D">
        <w:rPr>
          <w:rFonts w:ascii="Arial" w:hAnsi="Arial" w:cs="Arial"/>
          <w:sz w:val="24"/>
          <w:szCs w:val="24"/>
        </w:rPr>
        <w:t>, h</w:t>
      </w:r>
      <w:r w:rsidR="00A773F0" w:rsidRPr="0003613D">
        <w:rPr>
          <w:rFonts w:ascii="Arial" w:hAnsi="Arial" w:cs="Arial"/>
          <w:sz w:val="24"/>
          <w:szCs w:val="24"/>
        </w:rPr>
        <w:t>owever, housing organi</w:t>
      </w:r>
      <w:r w:rsidR="002514AE" w:rsidRPr="0003613D">
        <w:rPr>
          <w:rFonts w:ascii="Arial" w:hAnsi="Arial" w:cs="Arial"/>
          <w:sz w:val="24"/>
          <w:szCs w:val="24"/>
        </w:rPr>
        <w:t>s</w:t>
      </w:r>
      <w:r w:rsidR="00A773F0" w:rsidRPr="0003613D">
        <w:rPr>
          <w:rFonts w:ascii="Arial" w:hAnsi="Arial" w:cs="Arial"/>
          <w:sz w:val="24"/>
          <w:szCs w:val="24"/>
        </w:rPr>
        <w:t xml:space="preserve">ations </w:t>
      </w:r>
      <w:r w:rsidR="002514AE" w:rsidRPr="0003613D">
        <w:rPr>
          <w:rFonts w:ascii="Arial" w:hAnsi="Arial" w:cs="Arial"/>
          <w:sz w:val="24"/>
          <w:szCs w:val="24"/>
        </w:rPr>
        <w:t xml:space="preserve">have </w:t>
      </w:r>
      <w:r w:rsidR="00A773F0" w:rsidRPr="0003613D">
        <w:rPr>
          <w:rFonts w:ascii="Arial" w:hAnsi="Arial" w:cs="Arial"/>
          <w:sz w:val="24"/>
          <w:szCs w:val="24"/>
        </w:rPr>
        <w:t>advocate</w:t>
      </w:r>
      <w:r w:rsidR="002514AE" w:rsidRPr="0003613D">
        <w:rPr>
          <w:rFonts w:ascii="Arial" w:hAnsi="Arial" w:cs="Arial"/>
          <w:sz w:val="24"/>
          <w:szCs w:val="24"/>
        </w:rPr>
        <w:t>d</w:t>
      </w:r>
      <w:r w:rsidR="00A773F0" w:rsidRPr="0003613D">
        <w:rPr>
          <w:rFonts w:ascii="Arial" w:hAnsi="Arial" w:cs="Arial"/>
          <w:sz w:val="24"/>
          <w:szCs w:val="24"/>
        </w:rPr>
        <w:t xml:space="preserve"> for more ambitious targets</w:t>
      </w:r>
      <w:r w:rsidR="002514AE" w:rsidRPr="0003613D">
        <w:rPr>
          <w:rFonts w:ascii="Arial" w:hAnsi="Arial" w:cs="Arial"/>
          <w:sz w:val="24"/>
          <w:szCs w:val="24"/>
        </w:rPr>
        <w:t xml:space="preserve">. </w:t>
      </w:r>
      <w:r w:rsidRPr="0003613D">
        <w:rPr>
          <w:rFonts w:ascii="Arial" w:hAnsi="Arial" w:cs="Arial"/>
          <w:sz w:val="24"/>
          <w:szCs w:val="24"/>
        </w:rPr>
        <w:t xml:space="preserve">Councils have also acted, introducing stricter criteria to keep waiting lists down, indicating that the true number of households in need of social housing is likely to be much higher than the 1.33 million recorded by all councils nationally. </w:t>
      </w:r>
    </w:p>
    <w:p w14:paraId="0B79CF0B" w14:textId="13A823F3" w:rsidR="0011173A" w:rsidRPr="0003613D" w:rsidRDefault="00A773F0" w:rsidP="00605BEB">
      <w:pPr>
        <w:rPr>
          <w:rFonts w:ascii="Arial" w:hAnsi="Arial" w:cs="Arial"/>
          <w:sz w:val="24"/>
          <w:szCs w:val="24"/>
        </w:rPr>
      </w:pPr>
      <w:r w:rsidRPr="0003613D">
        <w:rPr>
          <w:rFonts w:ascii="Arial" w:hAnsi="Arial" w:cs="Arial"/>
          <w:sz w:val="24"/>
          <w:szCs w:val="24"/>
        </w:rPr>
        <w:t>F</w:t>
      </w:r>
      <w:r w:rsidR="002E264C" w:rsidRPr="0003613D">
        <w:rPr>
          <w:rFonts w:ascii="Arial" w:hAnsi="Arial" w:cs="Arial"/>
          <w:sz w:val="24"/>
          <w:szCs w:val="24"/>
        </w:rPr>
        <w:t>amilies</w:t>
      </w:r>
      <w:r w:rsidR="00973B0C" w:rsidRPr="0003613D">
        <w:rPr>
          <w:rFonts w:ascii="Arial" w:hAnsi="Arial" w:cs="Arial"/>
          <w:sz w:val="24"/>
          <w:szCs w:val="24"/>
        </w:rPr>
        <w:t>, who require a 3 or more bedroom property,</w:t>
      </w:r>
      <w:r w:rsidR="002E264C" w:rsidRPr="0003613D">
        <w:rPr>
          <w:rFonts w:ascii="Arial" w:hAnsi="Arial" w:cs="Arial"/>
          <w:sz w:val="24"/>
          <w:szCs w:val="24"/>
        </w:rPr>
        <w:t xml:space="preserve"> are </w:t>
      </w:r>
      <w:r w:rsidR="00973B0C" w:rsidRPr="0003613D">
        <w:rPr>
          <w:rFonts w:ascii="Arial" w:hAnsi="Arial" w:cs="Arial"/>
          <w:sz w:val="24"/>
          <w:szCs w:val="24"/>
        </w:rPr>
        <w:t xml:space="preserve">facing the longest </w:t>
      </w:r>
      <w:r w:rsidR="002E264C" w:rsidRPr="0003613D">
        <w:rPr>
          <w:rFonts w:ascii="Arial" w:hAnsi="Arial" w:cs="Arial"/>
          <w:sz w:val="24"/>
          <w:szCs w:val="24"/>
        </w:rPr>
        <w:t>waits for social housing</w:t>
      </w:r>
      <w:r w:rsidR="00973B0C" w:rsidRPr="0003613D">
        <w:rPr>
          <w:rFonts w:ascii="Arial" w:hAnsi="Arial" w:cs="Arial"/>
          <w:sz w:val="24"/>
          <w:szCs w:val="24"/>
        </w:rPr>
        <w:t xml:space="preserve">. </w:t>
      </w:r>
      <w:r w:rsidR="00CD41DE" w:rsidRPr="0003613D">
        <w:rPr>
          <w:rFonts w:ascii="Arial" w:hAnsi="Arial" w:cs="Arial"/>
          <w:sz w:val="24"/>
          <w:szCs w:val="24"/>
        </w:rPr>
        <w:t xml:space="preserve">Across England as a whole, aggregate waiting times, for a three or more bedroom property, as of </w:t>
      </w:r>
      <w:r w:rsidR="004365DA" w:rsidRPr="0003613D">
        <w:rPr>
          <w:rFonts w:ascii="Arial" w:hAnsi="Arial" w:cs="Arial"/>
          <w:sz w:val="24"/>
          <w:szCs w:val="24"/>
        </w:rPr>
        <w:t xml:space="preserve">November </w:t>
      </w:r>
      <w:r w:rsidR="00CD41DE" w:rsidRPr="0003613D">
        <w:rPr>
          <w:rFonts w:ascii="Arial" w:hAnsi="Arial" w:cs="Arial"/>
          <w:sz w:val="24"/>
          <w:szCs w:val="24"/>
        </w:rPr>
        <w:t>2025, are around 7.8 years.</w:t>
      </w:r>
      <w:r w:rsidR="00605BEB" w:rsidRPr="0003613D">
        <w:rPr>
          <w:rFonts w:ascii="Arial" w:hAnsi="Arial" w:cs="Arial"/>
          <w:sz w:val="24"/>
          <w:szCs w:val="24"/>
        </w:rPr>
        <w:t xml:space="preserve"> According to the research, published by the National Housing Federation, and homelessness charities Crisis and Shelter, the number of families on waiting lists in England have increased by 37% since 2015. In 32 local authorities, it would take more than 18 years to get through the register, and in the most severe cases of social housing shortages, it could take over a hundred years to clear waiting lists for family-sized social homes.</w:t>
      </w:r>
    </w:p>
    <w:p w14:paraId="7201B88A" w14:textId="16123FF9" w:rsidR="00124631" w:rsidRPr="0003613D" w:rsidRDefault="00124631" w:rsidP="00605BEB">
      <w:pPr>
        <w:rPr>
          <w:rFonts w:ascii="Arial" w:hAnsi="Arial" w:cs="Arial"/>
          <w:sz w:val="24"/>
          <w:szCs w:val="24"/>
        </w:rPr>
      </w:pPr>
      <w:r w:rsidRPr="0003613D">
        <w:rPr>
          <w:rFonts w:ascii="Arial" w:hAnsi="Arial" w:cs="Arial"/>
          <w:sz w:val="24"/>
          <w:szCs w:val="24"/>
        </w:rPr>
        <w:lastRenderedPageBreak/>
        <w:t>Similar trends can also be observed in the West Midlands region</w:t>
      </w:r>
      <w:r w:rsidR="007A3FF1" w:rsidRPr="0003613D">
        <w:rPr>
          <w:rFonts w:ascii="Arial" w:hAnsi="Arial" w:cs="Arial"/>
          <w:sz w:val="24"/>
          <w:szCs w:val="24"/>
        </w:rPr>
        <w:t xml:space="preserve">. According to government data, there are over 116,000 households waiting for a council property in the West Midlands. </w:t>
      </w:r>
      <w:r w:rsidRPr="0003613D">
        <w:rPr>
          <w:rFonts w:ascii="Arial" w:hAnsi="Arial" w:cs="Arial"/>
          <w:sz w:val="24"/>
          <w:szCs w:val="24"/>
        </w:rPr>
        <w:t>Consequently, the Mayor of the West Midlands has, in January 2025, vowed to build 20,000 new social home</w:t>
      </w:r>
      <w:r w:rsidR="007A3FF1" w:rsidRPr="0003613D">
        <w:rPr>
          <w:rFonts w:ascii="Arial" w:hAnsi="Arial" w:cs="Arial"/>
          <w:sz w:val="24"/>
          <w:szCs w:val="24"/>
        </w:rPr>
        <w:t>s</w:t>
      </w:r>
      <w:r w:rsidRPr="0003613D">
        <w:rPr>
          <w:rFonts w:ascii="Arial" w:hAnsi="Arial" w:cs="Arial"/>
          <w:sz w:val="24"/>
          <w:szCs w:val="24"/>
        </w:rPr>
        <w:t xml:space="preserve"> over the next 10 years</w:t>
      </w:r>
      <w:r w:rsidR="007A3FF1" w:rsidRPr="0003613D">
        <w:rPr>
          <w:rFonts w:ascii="Arial" w:hAnsi="Arial" w:cs="Arial"/>
          <w:sz w:val="24"/>
          <w:szCs w:val="24"/>
        </w:rPr>
        <w:t xml:space="preserve"> to meet increasing demand. </w:t>
      </w:r>
    </w:p>
    <w:p w14:paraId="6B53585A" w14:textId="2367BB74" w:rsidR="00F84C08" w:rsidRPr="0003613D" w:rsidRDefault="00F84C08">
      <w:pPr>
        <w:rPr>
          <w:rFonts w:ascii="Arial" w:hAnsi="Arial" w:cs="Arial"/>
          <w:b/>
          <w:bCs/>
          <w:color w:val="0070C0"/>
          <w:sz w:val="32"/>
          <w:szCs w:val="32"/>
          <w:u w:val="single"/>
        </w:rPr>
      </w:pPr>
      <w:r w:rsidRPr="0003613D">
        <w:rPr>
          <w:rFonts w:ascii="Arial" w:hAnsi="Arial" w:cs="Arial"/>
          <w:b/>
          <w:bCs/>
          <w:color w:val="0070C0"/>
          <w:sz w:val="32"/>
          <w:szCs w:val="32"/>
          <w:u w:val="single"/>
        </w:rPr>
        <w:t>Overview of Sandwell</w:t>
      </w:r>
      <w:r w:rsidR="003A7E1E" w:rsidRPr="0003613D">
        <w:rPr>
          <w:rFonts w:ascii="Arial" w:hAnsi="Arial" w:cs="Arial"/>
          <w:b/>
          <w:bCs/>
          <w:color w:val="0070C0"/>
          <w:sz w:val="32"/>
          <w:szCs w:val="32"/>
          <w:u w:val="single"/>
        </w:rPr>
        <w:t>’s Population and Demographics</w:t>
      </w:r>
    </w:p>
    <w:p w14:paraId="0B074F2C" w14:textId="626CF473" w:rsidR="00933E05" w:rsidRPr="0003613D" w:rsidRDefault="00933E05" w:rsidP="00933E05">
      <w:pPr>
        <w:spacing w:line="276" w:lineRule="auto"/>
        <w:rPr>
          <w:rFonts w:ascii="Arial" w:eastAsia="Calibri" w:hAnsi="Arial" w:cs="Arial"/>
          <w:b/>
          <w:bCs/>
          <w:sz w:val="24"/>
          <w:szCs w:val="24"/>
        </w:rPr>
      </w:pPr>
      <w:r w:rsidRPr="0003613D">
        <w:rPr>
          <w:rFonts w:ascii="Arial" w:eastAsia="Calibri" w:hAnsi="Arial" w:cs="Arial"/>
          <w:b/>
          <w:bCs/>
          <w:sz w:val="24"/>
          <w:szCs w:val="24"/>
        </w:rPr>
        <w:t>Geography</w:t>
      </w:r>
    </w:p>
    <w:p w14:paraId="37713372" w14:textId="3732D64D" w:rsidR="00933E05" w:rsidRPr="0003613D" w:rsidRDefault="00933E05" w:rsidP="00933E05">
      <w:pPr>
        <w:rPr>
          <w:rFonts w:ascii="Arial" w:eastAsia="Calibri" w:hAnsi="Arial" w:cs="Arial"/>
          <w:sz w:val="24"/>
          <w:szCs w:val="24"/>
        </w:rPr>
      </w:pPr>
      <w:r w:rsidRPr="0003613D">
        <w:rPr>
          <w:rFonts w:ascii="Arial" w:eastAsia="Calibri" w:hAnsi="Arial" w:cs="Arial"/>
          <w:sz w:val="24"/>
          <w:szCs w:val="24"/>
        </w:rPr>
        <w:t xml:space="preserve">Sandwell is a Metropolitan Borough in the West Midlands, formed in 1974. The Borough is comprised of 6 towns: Oldbury, Rowley Regis, Smethwick, Tipton, Wednesbury and West Bromwich. The 6 towns of Sandwell are </w:t>
      </w:r>
      <w:r w:rsidR="006605DC" w:rsidRPr="0003613D">
        <w:rPr>
          <w:rFonts w:ascii="Arial" w:eastAsia="Calibri" w:hAnsi="Arial" w:cs="Arial"/>
          <w:sz w:val="24"/>
          <w:szCs w:val="24"/>
        </w:rPr>
        <w:t xml:space="preserve">collectively </w:t>
      </w:r>
      <w:r w:rsidRPr="0003613D">
        <w:rPr>
          <w:rFonts w:ascii="Arial" w:eastAsia="Calibri" w:hAnsi="Arial" w:cs="Arial"/>
          <w:sz w:val="24"/>
          <w:szCs w:val="24"/>
        </w:rPr>
        <w:t>made up of 24 wards. Sandwell is largely an urban area, with a mix of residential, commercial, and industrial areas, and also contains green spaces such as Sandwell Valley Country Park. Sandwell is bordered by Birmingham to the east, Dudley to the west, Walsall to the north, and Wolverhampton to the northwest.</w:t>
      </w:r>
    </w:p>
    <w:p w14:paraId="58CA6679" w14:textId="2F624BE1" w:rsidR="00666D77" w:rsidRPr="0003613D" w:rsidRDefault="00666D77" w:rsidP="00933E05">
      <w:pPr>
        <w:rPr>
          <w:rFonts w:ascii="Arial" w:hAnsi="Arial" w:cs="Arial"/>
          <w:sz w:val="24"/>
          <w:szCs w:val="24"/>
        </w:rPr>
      </w:pPr>
      <w:r w:rsidRPr="0003613D">
        <w:rPr>
          <w:rFonts w:ascii="Arial" w:hAnsi="Arial" w:cs="Arial"/>
          <w:sz w:val="24"/>
          <w:szCs w:val="24"/>
        </w:rPr>
        <w:t>Historically, Sandwell was part of the Black Country, an area known for its heavy industry, particularly coal mining, ironworks, and manufacturing. While much of this industry has declined, Sandwell remains an important economic and transport hub</w:t>
      </w:r>
      <w:r w:rsidR="006605DC" w:rsidRPr="0003613D">
        <w:rPr>
          <w:rFonts w:ascii="Arial" w:hAnsi="Arial" w:cs="Arial"/>
          <w:sz w:val="24"/>
          <w:szCs w:val="24"/>
        </w:rPr>
        <w:t>. M</w:t>
      </w:r>
      <w:r w:rsidRPr="0003613D">
        <w:rPr>
          <w:rFonts w:ascii="Arial" w:hAnsi="Arial" w:cs="Arial"/>
          <w:sz w:val="24"/>
          <w:szCs w:val="24"/>
        </w:rPr>
        <w:t xml:space="preserve">ajor roads such as the M5 and M6 motorways and extensive rail connections link </w:t>
      </w:r>
      <w:r w:rsidR="007A42A4" w:rsidRPr="0003613D">
        <w:rPr>
          <w:rFonts w:ascii="Arial" w:hAnsi="Arial" w:cs="Arial"/>
          <w:sz w:val="24"/>
          <w:szCs w:val="24"/>
        </w:rPr>
        <w:t xml:space="preserve">Sandwell </w:t>
      </w:r>
      <w:r w:rsidRPr="0003613D">
        <w:rPr>
          <w:rFonts w:ascii="Arial" w:hAnsi="Arial" w:cs="Arial"/>
          <w:sz w:val="24"/>
          <w:szCs w:val="24"/>
        </w:rPr>
        <w:t>to Birmingham and the wider West Midlands.</w:t>
      </w:r>
    </w:p>
    <w:p w14:paraId="1CEF742C" w14:textId="5076F2F2" w:rsidR="007A42A4" w:rsidRPr="0003613D" w:rsidRDefault="007A42A4" w:rsidP="007A42A4">
      <w:pPr>
        <w:spacing w:after="240" w:line="276" w:lineRule="auto"/>
        <w:rPr>
          <w:rFonts w:ascii="Arial" w:eastAsia="Calibri" w:hAnsi="Arial" w:cs="Arial"/>
          <w:b/>
          <w:bCs/>
          <w:color w:val="4EA72E" w:themeColor="accent6"/>
          <w:sz w:val="24"/>
          <w:szCs w:val="24"/>
        </w:rPr>
      </w:pPr>
      <w:r w:rsidRPr="0003613D">
        <w:rPr>
          <w:rFonts w:ascii="Arial" w:eastAsia="Calibri" w:hAnsi="Arial" w:cs="Arial"/>
          <w:b/>
          <w:bCs/>
          <w:sz w:val="24"/>
          <w:szCs w:val="24"/>
        </w:rPr>
        <w:t>Population</w:t>
      </w:r>
      <w:r w:rsidR="00DE12FF" w:rsidRPr="0003613D">
        <w:rPr>
          <w:rFonts w:ascii="Arial" w:eastAsia="Calibri" w:hAnsi="Arial" w:cs="Arial"/>
          <w:b/>
          <w:bCs/>
          <w:color w:val="4EA72E" w:themeColor="accent6"/>
          <w:sz w:val="24"/>
          <w:szCs w:val="24"/>
        </w:rPr>
        <w:t xml:space="preserve"> </w:t>
      </w:r>
    </w:p>
    <w:p w14:paraId="12B6CA9F" w14:textId="19ED1779" w:rsidR="003C4992" w:rsidRPr="0003613D" w:rsidRDefault="003C4992" w:rsidP="003C4992">
      <w:pPr>
        <w:spacing w:after="240" w:line="276" w:lineRule="auto"/>
        <w:rPr>
          <w:rFonts w:ascii="Arial" w:eastAsia="Calibri" w:hAnsi="Arial" w:cs="Arial"/>
          <w:color w:val="000000" w:themeColor="text1"/>
          <w:sz w:val="24"/>
          <w:szCs w:val="24"/>
        </w:rPr>
      </w:pPr>
      <w:r w:rsidRPr="0003613D">
        <w:rPr>
          <w:rFonts w:ascii="Arial" w:eastAsia="Calibri" w:hAnsi="Arial" w:cs="Arial"/>
          <w:color w:val="000000" w:themeColor="text1"/>
          <w:sz w:val="24"/>
          <w:szCs w:val="24"/>
        </w:rPr>
        <w:t xml:space="preserve">According to the 2021 Census, </w:t>
      </w:r>
      <w:r w:rsidR="00E3363E" w:rsidRPr="0003613D">
        <w:rPr>
          <w:rFonts w:ascii="Arial" w:eastAsia="Calibri" w:hAnsi="Arial" w:cs="Arial"/>
          <w:color w:val="000000" w:themeColor="text1"/>
          <w:sz w:val="24"/>
          <w:szCs w:val="24"/>
        </w:rPr>
        <w:t xml:space="preserve">out of 309 local authority areas in England, </w:t>
      </w:r>
      <w:r w:rsidRPr="0003613D">
        <w:rPr>
          <w:rFonts w:ascii="Arial" w:eastAsia="Calibri" w:hAnsi="Arial" w:cs="Arial"/>
          <w:color w:val="000000" w:themeColor="text1"/>
          <w:sz w:val="24"/>
          <w:szCs w:val="24"/>
        </w:rPr>
        <w:t xml:space="preserve">Sandwell </w:t>
      </w:r>
      <w:r w:rsidR="00E3363E" w:rsidRPr="0003613D">
        <w:rPr>
          <w:rFonts w:ascii="Arial" w:eastAsia="Calibri" w:hAnsi="Arial" w:cs="Arial"/>
          <w:color w:val="000000" w:themeColor="text1"/>
          <w:sz w:val="24"/>
          <w:szCs w:val="24"/>
        </w:rPr>
        <w:t>has the 27</w:t>
      </w:r>
      <w:r w:rsidR="00E3363E" w:rsidRPr="0003613D">
        <w:rPr>
          <w:rFonts w:ascii="Arial" w:eastAsia="Calibri" w:hAnsi="Arial" w:cs="Arial"/>
          <w:color w:val="000000" w:themeColor="text1"/>
          <w:sz w:val="24"/>
          <w:szCs w:val="24"/>
          <w:vertAlign w:val="superscript"/>
        </w:rPr>
        <w:t>th</w:t>
      </w:r>
      <w:r w:rsidR="00E3363E" w:rsidRPr="0003613D">
        <w:rPr>
          <w:rFonts w:ascii="Arial" w:eastAsia="Calibri" w:hAnsi="Arial" w:cs="Arial"/>
          <w:color w:val="000000" w:themeColor="text1"/>
          <w:sz w:val="24"/>
          <w:szCs w:val="24"/>
        </w:rPr>
        <w:t xml:space="preserve"> largest population, </w:t>
      </w:r>
      <w:r w:rsidRPr="0003613D">
        <w:rPr>
          <w:rFonts w:ascii="Arial" w:eastAsia="Calibri" w:hAnsi="Arial" w:cs="Arial"/>
          <w:color w:val="000000" w:themeColor="text1"/>
          <w:sz w:val="24"/>
          <w:szCs w:val="24"/>
        </w:rPr>
        <w:t>climbing six places since 2011.</w:t>
      </w:r>
      <w:r w:rsidR="00D93EAF" w:rsidRPr="0003613D">
        <w:rPr>
          <w:rFonts w:ascii="Arial" w:eastAsia="Calibri" w:hAnsi="Arial" w:cs="Arial"/>
          <w:color w:val="000000" w:themeColor="text1"/>
          <w:sz w:val="24"/>
          <w:szCs w:val="24"/>
        </w:rPr>
        <w:t xml:space="preserve"> </w:t>
      </w:r>
    </w:p>
    <w:p w14:paraId="0987EF16" w14:textId="68E23433" w:rsidR="003C4992" w:rsidRPr="0003613D" w:rsidRDefault="003C4992" w:rsidP="003C4992">
      <w:pPr>
        <w:spacing w:after="240" w:line="276" w:lineRule="auto"/>
        <w:rPr>
          <w:rFonts w:ascii="Arial" w:eastAsia="Calibri" w:hAnsi="Arial" w:cs="Arial"/>
          <w:color w:val="000000" w:themeColor="text1"/>
          <w:sz w:val="24"/>
          <w:szCs w:val="24"/>
        </w:rPr>
      </w:pPr>
      <w:r w:rsidRPr="0003613D">
        <w:rPr>
          <w:rFonts w:ascii="Arial" w:eastAsia="Calibri" w:hAnsi="Arial" w:cs="Arial"/>
          <w:color w:val="000000" w:themeColor="text1"/>
          <w:sz w:val="24"/>
          <w:szCs w:val="24"/>
        </w:rPr>
        <w:t>In 2021,</w:t>
      </w:r>
      <w:r w:rsidR="00EA6F28" w:rsidRPr="0003613D">
        <w:rPr>
          <w:rFonts w:ascii="Arial" w:eastAsia="Calibri" w:hAnsi="Arial" w:cs="Arial"/>
          <w:color w:val="000000" w:themeColor="text1"/>
          <w:sz w:val="24"/>
          <w:szCs w:val="24"/>
        </w:rPr>
        <w:t xml:space="preserve"> the date of the last census,</w:t>
      </w:r>
      <w:r w:rsidRPr="0003613D">
        <w:rPr>
          <w:rFonts w:ascii="Arial" w:eastAsia="Calibri" w:hAnsi="Arial" w:cs="Arial"/>
          <w:color w:val="000000" w:themeColor="text1"/>
          <w:sz w:val="24"/>
          <w:szCs w:val="24"/>
        </w:rPr>
        <w:t xml:space="preserve"> Sandwell's population stood at 341,900, marking an 11.0% increase over the previous decade. This growth rate surpasses the national average for England, which saw a rise of 6.</w:t>
      </w:r>
      <w:r w:rsidR="00EF74FC" w:rsidRPr="0003613D">
        <w:rPr>
          <w:rFonts w:ascii="Arial" w:eastAsia="Calibri" w:hAnsi="Arial" w:cs="Arial"/>
          <w:color w:val="000000" w:themeColor="text1"/>
          <w:sz w:val="24"/>
          <w:szCs w:val="24"/>
        </w:rPr>
        <w:t>3</w:t>
      </w:r>
      <w:r w:rsidRPr="0003613D">
        <w:rPr>
          <w:rFonts w:ascii="Arial" w:eastAsia="Calibri" w:hAnsi="Arial" w:cs="Arial"/>
          <w:color w:val="000000" w:themeColor="text1"/>
          <w:sz w:val="24"/>
          <w:szCs w:val="24"/>
        </w:rPr>
        <w:t>% in the same period. Projections indicate that Sandwell's population will continue to expand at a faster pace than both the West Midlands and the national average by 2030</w:t>
      </w:r>
      <w:r w:rsidR="00E53110" w:rsidRPr="0003613D">
        <w:rPr>
          <w:rFonts w:ascii="Arial" w:eastAsia="Calibri" w:hAnsi="Arial" w:cs="Arial"/>
          <w:color w:val="000000" w:themeColor="text1"/>
          <w:sz w:val="24"/>
          <w:szCs w:val="24"/>
        </w:rPr>
        <w:t xml:space="preserve"> </w:t>
      </w:r>
      <w:r w:rsidR="0027305C" w:rsidRPr="0003613D">
        <w:rPr>
          <w:rFonts w:ascii="Arial" w:eastAsia="Calibri" w:hAnsi="Arial" w:cs="Arial"/>
          <w:color w:val="000000" w:themeColor="text1"/>
          <w:sz w:val="24"/>
          <w:szCs w:val="24"/>
        </w:rPr>
        <w:t>[</w:t>
      </w:r>
      <w:r w:rsidR="00E53110" w:rsidRPr="0003613D">
        <w:rPr>
          <w:rFonts w:ascii="Arial" w:eastAsia="Calibri" w:hAnsi="Arial" w:cs="Arial"/>
          <w:color w:val="000000" w:themeColor="text1"/>
          <w:sz w:val="24"/>
          <w:szCs w:val="24"/>
        </w:rPr>
        <w:t>1</w:t>
      </w:r>
      <w:r w:rsidR="0027305C" w:rsidRPr="0003613D">
        <w:rPr>
          <w:rFonts w:ascii="Arial" w:eastAsia="Calibri" w:hAnsi="Arial" w:cs="Arial"/>
          <w:color w:val="000000" w:themeColor="text1"/>
          <w:sz w:val="24"/>
          <w:szCs w:val="24"/>
        </w:rPr>
        <w:t>]</w:t>
      </w:r>
      <w:r w:rsidR="00E53110" w:rsidRPr="0003613D">
        <w:rPr>
          <w:rFonts w:ascii="Arial" w:eastAsia="Calibri" w:hAnsi="Arial" w:cs="Arial"/>
          <w:color w:val="000000" w:themeColor="text1"/>
          <w:sz w:val="24"/>
          <w:szCs w:val="24"/>
        </w:rPr>
        <w:t xml:space="preserve">. </w:t>
      </w:r>
    </w:p>
    <w:p w14:paraId="3EEBD0BF" w14:textId="7F077E24" w:rsidR="003C4992" w:rsidRPr="0003613D" w:rsidRDefault="00EA6F28" w:rsidP="003C4992">
      <w:pPr>
        <w:spacing w:after="240" w:line="276" w:lineRule="auto"/>
        <w:rPr>
          <w:rFonts w:ascii="Arial" w:eastAsia="Calibri" w:hAnsi="Arial" w:cs="Arial"/>
          <w:color w:val="000000" w:themeColor="text1"/>
          <w:sz w:val="24"/>
          <w:szCs w:val="24"/>
        </w:rPr>
      </w:pPr>
      <w:r w:rsidRPr="0003613D">
        <w:rPr>
          <w:rFonts w:ascii="Arial" w:eastAsia="Calibri" w:hAnsi="Arial" w:cs="Arial"/>
          <w:color w:val="000000" w:themeColor="text1"/>
          <w:sz w:val="24"/>
          <w:szCs w:val="24"/>
        </w:rPr>
        <w:t>T</w:t>
      </w:r>
      <w:r w:rsidR="003C4992" w:rsidRPr="0003613D">
        <w:rPr>
          <w:rFonts w:ascii="Arial" w:eastAsia="Calibri" w:hAnsi="Arial" w:cs="Arial"/>
          <w:color w:val="000000" w:themeColor="text1"/>
          <w:sz w:val="24"/>
          <w:szCs w:val="24"/>
        </w:rPr>
        <w:t xml:space="preserve">he most significant increases </w:t>
      </w:r>
      <w:r w:rsidRPr="0003613D">
        <w:rPr>
          <w:rFonts w:ascii="Arial" w:eastAsia="Calibri" w:hAnsi="Arial" w:cs="Arial"/>
          <w:color w:val="000000" w:themeColor="text1"/>
          <w:sz w:val="24"/>
          <w:szCs w:val="24"/>
        </w:rPr>
        <w:t xml:space="preserve">for specific age demographics </w:t>
      </w:r>
      <w:r w:rsidR="003C4992" w:rsidRPr="0003613D">
        <w:rPr>
          <w:rFonts w:ascii="Arial" w:eastAsia="Calibri" w:hAnsi="Arial" w:cs="Arial"/>
          <w:color w:val="000000" w:themeColor="text1"/>
          <w:sz w:val="24"/>
          <w:szCs w:val="24"/>
        </w:rPr>
        <w:t xml:space="preserve">were among residents aged 55 to 59, which grew by 34.2%, and those aged 50 to 54, which rose by 28.4%. However, despite this growth, Sandwell’s ageing population remains below the national average, with 29.1% of residents over 50 compared to 36.8% across England. </w:t>
      </w:r>
      <w:r w:rsidR="00BB4283" w:rsidRPr="0003613D">
        <w:rPr>
          <w:rFonts w:ascii="Arial" w:eastAsia="Calibri" w:hAnsi="Arial" w:cs="Arial"/>
          <w:color w:val="000000" w:themeColor="text1"/>
          <w:sz w:val="24"/>
          <w:szCs w:val="24"/>
        </w:rPr>
        <w:t>T</w:t>
      </w:r>
      <w:r w:rsidR="003C4992" w:rsidRPr="0003613D">
        <w:rPr>
          <w:rFonts w:ascii="Arial" w:eastAsia="Calibri" w:hAnsi="Arial" w:cs="Arial"/>
          <w:color w:val="000000" w:themeColor="text1"/>
          <w:sz w:val="24"/>
          <w:szCs w:val="24"/>
        </w:rPr>
        <w:t>he 65-69 age group represents 8.1% of the population (compared to 9.8% nationally), while those aged 70-74 make up 7.4% (compared to 9.9% nationally)</w:t>
      </w:r>
      <w:r w:rsidR="009247C1" w:rsidRPr="0003613D">
        <w:rPr>
          <w:rFonts w:ascii="Arial" w:eastAsia="Calibri" w:hAnsi="Arial" w:cs="Arial"/>
          <w:color w:val="000000" w:themeColor="text1"/>
          <w:sz w:val="24"/>
          <w:szCs w:val="24"/>
        </w:rPr>
        <w:t xml:space="preserve"> </w:t>
      </w:r>
      <w:r w:rsidR="0027305C" w:rsidRPr="0003613D">
        <w:rPr>
          <w:rFonts w:ascii="Arial" w:eastAsia="Calibri" w:hAnsi="Arial" w:cs="Arial"/>
          <w:color w:val="000000" w:themeColor="text1"/>
          <w:sz w:val="24"/>
          <w:szCs w:val="24"/>
        </w:rPr>
        <w:t>[</w:t>
      </w:r>
      <w:r w:rsidR="00451BBB" w:rsidRPr="0003613D">
        <w:rPr>
          <w:rFonts w:ascii="Arial" w:eastAsia="Calibri" w:hAnsi="Arial" w:cs="Arial"/>
          <w:color w:val="000000" w:themeColor="text1"/>
          <w:sz w:val="24"/>
          <w:szCs w:val="24"/>
        </w:rPr>
        <w:t>2</w:t>
      </w:r>
      <w:r w:rsidR="0027305C" w:rsidRPr="0003613D">
        <w:rPr>
          <w:rFonts w:ascii="Arial" w:eastAsia="Calibri" w:hAnsi="Arial" w:cs="Arial"/>
          <w:color w:val="000000" w:themeColor="text1"/>
          <w:sz w:val="24"/>
          <w:szCs w:val="24"/>
        </w:rPr>
        <w:t>]</w:t>
      </w:r>
      <w:r w:rsidR="00451BBB" w:rsidRPr="0003613D">
        <w:rPr>
          <w:rFonts w:ascii="Arial" w:eastAsia="Calibri" w:hAnsi="Arial" w:cs="Arial"/>
          <w:color w:val="000000" w:themeColor="text1"/>
          <w:sz w:val="24"/>
          <w:szCs w:val="24"/>
        </w:rPr>
        <w:t>.</w:t>
      </w:r>
    </w:p>
    <w:p w14:paraId="77B3FA3D" w14:textId="29F3752D" w:rsidR="003C4992" w:rsidRPr="0003613D" w:rsidRDefault="003C4992" w:rsidP="003C4992">
      <w:pPr>
        <w:spacing w:after="240" w:line="276" w:lineRule="auto"/>
        <w:rPr>
          <w:rFonts w:ascii="Arial" w:eastAsia="Calibri" w:hAnsi="Arial" w:cs="Arial"/>
          <w:color w:val="000000" w:themeColor="text1"/>
          <w:sz w:val="24"/>
          <w:szCs w:val="24"/>
        </w:rPr>
      </w:pPr>
      <w:r w:rsidRPr="0003613D">
        <w:rPr>
          <w:rFonts w:ascii="Arial" w:eastAsia="Calibri" w:hAnsi="Arial" w:cs="Arial"/>
          <w:color w:val="000000" w:themeColor="text1"/>
          <w:sz w:val="24"/>
          <w:szCs w:val="24"/>
        </w:rPr>
        <w:t>There was also a notable rise in the working-age population (15 to 64 years), which increased by 11.0% in Sandwell, compared to just 3.6% across England. Similarly, the number of children under 15 grew by 14.5% in Sandwell, whereas the national increase was only 5.0%</w:t>
      </w:r>
      <w:r w:rsidR="00451BBB" w:rsidRPr="0003613D">
        <w:rPr>
          <w:rFonts w:ascii="Arial" w:eastAsia="Calibri" w:hAnsi="Arial" w:cs="Arial"/>
          <w:color w:val="000000" w:themeColor="text1"/>
          <w:sz w:val="24"/>
          <w:szCs w:val="24"/>
        </w:rPr>
        <w:t xml:space="preserve"> </w:t>
      </w:r>
      <w:r w:rsidR="0027305C" w:rsidRPr="0003613D">
        <w:rPr>
          <w:rFonts w:ascii="Arial" w:eastAsia="Calibri" w:hAnsi="Arial" w:cs="Arial"/>
          <w:color w:val="000000" w:themeColor="text1"/>
          <w:sz w:val="24"/>
          <w:szCs w:val="24"/>
        </w:rPr>
        <w:t>[</w:t>
      </w:r>
      <w:r w:rsidR="00451BBB" w:rsidRPr="0003613D">
        <w:rPr>
          <w:rFonts w:ascii="Arial" w:eastAsia="Calibri" w:hAnsi="Arial" w:cs="Arial"/>
          <w:color w:val="000000" w:themeColor="text1"/>
          <w:sz w:val="24"/>
          <w:szCs w:val="24"/>
        </w:rPr>
        <w:t>3</w:t>
      </w:r>
      <w:r w:rsidR="0027305C" w:rsidRPr="0003613D">
        <w:rPr>
          <w:rFonts w:ascii="Arial" w:eastAsia="Calibri" w:hAnsi="Arial" w:cs="Arial"/>
          <w:color w:val="000000" w:themeColor="text1"/>
          <w:sz w:val="24"/>
          <w:szCs w:val="24"/>
        </w:rPr>
        <w:t>]</w:t>
      </w:r>
      <w:r w:rsidRPr="0003613D">
        <w:rPr>
          <w:rFonts w:ascii="Arial" w:eastAsia="Calibri" w:hAnsi="Arial" w:cs="Arial"/>
          <w:color w:val="000000" w:themeColor="text1"/>
          <w:sz w:val="24"/>
          <w:szCs w:val="24"/>
        </w:rPr>
        <w:t>.</w:t>
      </w:r>
      <w:r w:rsidR="00E42508" w:rsidRPr="0003613D">
        <w:rPr>
          <w:rFonts w:ascii="Arial" w:eastAsia="Calibri" w:hAnsi="Arial" w:cs="Arial"/>
          <w:color w:val="000000" w:themeColor="text1"/>
          <w:sz w:val="24"/>
          <w:szCs w:val="24"/>
        </w:rPr>
        <w:t xml:space="preserve"> </w:t>
      </w:r>
      <w:r w:rsidR="00AE2DFB" w:rsidRPr="0003613D">
        <w:rPr>
          <w:rFonts w:ascii="Arial" w:eastAsia="Calibri" w:hAnsi="Arial" w:cs="Arial"/>
          <w:color w:val="000000" w:themeColor="text1"/>
          <w:sz w:val="24"/>
          <w:szCs w:val="24"/>
        </w:rPr>
        <w:t xml:space="preserve">Sandwell’s </w:t>
      </w:r>
      <w:r w:rsidR="00E42508" w:rsidRPr="0003613D">
        <w:rPr>
          <w:rFonts w:ascii="Arial" w:eastAsia="Calibri" w:hAnsi="Arial" w:cs="Arial"/>
          <w:color w:val="000000" w:themeColor="text1"/>
          <w:sz w:val="24"/>
          <w:szCs w:val="24"/>
        </w:rPr>
        <w:t>population change</w:t>
      </w:r>
      <w:r w:rsidR="00AE2DFB" w:rsidRPr="0003613D">
        <w:rPr>
          <w:rFonts w:ascii="Arial" w:eastAsia="Calibri" w:hAnsi="Arial" w:cs="Arial"/>
          <w:color w:val="000000" w:themeColor="text1"/>
          <w:sz w:val="24"/>
          <w:szCs w:val="24"/>
        </w:rPr>
        <w:t>,</w:t>
      </w:r>
      <w:r w:rsidR="00E42508" w:rsidRPr="0003613D">
        <w:rPr>
          <w:rFonts w:ascii="Arial" w:eastAsia="Calibri" w:hAnsi="Arial" w:cs="Arial"/>
          <w:color w:val="000000" w:themeColor="text1"/>
          <w:sz w:val="24"/>
          <w:szCs w:val="24"/>
        </w:rPr>
        <w:t xml:space="preserve"> between the years 1991 to 2021</w:t>
      </w:r>
      <w:r w:rsidR="00AE2DFB" w:rsidRPr="0003613D">
        <w:rPr>
          <w:rFonts w:ascii="Arial" w:eastAsia="Calibri" w:hAnsi="Arial" w:cs="Arial"/>
          <w:color w:val="000000" w:themeColor="text1"/>
          <w:sz w:val="24"/>
          <w:szCs w:val="24"/>
        </w:rPr>
        <w:t xml:space="preserve">, </w:t>
      </w:r>
      <w:r w:rsidR="00E42508" w:rsidRPr="0003613D">
        <w:rPr>
          <w:rFonts w:ascii="Arial" w:eastAsia="Calibri" w:hAnsi="Arial" w:cs="Arial"/>
          <w:color w:val="000000" w:themeColor="text1"/>
          <w:sz w:val="24"/>
          <w:szCs w:val="24"/>
        </w:rPr>
        <w:t>can be viewed in the bar chart below</w:t>
      </w:r>
      <w:r w:rsidR="00817EAE" w:rsidRPr="0003613D">
        <w:rPr>
          <w:rFonts w:ascii="Arial" w:eastAsia="Calibri" w:hAnsi="Arial" w:cs="Arial"/>
          <w:color w:val="000000" w:themeColor="text1"/>
          <w:sz w:val="24"/>
          <w:szCs w:val="24"/>
        </w:rPr>
        <w:t xml:space="preserve">, taken from Sandwell Trends. </w:t>
      </w:r>
    </w:p>
    <w:p w14:paraId="11AF4A11" w14:textId="6FD02563" w:rsidR="00E42508" w:rsidRPr="0003613D" w:rsidRDefault="00E42508" w:rsidP="00B47E9A">
      <w:pPr>
        <w:spacing w:after="240" w:line="276" w:lineRule="auto"/>
        <w:jc w:val="center"/>
        <w:rPr>
          <w:rFonts w:ascii="Arial" w:eastAsia="Calibri" w:hAnsi="Arial" w:cs="Arial"/>
          <w:color w:val="000000" w:themeColor="text1"/>
          <w:sz w:val="24"/>
          <w:szCs w:val="24"/>
        </w:rPr>
      </w:pPr>
      <w:r w:rsidRPr="0003613D">
        <w:rPr>
          <w:rFonts w:ascii="Arial" w:eastAsia="Calibri" w:hAnsi="Arial" w:cs="Arial"/>
          <w:noProof/>
          <w:color w:val="000000" w:themeColor="text1"/>
          <w:sz w:val="24"/>
          <w:szCs w:val="24"/>
        </w:rPr>
        <w:lastRenderedPageBreak/>
        <w:drawing>
          <wp:inline distT="0" distB="0" distL="0" distR="0" wp14:anchorId="1F372F58" wp14:editId="1C668347">
            <wp:extent cx="4083260" cy="2597283"/>
            <wp:effectExtent l="0" t="0" r="0" b="0"/>
            <wp:docPr id="888801557"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01557" name="Picture 1" descr="A graph of different colored bars&#10;&#10;AI-generated content may be incorrect."/>
                    <pic:cNvPicPr/>
                  </pic:nvPicPr>
                  <pic:blipFill>
                    <a:blip r:embed="rId13"/>
                    <a:stretch>
                      <a:fillRect/>
                    </a:stretch>
                  </pic:blipFill>
                  <pic:spPr>
                    <a:xfrm>
                      <a:off x="0" y="0"/>
                      <a:ext cx="4083260" cy="2597283"/>
                    </a:xfrm>
                    <a:prstGeom prst="rect">
                      <a:avLst/>
                    </a:prstGeom>
                  </pic:spPr>
                </pic:pic>
              </a:graphicData>
            </a:graphic>
          </wp:inline>
        </w:drawing>
      </w:r>
    </w:p>
    <w:p w14:paraId="3B860C0D" w14:textId="1C974489" w:rsidR="008F7CF5" w:rsidRPr="0003613D" w:rsidRDefault="003C4992" w:rsidP="007A42A4">
      <w:pPr>
        <w:spacing w:after="240" w:line="276" w:lineRule="auto"/>
        <w:rPr>
          <w:rFonts w:ascii="Arial" w:eastAsia="Calibri" w:hAnsi="Arial" w:cs="Arial"/>
          <w:color w:val="000000" w:themeColor="text1"/>
          <w:sz w:val="24"/>
          <w:szCs w:val="24"/>
        </w:rPr>
      </w:pPr>
      <w:r w:rsidRPr="0003613D">
        <w:rPr>
          <w:rFonts w:ascii="Arial" w:eastAsia="Calibri" w:hAnsi="Arial" w:cs="Arial"/>
          <w:color w:val="000000" w:themeColor="text1"/>
          <w:sz w:val="24"/>
          <w:szCs w:val="24"/>
        </w:rPr>
        <w:t xml:space="preserve">Overall, Sandwell has a young and diverse population. More than 40.0% of residents are under 30, in contrast to approximately 30.0% across England. Additionally, Sandwell remains one of the most ethnically diverse areas in the country, with </w:t>
      </w:r>
      <w:r w:rsidR="00E540FC" w:rsidRPr="0003613D">
        <w:rPr>
          <w:rFonts w:ascii="Arial" w:eastAsia="Calibri" w:hAnsi="Arial" w:cs="Arial"/>
          <w:color w:val="000000" w:themeColor="text1"/>
          <w:sz w:val="24"/>
          <w:szCs w:val="24"/>
        </w:rPr>
        <w:t>42.7</w:t>
      </w:r>
      <w:r w:rsidRPr="0003613D">
        <w:rPr>
          <w:rFonts w:ascii="Arial" w:eastAsia="Calibri" w:hAnsi="Arial" w:cs="Arial"/>
          <w:color w:val="000000" w:themeColor="text1"/>
          <w:sz w:val="24"/>
          <w:szCs w:val="24"/>
        </w:rPr>
        <w:t>% of residents identifying as being from</w:t>
      </w:r>
      <w:r w:rsidR="00EA6F28" w:rsidRPr="0003613D">
        <w:rPr>
          <w:rFonts w:ascii="Arial" w:eastAsia="Calibri" w:hAnsi="Arial" w:cs="Arial"/>
          <w:color w:val="000000" w:themeColor="text1"/>
          <w:sz w:val="24"/>
          <w:szCs w:val="24"/>
        </w:rPr>
        <w:t xml:space="preserve"> global majority </w:t>
      </w:r>
      <w:r w:rsidRPr="0003613D">
        <w:rPr>
          <w:rFonts w:ascii="Arial" w:eastAsia="Calibri" w:hAnsi="Arial" w:cs="Arial"/>
          <w:color w:val="000000" w:themeColor="text1"/>
          <w:sz w:val="24"/>
          <w:szCs w:val="24"/>
        </w:rPr>
        <w:t xml:space="preserve">backgrounds, significantly higher than the </w:t>
      </w:r>
      <w:r w:rsidR="00E540FC" w:rsidRPr="0003613D">
        <w:rPr>
          <w:rFonts w:ascii="Arial" w:eastAsia="Calibri" w:hAnsi="Arial" w:cs="Arial"/>
          <w:color w:val="000000" w:themeColor="text1"/>
          <w:sz w:val="24"/>
          <w:szCs w:val="24"/>
        </w:rPr>
        <w:t>18.3</w:t>
      </w:r>
      <w:r w:rsidRPr="0003613D">
        <w:rPr>
          <w:rFonts w:ascii="Arial" w:eastAsia="Calibri" w:hAnsi="Arial" w:cs="Arial"/>
          <w:color w:val="000000" w:themeColor="text1"/>
          <w:sz w:val="24"/>
          <w:szCs w:val="24"/>
        </w:rPr>
        <w:t xml:space="preserve">% recorded </w:t>
      </w:r>
      <w:r w:rsidR="00E07877" w:rsidRPr="0003613D">
        <w:rPr>
          <w:rFonts w:ascii="Arial" w:eastAsia="Calibri" w:hAnsi="Arial" w:cs="Arial"/>
          <w:color w:val="000000" w:themeColor="text1"/>
          <w:sz w:val="24"/>
          <w:szCs w:val="24"/>
        </w:rPr>
        <w:t>across</w:t>
      </w:r>
      <w:r w:rsidRPr="0003613D">
        <w:rPr>
          <w:rFonts w:ascii="Arial" w:eastAsia="Calibri" w:hAnsi="Arial" w:cs="Arial"/>
          <w:color w:val="000000" w:themeColor="text1"/>
          <w:sz w:val="24"/>
          <w:szCs w:val="24"/>
        </w:rPr>
        <w:t xml:space="preserve"> England and Wales. The largest groups include those of Asian heritage (</w:t>
      </w:r>
      <w:r w:rsidR="00E540FC" w:rsidRPr="0003613D">
        <w:rPr>
          <w:rFonts w:ascii="Arial" w:eastAsia="Calibri" w:hAnsi="Arial" w:cs="Arial"/>
          <w:color w:val="000000" w:themeColor="text1"/>
          <w:sz w:val="24"/>
          <w:szCs w:val="24"/>
        </w:rPr>
        <w:t>25</w:t>
      </w:r>
      <w:r w:rsidRPr="0003613D">
        <w:rPr>
          <w:rFonts w:ascii="Arial" w:eastAsia="Calibri" w:hAnsi="Arial" w:cs="Arial"/>
          <w:color w:val="000000" w:themeColor="text1"/>
          <w:sz w:val="24"/>
          <w:szCs w:val="24"/>
        </w:rPr>
        <w:t xml:space="preserve">%) and </w:t>
      </w:r>
      <w:r w:rsidR="00E540FC" w:rsidRPr="0003613D">
        <w:rPr>
          <w:rFonts w:ascii="Arial" w:eastAsia="Calibri" w:hAnsi="Arial" w:cs="Arial"/>
          <w:color w:val="000000" w:themeColor="text1"/>
          <w:sz w:val="24"/>
          <w:szCs w:val="24"/>
        </w:rPr>
        <w:t xml:space="preserve">Black, Black British, Caribbean or African </w:t>
      </w:r>
      <w:r w:rsidRPr="0003613D">
        <w:rPr>
          <w:rFonts w:ascii="Arial" w:eastAsia="Calibri" w:hAnsi="Arial" w:cs="Arial"/>
          <w:color w:val="000000" w:themeColor="text1"/>
          <w:sz w:val="24"/>
          <w:szCs w:val="24"/>
        </w:rPr>
        <w:t>(</w:t>
      </w:r>
      <w:r w:rsidR="00E540FC" w:rsidRPr="0003613D">
        <w:rPr>
          <w:rFonts w:ascii="Arial" w:eastAsia="Calibri" w:hAnsi="Arial" w:cs="Arial"/>
          <w:color w:val="000000" w:themeColor="text1"/>
          <w:sz w:val="24"/>
          <w:szCs w:val="24"/>
        </w:rPr>
        <w:t>3</w:t>
      </w:r>
      <w:r w:rsidRPr="0003613D">
        <w:rPr>
          <w:rFonts w:ascii="Arial" w:eastAsia="Calibri" w:hAnsi="Arial" w:cs="Arial"/>
          <w:color w:val="000000" w:themeColor="text1"/>
          <w:sz w:val="24"/>
          <w:szCs w:val="24"/>
        </w:rPr>
        <w:t>.</w:t>
      </w:r>
      <w:r w:rsidR="00E540FC" w:rsidRPr="0003613D">
        <w:rPr>
          <w:rFonts w:ascii="Arial" w:eastAsia="Calibri" w:hAnsi="Arial" w:cs="Arial"/>
          <w:color w:val="000000" w:themeColor="text1"/>
          <w:sz w:val="24"/>
          <w:szCs w:val="24"/>
        </w:rPr>
        <w:t>7</w:t>
      </w:r>
      <w:r w:rsidRPr="0003613D">
        <w:rPr>
          <w:rFonts w:ascii="Arial" w:eastAsia="Calibri" w:hAnsi="Arial" w:cs="Arial"/>
          <w:color w:val="000000" w:themeColor="text1"/>
          <w:sz w:val="24"/>
          <w:szCs w:val="24"/>
        </w:rPr>
        <w:t>%)</w:t>
      </w:r>
      <w:r w:rsidR="0027305C" w:rsidRPr="0003613D">
        <w:rPr>
          <w:rFonts w:ascii="Arial" w:eastAsia="Calibri" w:hAnsi="Arial" w:cs="Arial"/>
          <w:color w:val="000000" w:themeColor="text1"/>
          <w:sz w:val="24"/>
          <w:szCs w:val="24"/>
        </w:rPr>
        <w:t xml:space="preserve"> [4]. </w:t>
      </w:r>
    </w:p>
    <w:p w14:paraId="2F7670AD" w14:textId="58203D64" w:rsidR="00E710D0" w:rsidRPr="0003613D" w:rsidRDefault="00E710D0" w:rsidP="007A42A4">
      <w:pPr>
        <w:spacing w:after="240" w:line="276" w:lineRule="auto"/>
        <w:rPr>
          <w:rFonts w:ascii="Arial" w:eastAsia="Calibri" w:hAnsi="Arial" w:cs="Arial"/>
          <w:color w:val="000000" w:themeColor="text1"/>
          <w:sz w:val="24"/>
          <w:szCs w:val="24"/>
        </w:rPr>
      </w:pPr>
      <w:r w:rsidRPr="0003613D">
        <w:rPr>
          <w:rFonts w:ascii="Arial" w:eastAsia="Calibri" w:hAnsi="Arial" w:cs="Arial"/>
          <w:color w:val="000000" w:themeColor="text1"/>
          <w:sz w:val="24"/>
          <w:szCs w:val="24"/>
        </w:rPr>
        <w:t>The table below indicates the population growth of Sandwell’s six towns between the year 2011 and 2021. Smethwick had the largest population growth of all the towns, growing by 16%. Rowley Regis had the lowest population growth at 7%. The population of all six towns increased in this time period</w:t>
      </w:r>
      <w:r w:rsidR="008A0E8C" w:rsidRPr="0003613D">
        <w:rPr>
          <w:rFonts w:ascii="Arial" w:eastAsia="Calibri" w:hAnsi="Arial" w:cs="Arial"/>
          <w:color w:val="000000" w:themeColor="text1"/>
          <w:sz w:val="24"/>
          <w:szCs w:val="24"/>
        </w:rPr>
        <w:t xml:space="preserve"> [5].</w:t>
      </w:r>
    </w:p>
    <w:tbl>
      <w:tblPr>
        <w:tblStyle w:val="TableGrid"/>
        <w:tblW w:w="0" w:type="auto"/>
        <w:jc w:val="center"/>
        <w:tblLook w:val="04A0" w:firstRow="1" w:lastRow="0" w:firstColumn="1" w:lastColumn="0" w:noHBand="0" w:noVBand="1"/>
      </w:tblPr>
      <w:tblGrid>
        <w:gridCol w:w="1980"/>
        <w:gridCol w:w="1843"/>
      </w:tblGrid>
      <w:tr w:rsidR="00E710D0" w:rsidRPr="0003613D" w14:paraId="32834AFB" w14:textId="77777777" w:rsidTr="00920403">
        <w:trPr>
          <w:jc w:val="center"/>
        </w:trPr>
        <w:tc>
          <w:tcPr>
            <w:tcW w:w="1980" w:type="dxa"/>
          </w:tcPr>
          <w:p w14:paraId="0BC1E254" w14:textId="2D549510" w:rsidR="00E710D0" w:rsidRPr="0003613D" w:rsidRDefault="00E710D0" w:rsidP="007A42A4">
            <w:pPr>
              <w:spacing w:after="240" w:line="276" w:lineRule="auto"/>
              <w:rPr>
                <w:rFonts w:ascii="Arial" w:eastAsia="Calibri" w:hAnsi="Arial" w:cs="Arial"/>
                <w:b/>
                <w:bCs/>
                <w:color w:val="000000" w:themeColor="text1"/>
                <w:sz w:val="24"/>
                <w:szCs w:val="24"/>
              </w:rPr>
            </w:pPr>
            <w:r w:rsidRPr="0003613D">
              <w:rPr>
                <w:rFonts w:ascii="Arial" w:eastAsia="Calibri" w:hAnsi="Arial" w:cs="Arial"/>
                <w:b/>
                <w:bCs/>
                <w:color w:val="000000" w:themeColor="text1"/>
                <w:sz w:val="24"/>
                <w:szCs w:val="24"/>
              </w:rPr>
              <w:t>Town</w:t>
            </w:r>
          </w:p>
        </w:tc>
        <w:tc>
          <w:tcPr>
            <w:tcW w:w="1843" w:type="dxa"/>
          </w:tcPr>
          <w:p w14:paraId="28146C16" w14:textId="3E5D3BDC" w:rsidR="00E710D0" w:rsidRPr="0003613D" w:rsidRDefault="00E710D0" w:rsidP="007A42A4">
            <w:pPr>
              <w:spacing w:after="240" w:line="276" w:lineRule="auto"/>
              <w:rPr>
                <w:rFonts w:ascii="Arial" w:eastAsia="Calibri" w:hAnsi="Arial" w:cs="Arial"/>
                <w:b/>
                <w:bCs/>
                <w:color w:val="000000" w:themeColor="text1"/>
                <w:sz w:val="24"/>
                <w:szCs w:val="24"/>
              </w:rPr>
            </w:pPr>
            <w:r w:rsidRPr="0003613D">
              <w:rPr>
                <w:rFonts w:ascii="Arial" w:eastAsia="Calibri" w:hAnsi="Arial" w:cs="Arial"/>
                <w:b/>
                <w:bCs/>
                <w:color w:val="000000" w:themeColor="text1"/>
                <w:sz w:val="24"/>
                <w:szCs w:val="24"/>
              </w:rPr>
              <w:t>Change (%)</w:t>
            </w:r>
          </w:p>
        </w:tc>
      </w:tr>
      <w:tr w:rsidR="00E710D0" w:rsidRPr="0003613D" w14:paraId="27CFFEEB" w14:textId="77777777" w:rsidTr="00920403">
        <w:trPr>
          <w:trHeight w:val="263"/>
          <w:jc w:val="center"/>
        </w:trPr>
        <w:tc>
          <w:tcPr>
            <w:tcW w:w="1980" w:type="dxa"/>
          </w:tcPr>
          <w:p w14:paraId="71E0417E" w14:textId="5A2F4993" w:rsidR="00E710D0" w:rsidRPr="0003613D" w:rsidRDefault="00E710D0" w:rsidP="007A42A4">
            <w:pPr>
              <w:spacing w:after="240" w:line="276" w:lineRule="auto"/>
              <w:rPr>
                <w:rFonts w:ascii="Arial" w:eastAsia="Calibri" w:hAnsi="Arial" w:cs="Arial"/>
                <w:color w:val="000000" w:themeColor="text1"/>
                <w:sz w:val="24"/>
                <w:szCs w:val="24"/>
              </w:rPr>
            </w:pPr>
            <w:r w:rsidRPr="0003613D">
              <w:rPr>
                <w:rFonts w:ascii="Arial" w:eastAsia="Calibri" w:hAnsi="Arial" w:cs="Arial"/>
                <w:color w:val="000000" w:themeColor="text1"/>
                <w:sz w:val="24"/>
                <w:szCs w:val="24"/>
              </w:rPr>
              <w:t>Smethwick</w:t>
            </w:r>
          </w:p>
        </w:tc>
        <w:tc>
          <w:tcPr>
            <w:tcW w:w="1843" w:type="dxa"/>
          </w:tcPr>
          <w:p w14:paraId="433D7576" w14:textId="4BAD619C" w:rsidR="00E710D0" w:rsidRPr="0003613D" w:rsidRDefault="00E710D0" w:rsidP="007A42A4">
            <w:pPr>
              <w:spacing w:after="240" w:line="276" w:lineRule="auto"/>
              <w:rPr>
                <w:rFonts w:ascii="Arial" w:eastAsia="Calibri" w:hAnsi="Arial" w:cs="Arial"/>
                <w:color w:val="000000" w:themeColor="text1"/>
                <w:sz w:val="24"/>
                <w:szCs w:val="24"/>
              </w:rPr>
            </w:pPr>
            <w:r w:rsidRPr="0003613D">
              <w:rPr>
                <w:rFonts w:ascii="Arial" w:eastAsia="Calibri" w:hAnsi="Arial" w:cs="Arial"/>
                <w:color w:val="000000" w:themeColor="text1"/>
                <w:sz w:val="24"/>
                <w:szCs w:val="24"/>
              </w:rPr>
              <w:t>16%</w:t>
            </w:r>
          </w:p>
        </w:tc>
      </w:tr>
      <w:tr w:rsidR="00E710D0" w:rsidRPr="0003613D" w14:paraId="4614B703" w14:textId="77777777" w:rsidTr="00920403">
        <w:trPr>
          <w:jc w:val="center"/>
        </w:trPr>
        <w:tc>
          <w:tcPr>
            <w:tcW w:w="1980" w:type="dxa"/>
          </w:tcPr>
          <w:p w14:paraId="7173490C" w14:textId="35EE6209" w:rsidR="00E710D0" w:rsidRPr="0003613D" w:rsidRDefault="00E710D0" w:rsidP="007A42A4">
            <w:pPr>
              <w:spacing w:after="240" w:line="276" w:lineRule="auto"/>
              <w:rPr>
                <w:rFonts w:ascii="Arial" w:eastAsia="Calibri" w:hAnsi="Arial" w:cs="Arial"/>
                <w:color w:val="000000" w:themeColor="text1"/>
                <w:sz w:val="24"/>
                <w:szCs w:val="24"/>
              </w:rPr>
            </w:pPr>
            <w:r w:rsidRPr="0003613D">
              <w:rPr>
                <w:rFonts w:ascii="Arial" w:eastAsia="Calibri" w:hAnsi="Arial" w:cs="Arial"/>
                <w:color w:val="000000" w:themeColor="text1"/>
                <w:sz w:val="24"/>
                <w:szCs w:val="24"/>
              </w:rPr>
              <w:t>Tipton</w:t>
            </w:r>
          </w:p>
        </w:tc>
        <w:tc>
          <w:tcPr>
            <w:tcW w:w="1843" w:type="dxa"/>
          </w:tcPr>
          <w:p w14:paraId="6EC63CBB" w14:textId="746841D1" w:rsidR="00E710D0" w:rsidRPr="0003613D" w:rsidRDefault="00E710D0" w:rsidP="007A42A4">
            <w:pPr>
              <w:spacing w:after="240" w:line="276" w:lineRule="auto"/>
              <w:rPr>
                <w:rFonts w:ascii="Arial" w:eastAsia="Calibri" w:hAnsi="Arial" w:cs="Arial"/>
                <w:color w:val="000000" w:themeColor="text1"/>
                <w:sz w:val="24"/>
                <w:szCs w:val="24"/>
              </w:rPr>
            </w:pPr>
            <w:r w:rsidRPr="0003613D">
              <w:rPr>
                <w:rFonts w:ascii="Arial" w:eastAsia="Calibri" w:hAnsi="Arial" w:cs="Arial"/>
                <w:color w:val="000000" w:themeColor="text1"/>
                <w:sz w:val="24"/>
                <w:szCs w:val="24"/>
              </w:rPr>
              <w:t>13.8%</w:t>
            </w:r>
          </w:p>
        </w:tc>
      </w:tr>
      <w:tr w:rsidR="00E710D0" w:rsidRPr="0003613D" w14:paraId="13F6AEC7" w14:textId="77777777" w:rsidTr="00920403">
        <w:trPr>
          <w:jc w:val="center"/>
        </w:trPr>
        <w:tc>
          <w:tcPr>
            <w:tcW w:w="1980" w:type="dxa"/>
          </w:tcPr>
          <w:p w14:paraId="23BDC948" w14:textId="507ACB53" w:rsidR="00E710D0" w:rsidRPr="0003613D" w:rsidRDefault="00E710D0" w:rsidP="007A42A4">
            <w:pPr>
              <w:spacing w:after="240" w:line="276" w:lineRule="auto"/>
              <w:rPr>
                <w:rFonts w:ascii="Arial" w:eastAsia="Calibri" w:hAnsi="Arial" w:cs="Arial"/>
                <w:color w:val="000000" w:themeColor="text1"/>
                <w:sz w:val="24"/>
                <w:szCs w:val="24"/>
              </w:rPr>
            </w:pPr>
            <w:r w:rsidRPr="0003613D">
              <w:rPr>
                <w:rFonts w:ascii="Arial" w:eastAsia="Calibri" w:hAnsi="Arial" w:cs="Arial"/>
                <w:color w:val="000000" w:themeColor="text1"/>
                <w:sz w:val="24"/>
                <w:szCs w:val="24"/>
              </w:rPr>
              <w:t>West Bromwich</w:t>
            </w:r>
          </w:p>
        </w:tc>
        <w:tc>
          <w:tcPr>
            <w:tcW w:w="1843" w:type="dxa"/>
          </w:tcPr>
          <w:p w14:paraId="42DF84CE" w14:textId="1F38D3AE" w:rsidR="00E710D0" w:rsidRPr="0003613D" w:rsidRDefault="00E710D0" w:rsidP="007A42A4">
            <w:pPr>
              <w:spacing w:after="240" w:line="276" w:lineRule="auto"/>
              <w:rPr>
                <w:rFonts w:ascii="Arial" w:eastAsia="Calibri" w:hAnsi="Arial" w:cs="Arial"/>
                <w:color w:val="000000" w:themeColor="text1"/>
                <w:sz w:val="24"/>
                <w:szCs w:val="24"/>
              </w:rPr>
            </w:pPr>
            <w:r w:rsidRPr="0003613D">
              <w:rPr>
                <w:rFonts w:ascii="Arial" w:eastAsia="Calibri" w:hAnsi="Arial" w:cs="Arial"/>
                <w:color w:val="000000" w:themeColor="text1"/>
                <w:sz w:val="24"/>
                <w:szCs w:val="24"/>
              </w:rPr>
              <w:t>10.95</w:t>
            </w:r>
            <w:r w:rsidR="00C14995" w:rsidRPr="0003613D">
              <w:rPr>
                <w:rFonts w:ascii="Arial" w:eastAsia="Calibri" w:hAnsi="Arial" w:cs="Arial"/>
                <w:color w:val="000000" w:themeColor="text1"/>
                <w:sz w:val="24"/>
                <w:szCs w:val="24"/>
              </w:rPr>
              <w:t>%</w:t>
            </w:r>
          </w:p>
        </w:tc>
      </w:tr>
      <w:tr w:rsidR="00E710D0" w:rsidRPr="0003613D" w14:paraId="3BD588BB" w14:textId="77777777" w:rsidTr="00920403">
        <w:trPr>
          <w:jc w:val="center"/>
        </w:trPr>
        <w:tc>
          <w:tcPr>
            <w:tcW w:w="1980" w:type="dxa"/>
          </w:tcPr>
          <w:p w14:paraId="799BB6E5" w14:textId="59F3B1FF" w:rsidR="00E710D0" w:rsidRPr="0003613D" w:rsidRDefault="00E710D0" w:rsidP="007A42A4">
            <w:pPr>
              <w:spacing w:after="240" w:line="276" w:lineRule="auto"/>
              <w:rPr>
                <w:rFonts w:ascii="Arial" w:eastAsia="Calibri" w:hAnsi="Arial" w:cs="Arial"/>
                <w:color w:val="000000" w:themeColor="text1"/>
                <w:sz w:val="24"/>
                <w:szCs w:val="24"/>
              </w:rPr>
            </w:pPr>
            <w:r w:rsidRPr="0003613D">
              <w:rPr>
                <w:rFonts w:ascii="Arial" w:eastAsia="Calibri" w:hAnsi="Arial" w:cs="Arial"/>
                <w:color w:val="000000" w:themeColor="text1"/>
                <w:sz w:val="24"/>
                <w:szCs w:val="24"/>
              </w:rPr>
              <w:t>Wednesbury</w:t>
            </w:r>
          </w:p>
        </w:tc>
        <w:tc>
          <w:tcPr>
            <w:tcW w:w="1843" w:type="dxa"/>
          </w:tcPr>
          <w:p w14:paraId="65C46EA4" w14:textId="08941E6A" w:rsidR="00E710D0" w:rsidRPr="0003613D" w:rsidRDefault="00E710D0" w:rsidP="007A42A4">
            <w:pPr>
              <w:spacing w:after="240" w:line="276" w:lineRule="auto"/>
              <w:rPr>
                <w:rFonts w:ascii="Arial" w:eastAsia="Calibri" w:hAnsi="Arial" w:cs="Arial"/>
                <w:color w:val="000000" w:themeColor="text1"/>
                <w:sz w:val="24"/>
                <w:szCs w:val="24"/>
              </w:rPr>
            </w:pPr>
            <w:r w:rsidRPr="0003613D">
              <w:rPr>
                <w:rFonts w:ascii="Arial" w:eastAsia="Calibri" w:hAnsi="Arial" w:cs="Arial"/>
                <w:color w:val="000000" w:themeColor="text1"/>
                <w:sz w:val="24"/>
                <w:szCs w:val="24"/>
              </w:rPr>
              <w:t>9.3%</w:t>
            </w:r>
          </w:p>
        </w:tc>
      </w:tr>
      <w:tr w:rsidR="00E710D0" w:rsidRPr="0003613D" w14:paraId="16A8C9AC" w14:textId="77777777" w:rsidTr="00920403">
        <w:trPr>
          <w:jc w:val="center"/>
        </w:trPr>
        <w:tc>
          <w:tcPr>
            <w:tcW w:w="1980" w:type="dxa"/>
          </w:tcPr>
          <w:p w14:paraId="09EB5124" w14:textId="30B7FC39" w:rsidR="00E710D0" w:rsidRPr="0003613D" w:rsidRDefault="00E710D0" w:rsidP="007A42A4">
            <w:pPr>
              <w:spacing w:after="240" w:line="276" w:lineRule="auto"/>
              <w:rPr>
                <w:rFonts w:ascii="Arial" w:eastAsia="Calibri" w:hAnsi="Arial" w:cs="Arial"/>
                <w:color w:val="000000" w:themeColor="text1"/>
                <w:sz w:val="24"/>
                <w:szCs w:val="24"/>
              </w:rPr>
            </w:pPr>
            <w:r w:rsidRPr="0003613D">
              <w:rPr>
                <w:rFonts w:ascii="Arial" w:eastAsia="Calibri" w:hAnsi="Arial" w:cs="Arial"/>
                <w:color w:val="000000" w:themeColor="text1"/>
                <w:sz w:val="24"/>
                <w:szCs w:val="24"/>
              </w:rPr>
              <w:t>Oldbury</w:t>
            </w:r>
          </w:p>
        </w:tc>
        <w:tc>
          <w:tcPr>
            <w:tcW w:w="1843" w:type="dxa"/>
          </w:tcPr>
          <w:p w14:paraId="23949870" w14:textId="4D5D1FA7" w:rsidR="00E710D0" w:rsidRPr="0003613D" w:rsidRDefault="00E710D0" w:rsidP="007A42A4">
            <w:pPr>
              <w:spacing w:after="240" w:line="276" w:lineRule="auto"/>
              <w:rPr>
                <w:rFonts w:ascii="Arial" w:eastAsia="Calibri" w:hAnsi="Arial" w:cs="Arial"/>
                <w:color w:val="000000" w:themeColor="text1"/>
                <w:sz w:val="24"/>
                <w:szCs w:val="24"/>
              </w:rPr>
            </w:pPr>
            <w:r w:rsidRPr="0003613D">
              <w:rPr>
                <w:rFonts w:ascii="Arial" w:eastAsia="Calibri" w:hAnsi="Arial" w:cs="Arial"/>
                <w:color w:val="000000" w:themeColor="text1"/>
                <w:sz w:val="24"/>
                <w:szCs w:val="24"/>
              </w:rPr>
              <w:t>8.5%</w:t>
            </w:r>
          </w:p>
        </w:tc>
      </w:tr>
      <w:tr w:rsidR="00E710D0" w:rsidRPr="0003613D" w14:paraId="1EC70332" w14:textId="77777777" w:rsidTr="00920403">
        <w:trPr>
          <w:jc w:val="center"/>
        </w:trPr>
        <w:tc>
          <w:tcPr>
            <w:tcW w:w="1980" w:type="dxa"/>
          </w:tcPr>
          <w:p w14:paraId="77834718" w14:textId="37CF9179" w:rsidR="00E710D0" w:rsidRPr="0003613D" w:rsidRDefault="00E710D0" w:rsidP="007A42A4">
            <w:pPr>
              <w:spacing w:after="240" w:line="276" w:lineRule="auto"/>
              <w:rPr>
                <w:rFonts w:ascii="Arial" w:eastAsia="Calibri" w:hAnsi="Arial" w:cs="Arial"/>
                <w:color w:val="000000" w:themeColor="text1"/>
                <w:sz w:val="24"/>
                <w:szCs w:val="24"/>
              </w:rPr>
            </w:pPr>
            <w:r w:rsidRPr="0003613D">
              <w:rPr>
                <w:rFonts w:ascii="Arial" w:eastAsia="Calibri" w:hAnsi="Arial" w:cs="Arial"/>
                <w:color w:val="000000" w:themeColor="text1"/>
                <w:sz w:val="24"/>
                <w:szCs w:val="24"/>
              </w:rPr>
              <w:t>Rowley Regis</w:t>
            </w:r>
          </w:p>
        </w:tc>
        <w:tc>
          <w:tcPr>
            <w:tcW w:w="1843" w:type="dxa"/>
          </w:tcPr>
          <w:p w14:paraId="024B534B" w14:textId="4F0A7C64" w:rsidR="00E710D0" w:rsidRPr="0003613D" w:rsidRDefault="00E710D0" w:rsidP="007A42A4">
            <w:pPr>
              <w:spacing w:after="240" w:line="276" w:lineRule="auto"/>
              <w:rPr>
                <w:rFonts w:ascii="Arial" w:eastAsia="Calibri" w:hAnsi="Arial" w:cs="Arial"/>
                <w:color w:val="000000" w:themeColor="text1"/>
                <w:sz w:val="24"/>
                <w:szCs w:val="24"/>
              </w:rPr>
            </w:pPr>
            <w:r w:rsidRPr="0003613D">
              <w:rPr>
                <w:rFonts w:ascii="Arial" w:eastAsia="Calibri" w:hAnsi="Arial" w:cs="Arial"/>
                <w:color w:val="000000" w:themeColor="text1"/>
                <w:sz w:val="24"/>
                <w:szCs w:val="24"/>
              </w:rPr>
              <w:t>7%</w:t>
            </w:r>
          </w:p>
        </w:tc>
      </w:tr>
    </w:tbl>
    <w:p w14:paraId="75A617D7" w14:textId="128D6E86" w:rsidR="00E710D0" w:rsidRPr="0003613D" w:rsidRDefault="00E710D0" w:rsidP="007A42A4">
      <w:pPr>
        <w:spacing w:after="240" w:line="276" w:lineRule="auto"/>
        <w:rPr>
          <w:rFonts w:ascii="Arial" w:eastAsia="Calibri" w:hAnsi="Arial" w:cs="Arial"/>
          <w:color w:val="000000" w:themeColor="text1"/>
          <w:sz w:val="24"/>
          <w:szCs w:val="24"/>
        </w:rPr>
      </w:pPr>
    </w:p>
    <w:p w14:paraId="26BCFB5E" w14:textId="77777777" w:rsidR="00046BBC" w:rsidRPr="0003613D" w:rsidRDefault="00046BBC" w:rsidP="007A42A4">
      <w:pPr>
        <w:spacing w:after="240" w:line="276" w:lineRule="auto"/>
        <w:rPr>
          <w:rFonts w:ascii="Arial" w:eastAsia="Calibri" w:hAnsi="Arial" w:cs="Arial"/>
          <w:b/>
          <w:bCs/>
          <w:sz w:val="24"/>
          <w:szCs w:val="24"/>
        </w:rPr>
      </w:pPr>
    </w:p>
    <w:p w14:paraId="26C9D13B" w14:textId="77777777" w:rsidR="00046BBC" w:rsidRPr="0003613D" w:rsidRDefault="00046BBC" w:rsidP="007A42A4">
      <w:pPr>
        <w:spacing w:after="240" w:line="276" w:lineRule="auto"/>
        <w:rPr>
          <w:rFonts w:ascii="Arial" w:eastAsia="Calibri" w:hAnsi="Arial" w:cs="Arial"/>
          <w:b/>
          <w:bCs/>
          <w:sz w:val="24"/>
          <w:szCs w:val="24"/>
        </w:rPr>
      </w:pPr>
    </w:p>
    <w:p w14:paraId="0EB7DF31" w14:textId="3B0415EC" w:rsidR="00803223" w:rsidRPr="0003613D" w:rsidRDefault="00803223" w:rsidP="007A42A4">
      <w:pPr>
        <w:spacing w:after="240" w:line="276" w:lineRule="auto"/>
        <w:rPr>
          <w:rFonts w:ascii="Arial" w:eastAsia="Calibri" w:hAnsi="Arial" w:cs="Arial"/>
          <w:b/>
          <w:bCs/>
          <w:sz w:val="24"/>
          <w:szCs w:val="24"/>
        </w:rPr>
      </w:pPr>
      <w:r w:rsidRPr="0003613D">
        <w:rPr>
          <w:rFonts w:ascii="Arial" w:eastAsia="Calibri" w:hAnsi="Arial" w:cs="Arial"/>
          <w:b/>
          <w:bCs/>
          <w:sz w:val="24"/>
          <w:szCs w:val="24"/>
        </w:rPr>
        <w:lastRenderedPageBreak/>
        <w:t xml:space="preserve">Health </w:t>
      </w:r>
    </w:p>
    <w:p w14:paraId="68EFC661" w14:textId="77D1D6CE" w:rsidR="007F45D2" w:rsidRPr="0003613D" w:rsidRDefault="00314DEE" w:rsidP="007F45D2">
      <w:pPr>
        <w:spacing w:after="240" w:line="276" w:lineRule="auto"/>
        <w:rPr>
          <w:rFonts w:ascii="Arial" w:eastAsia="Calibri" w:hAnsi="Arial" w:cs="Arial"/>
          <w:sz w:val="24"/>
          <w:szCs w:val="24"/>
        </w:rPr>
      </w:pPr>
      <w:r w:rsidRPr="0003613D">
        <w:rPr>
          <w:rFonts w:ascii="Arial" w:eastAsia="Calibri" w:hAnsi="Arial" w:cs="Arial"/>
          <w:sz w:val="24"/>
          <w:szCs w:val="24"/>
        </w:rPr>
        <w:t>In the 2021 Census, 40.8% of Sandwell residents described their health as "very good", increasing from 37.6% in 2015, however while this percentage has increased</w:t>
      </w:r>
      <w:r w:rsidR="007F45D2" w:rsidRPr="0003613D">
        <w:rPr>
          <w:rFonts w:ascii="Arial" w:eastAsia="Calibri" w:hAnsi="Arial" w:cs="Arial"/>
          <w:sz w:val="24"/>
          <w:szCs w:val="24"/>
        </w:rPr>
        <w:t xml:space="preserve">, </w:t>
      </w:r>
      <w:r w:rsidRPr="0003613D">
        <w:rPr>
          <w:rFonts w:ascii="Arial" w:eastAsia="Calibri" w:hAnsi="Arial" w:cs="Arial"/>
          <w:sz w:val="24"/>
          <w:szCs w:val="24"/>
        </w:rPr>
        <w:t xml:space="preserve">life expectancy for both men and women </w:t>
      </w:r>
      <w:r w:rsidR="007F45D2" w:rsidRPr="0003613D">
        <w:rPr>
          <w:rFonts w:ascii="Arial" w:eastAsia="Calibri" w:hAnsi="Arial" w:cs="Arial"/>
          <w:sz w:val="24"/>
          <w:szCs w:val="24"/>
        </w:rPr>
        <w:t xml:space="preserve">remains </w:t>
      </w:r>
      <w:r w:rsidR="00CA1586" w:rsidRPr="0003613D">
        <w:rPr>
          <w:rFonts w:ascii="Arial" w:eastAsia="Calibri" w:hAnsi="Arial" w:cs="Arial"/>
          <w:sz w:val="24"/>
          <w:szCs w:val="24"/>
        </w:rPr>
        <w:t xml:space="preserve">significantly </w:t>
      </w:r>
      <w:r w:rsidR="007F45D2" w:rsidRPr="0003613D">
        <w:rPr>
          <w:rFonts w:ascii="Arial" w:eastAsia="Calibri" w:hAnsi="Arial" w:cs="Arial"/>
          <w:sz w:val="24"/>
          <w:szCs w:val="24"/>
        </w:rPr>
        <w:t>below the national average. On average, men in Sandwell live 7</w:t>
      </w:r>
      <w:r w:rsidRPr="0003613D">
        <w:rPr>
          <w:rFonts w:ascii="Arial" w:eastAsia="Calibri" w:hAnsi="Arial" w:cs="Arial"/>
          <w:sz w:val="24"/>
          <w:szCs w:val="24"/>
        </w:rPr>
        <w:t>6</w:t>
      </w:r>
      <w:r w:rsidR="007F45D2" w:rsidRPr="0003613D">
        <w:rPr>
          <w:rFonts w:ascii="Arial" w:eastAsia="Calibri" w:hAnsi="Arial" w:cs="Arial"/>
          <w:sz w:val="24"/>
          <w:szCs w:val="24"/>
        </w:rPr>
        <w:t>.</w:t>
      </w:r>
      <w:r w:rsidRPr="0003613D">
        <w:rPr>
          <w:rFonts w:ascii="Arial" w:eastAsia="Calibri" w:hAnsi="Arial" w:cs="Arial"/>
          <w:sz w:val="24"/>
          <w:szCs w:val="24"/>
        </w:rPr>
        <w:t>1</w:t>
      </w:r>
      <w:r w:rsidR="007F45D2" w:rsidRPr="0003613D">
        <w:rPr>
          <w:rFonts w:ascii="Arial" w:eastAsia="Calibri" w:hAnsi="Arial" w:cs="Arial"/>
          <w:sz w:val="24"/>
          <w:szCs w:val="24"/>
        </w:rPr>
        <w:t>years</w:t>
      </w:r>
      <w:r w:rsidRPr="0003613D">
        <w:rPr>
          <w:rFonts w:ascii="Arial" w:eastAsia="Calibri" w:hAnsi="Arial" w:cs="Arial"/>
          <w:sz w:val="24"/>
          <w:szCs w:val="24"/>
        </w:rPr>
        <w:t>, 3.3</w:t>
      </w:r>
      <w:r w:rsidR="007F45D2" w:rsidRPr="0003613D">
        <w:rPr>
          <w:rFonts w:ascii="Arial" w:eastAsia="Calibri" w:hAnsi="Arial" w:cs="Arial"/>
          <w:sz w:val="24"/>
          <w:szCs w:val="24"/>
        </w:rPr>
        <w:t xml:space="preserve"> years less than the national average</w:t>
      </w:r>
      <w:r w:rsidRPr="0003613D">
        <w:rPr>
          <w:rFonts w:ascii="Arial" w:eastAsia="Calibri" w:hAnsi="Arial" w:cs="Arial"/>
          <w:sz w:val="24"/>
          <w:szCs w:val="24"/>
        </w:rPr>
        <w:t xml:space="preserve"> (79.4), and </w:t>
      </w:r>
      <w:r w:rsidR="007F45D2" w:rsidRPr="0003613D">
        <w:rPr>
          <w:rFonts w:ascii="Arial" w:eastAsia="Calibri" w:hAnsi="Arial" w:cs="Arial"/>
          <w:sz w:val="24"/>
          <w:szCs w:val="24"/>
        </w:rPr>
        <w:t xml:space="preserve">women live </w:t>
      </w:r>
      <w:r w:rsidRPr="0003613D">
        <w:rPr>
          <w:rFonts w:ascii="Arial" w:eastAsia="Calibri" w:hAnsi="Arial" w:cs="Arial"/>
          <w:sz w:val="24"/>
          <w:szCs w:val="24"/>
        </w:rPr>
        <w:t xml:space="preserve">on average </w:t>
      </w:r>
      <w:r w:rsidR="007F45D2" w:rsidRPr="0003613D">
        <w:rPr>
          <w:rFonts w:ascii="Arial" w:eastAsia="Calibri" w:hAnsi="Arial" w:cs="Arial"/>
          <w:sz w:val="24"/>
          <w:szCs w:val="24"/>
        </w:rPr>
        <w:t>8</w:t>
      </w:r>
      <w:r w:rsidRPr="0003613D">
        <w:rPr>
          <w:rFonts w:ascii="Arial" w:eastAsia="Calibri" w:hAnsi="Arial" w:cs="Arial"/>
          <w:sz w:val="24"/>
          <w:szCs w:val="24"/>
        </w:rPr>
        <w:t>0</w:t>
      </w:r>
      <w:r w:rsidR="007F45D2" w:rsidRPr="0003613D">
        <w:rPr>
          <w:rFonts w:ascii="Arial" w:eastAsia="Calibri" w:hAnsi="Arial" w:cs="Arial"/>
          <w:sz w:val="24"/>
          <w:szCs w:val="24"/>
        </w:rPr>
        <w:t>.</w:t>
      </w:r>
      <w:r w:rsidRPr="0003613D">
        <w:rPr>
          <w:rFonts w:ascii="Arial" w:eastAsia="Calibri" w:hAnsi="Arial" w:cs="Arial"/>
          <w:sz w:val="24"/>
          <w:szCs w:val="24"/>
        </w:rPr>
        <w:t>7</w:t>
      </w:r>
      <w:r w:rsidR="007F45D2" w:rsidRPr="0003613D">
        <w:rPr>
          <w:rFonts w:ascii="Arial" w:eastAsia="Calibri" w:hAnsi="Arial" w:cs="Arial"/>
          <w:sz w:val="24"/>
          <w:szCs w:val="24"/>
        </w:rPr>
        <w:t xml:space="preserve"> years, </w:t>
      </w:r>
      <w:r w:rsidRPr="0003613D">
        <w:rPr>
          <w:rFonts w:ascii="Arial" w:eastAsia="Calibri" w:hAnsi="Arial" w:cs="Arial"/>
          <w:sz w:val="24"/>
          <w:szCs w:val="24"/>
        </w:rPr>
        <w:t>2.4</w:t>
      </w:r>
      <w:r w:rsidR="007F45D2" w:rsidRPr="0003613D">
        <w:rPr>
          <w:rFonts w:ascii="Arial" w:eastAsia="Calibri" w:hAnsi="Arial" w:cs="Arial"/>
          <w:sz w:val="24"/>
          <w:szCs w:val="24"/>
        </w:rPr>
        <w:t xml:space="preserve"> years below the national average</w:t>
      </w:r>
      <w:r w:rsidRPr="0003613D">
        <w:rPr>
          <w:rFonts w:ascii="Arial" w:eastAsia="Calibri" w:hAnsi="Arial" w:cs="Arial"/>
          <w:sz w:val="24"/>
          <w:szCs w:val="24"/>
        </w:rPr>
        <w:t xml:space="preserve"> (83.1 years)</w:t>
      </w:r>
      <w:r w:rsidR="00A6681D" w:rsidRPr="0003613D">
        <w:rPr>
          <w:rFonts w:ascii="Arial" w:eastAsia="Calibri" w:hAnsi="Arial" w:cs="Arial"/>
          <w:sz w:val="24"/>
          <w:szCs w:val="24"/>
        </w:rPr>
        <w:t xml:space="preserve"> [6]</w:t>
      </w:r>
      <w:r w:rsidR="00ED5739" w:rsidRPr="0003613D">
        <w:rPr>
          <w:rFonts w:ascii="Arial" w:eastAsia="Calibri" w:hAnsi="Arial" w:cs="Arial"/>
          <w:sz w:val="24"/>
          <w:szCs w:val="24"/>
        </w:rPr>
        <w:t>.</w:t>
      </w:r>
    </w:p>
    <w:p w14:paraId="6A00D744" w14:textId="21B73E14" w:rsidR="007F420D" w:rsidRPr="0003613D" w:rsidRDefault="007F45D2" w:rsidP="007A42A4">
      <w:pPr>
        <w:spacing w:after="240" w:line="276" w:lineRule="auto"/>
        <w:rPr>
          <w:rFonts w:ascii="Arial" w:eastAsia="Calibri" w:hAnsi="Arial" w:cs="Arial"/>
          <w:sz w:val="24"/>
          <w:szCs w:val="24"/>
        </w:rPr>
      </w:pPr>
      <w:r w:rsidRPr="0003613D">
        <w:rPr>
          <w:rFonts w:ascii="Arial" w:eastAsia="Calibri" w:hAnsi="Arial" w:cs="Arial"/>
          <w:sz w:val="24"/>
          <w:szCs w:val="24"/>
        </w:rPr>
        <w:t>According to the Sandwell Pharmaceutical Needs Assessment 2022, 60.2% of respondents reported having a long-term physical or mental health condition lasting more than 12 months</w:t>
      </w:r>
      <w:r w:rsidR="0024213D" w:rsidRPr="0003613D">
        <w:rPr>
          <w:rFonts w:ascii="Arial" w:eastAsia="Calibri" w:hAnsi="Arial" w:cs="Arial"/>
          <w:sz w:val="24"/>
          <w:szCs w:val="24"/>
        </w:rPr>
        <w:t xml:space="preserve"> [7]. </w:t>
      </w:r>
    </w:p>
    <w:p w14:paraId="2AA74FF5" w14:textId="72BF9693" w:rsidR="00DE12FF" w:rsidRPr="0003613D" w:rsidRDefault="008D6049" w:rsidP="00DE12FF">
      <w:pPr>
        <w:spacing w:after="240" w:line="276" w:lineRule="auto"/>
        <w:rPr>
          <w:rFonts w:ascii="Arial" w:eastAsia="Calibri" w:hAnsi="Arial" w:cs="Arial"/>
          <w:b/>
          <w:bCs/>
          <w:sz w:val="24"/>
          <w:szCs w:val="24"/>
        </w:rPr>
      </w:pPr>
      <w:r w:rsidRPr="0003613D">
        <w:rPr>
          <w:rFonts w:ascii="Arial" w:eastAsia="Calibri" w:hAnsi="Arial" w:cs="Arial"/>
          <w:b/>
          <w:bCs/>
          <w:sz w:val="24"/>
          <w:szCs w:val="24"/>
        </w:rPr>
        <w:t>Deprivation</w:t>
      </w:r>
    </w:p>
    <w:p w14:paraId="5378888E" w14:textId="77777777" w:rsidR="00757D56" w:rsidRPr="0003613D" w:rsidRDefault="00757D56" w:rsidP="00757D56">
      <w:pPr>
        <w:rPr>
          <w:rFonts w:ascii="Arial" w:eastAsia="Calibri" w:hAnsi="Arial" w:cs="Arial"/>
          <w:bCs/>
          <w:sz w:val="24"/>
          <w:szCs w:val="24"/>
        </w:rPr>
      </w:pPr>
      <w:r w:rsidRPr="0003613D">
        <w:rPr>
          <w:rFonts w:ascii="Arial" w:eastAsia="Calibri" w:hAnsi="Arial" w:cs="Arial"/>
          <w:bCs/>
          <w:sz w:val="24"/>
          <w:szCs w:val="24"/>
        </w:rPr>
        <w:t>Sandwell’s average deprivation score has improved since 2019, moving up seven places to rank as the 19th most deprived local authority out of 296. However, this improvement reflects Sandwell’s relative position compared to other areas, rather than a direct reduction in deprivation within the borough. In contrast, neighbouring Birmingham remains among the 10 most deprived local authorities by average score, ranked 5th.</w:t>
      </w:r>
    </w:p>
    <w:p w14:paraId="521BA393" w14:textId="77777777" w:rsidR="00757D56" w:rsidRPr="0003613D" w:rsidRDefault="00757D56" w:rsidP="004729DF">
      <w:pPr>
        <w:spacing w:after="0"/>
        <w:rPr>
          <w:rFonts w:ascii="Arial" w:eastAsia="Calibri" w:hAnsi="Arial" w:cs="Arial"/>
          <w:bCs/>
          <w:sz w:val="24"/>
          <w:szCs w:val="24"/>
        </w:rPr>
      </w:pPr>
      <w:r w:rsidRPr="0003613D">
        <w:rPr>
          <w:rFonts w:ascii="Arial" w:eastAsia="Calibri" w:hAnsi="Arial" w:cs="Arial"/>
          <w:bCs/>
          <w:sz w:val="24"/>
          <w:szCs w:val="24"/>
        </w:rPr>
        <w:t>The table below shows changes in Sandwell’s rankings across different indicators (where 1 represents the most deprived and 296 the least deprived local authorities nationally):</w:t>
      </w:r>
    </w:p>
    <w:p w14:paraId="4E0ADB94" w14:textId="0F89099C" w:rsidR="004729DF" w:rsidRPr="0003613D" w:rsidRDefault="004729DF" w:rsidP="004729DF">
      <w:pPr>
        <w:pStyle w:val="ListParagraph"/>
        <w:numPr>
          <w:ilvl w:val="0"/>
          <w:numId w:val="26"/>
        </w:numPr>
        <w:spacing w:after="0"/>
        <w:rPr>
          <w:rFonts w:ascii="Arial" w:eastAsia="Calibri" w:hAnsi="Arial" w:cs="Arial"/>
          <w:bCs/>
          <w:sz w:val="24"/>
          <w:szCs w:val="24"/>
        </w:rPr>
      </w:pPr>
      <w:r w:rsidRPr="0003613D">
        <w:rPr>
          <w:rFonts w:ascii="Arial" w:eastAsia="Calibri" w:hAnsi="Arial" w:cs="Arial"/>
          <w:b/>
          <w:bCs/>
          <w:sz w:val="24"/>
          <w:szCs w:val="24"/>
        </w:rPr>
        <w:t>Overall average score:</w:t>
      </w:r>
      <w:r w:rsidRPr="0003613D">
        <w:rPr>
          <w:rFonts w:ascii="Arial" w:eastAsia="Calibri" w:hAnsi="Arial" w:cs="Arial"/>
          <w:bCs/>
          <w:sz w:val="24"/>
          <w:szCs w:val="24"/>
        </w:rPr>
        <w:t xml:space="preserve"> Ranked 19th in 2025, improving from 12th in 2019.</w:t>
      </w:r>
    </w:p>
    <w:p w14:paraId="1196921D" w14:textId="11374272" w:rsidR="004729DF" w:rsidRPr="0003613D" w:rsidRDefault="004729DF" w:rsidP="004729DF">
      <w:pPr>
        <w:pStyle w:val="ListParagraph"/>
        <w:numPr>
          <w:ilvl w:val="0"/>
          <w:numId w:val="26"/>
        </w:numPr>
        <w:spacing w:after="0"/>
        <w:rPr>
          <w:rFonts w:ascii="Arial" w:eastAsia="Calibri" w:hAnsi="Arial" w:cs="Arial"/>
          <w:bCs/>
          <w:sz w:val="24"/>
          <w:szCs w:val="24"/>
        </w:rPr>
      </w:pPr>
      <w:r w:rsidRPr="0003613D">
        <w:rPr>
          <w:rFonts w:ascii="Arial" w:eastAsia="Calibri" w:hAnsi="Arial" w:cs="Arial"/>
          <w:b/>
          <w:bCs/>
          <w:sz w:val="24"/>
          <w:szCs w:val="24"/>
        </w:rPr>
        <w:t>Income:</w:t>
      </w:r>
      <w:r w:rsidRPr="0003613D">
        <w:rPr>
          <w:rFonts w:ascii="Arial" w:eastAsia="Calibri" w:hAnsi="Arial" w:cs="Arial"/>
          <w:bCs/>
          <w:sz w:val="24"/>
          <w:szCs w:val="24"/>
        </w:rPr>
        <w:t xml:space="preserve"> Ranked 9th, unchanged from 2019.</w:t>
      </w:r>
    </w:p>
    <w:p w14:paraId="587011BD" w14:textId="4B17DC86" w:rsidR="004729DF" w:rsidRPr="0003613D" w:rsidRDefault="004729DF" w:rsidP="004729DF">
      <w:pPr>
        <w:pStyle w:val="ListParagraph"/>
        <w:numPr>
          <w:ilvl w:val="0"/>
          <w:numId w:val="26"/>
        </w:numPr>
        <w:spacing w:after="0"/>
        <w:rPr>
          <w:rFonts w:ascii="Arial" w:eastAsia="Calibri" w:hAnsi="Arial" w:cs="Arial"/>
          <w:bCs/>
          <w:sz w:val="24"/>
          <w:szCs w:val="24"/>
        </w:rPr>
      </w:pPr>
      <w:r w:rsidRPr="0003613D">
        <w:rPr>
          <w:rFonts w:ascii="Arial" w:eastAsia="Calibri" w:hAnsi="Arial" w:cs="Arial"/>
          <w:b/>
          <w:bCs/>
          <w:sz w:val="24"/>
          <w:szCs w:val="24"/>
        </w:rPr>
        <w:t>Education, Skills and Training:</w:t>
      </w:r>
      <w:r w:rsidRPr="0003613D">
        <w:rPr>
          <w:rFonts w:ascii="Arial" w:eastAsia="Calibri" w:hAnsi="Arial" w:cs="Arial"/>
          <w:bCs/>
          <w:sz w:val="24"/>
          <w:szCs w:val="24"/>
        </w:rPr>
        <w:t xml:space="preserve"> Ranked 23rd, down 2 places since 2019.</w:t>
      </w:r>
    </w:p>
    <w:p w14:paraId="5E656A22" w14:textId="2F66DE45" w:rsidR="004729DF" w:rsidRPr="0003613D" w:rsidRDefault="004729DF" w:rsidP="004729DF">
      <w:pPr>
        <w:pStyle w:val="ListParagraph"/>
        <w:numPr>
          <w:ilvl w:val="0"/>
          <w:numId w:val="26"/>
        </w:numPr>
        <w:spacing w:after="0"/>
        <w:rPr>
          <w:rFonts w:ascii="Arial" w:eastAsia="Calibri" w:hAnsi="Arial" w:cs="Arial"/>
          <w:bCs/>
          <w:sz w:val="24"/>
          <w:szCs w:val="24"/>
        </w:rPr>
      </w:pPr>
      <w:r w:rsidRPr="0003613D">
        <w:rPr>
          <w:rFonts w:ascii="Arial" w:eastAsia="Calibri" w:hAnsi="Arial" w:cs="Arial"/>
          <w:b/>
          <w:bCs/>
          <w:sz w:val="24"/>
          <w:szCs w:val="24"/>
        </w:rPr>
        <w:t>Employment:</w:t>
      </w:r>
      <w:r w:rsidRPr="0003613D">
        <w:rPr>
          <w:rFonts w:ascii="Arial" w:eastAsia="Calibri" w:hAnsi="Arial" w:cs="Arial"/>
          <w:bCs/>
          <w:sz w:val="24"/>
          <w:szCs w:val="24"/>
        </w:rPr>
        <w:t xml:space="preserve"> Ranked 12th, down 4 places since 2019.</w:t>
      </w:r>
    </w:p>
    <w:p w14:paraId="73A57875" w14:textId="7A4C39D0" w:rsidR="004729DF" w:rsidRPr="0003613D" w:rsidRDefault="004729DF" w:rsidP="004729DF">
      <w:pPr>
        <w:pStyle w:val="ListParagraph"/>
        <w:numPr>
          <w:ilvl w:val="0"/>
          <w:numId w:val="26"/>
        </w:numPr>
        <w:spacing w:after="0"/>
        <w:rPr>
          <w:rFonts w:ascii="Arial" w:eastAsia="Calibri" w:hAnsi="Arial" w:cs="Arial"/>
          <w:bCs/>
          <w:sz w:val="24"/>
          <w:szCs w:val="24"/>
        </w:rPr>
      </w:pPr>
      <w:r w:rsidRPr="0003613D">
        <w:rPr>
          <w:rFonts w:ascii="Arial" w:eastAsia="Calibri" w:hAnsi="Arial" w:cs="Arial"/>
          <w:b/>
          <w:bCs/>
          <w:sz w:val="24"/>
          <w:szCs w:val="24"/>
        </w:rPr>
        <w:t>Health and Disability:</w:t>
      </w:r>
      <w:r w:rsidRPr="0003613D">
        <w:rPr>
          <w:rFonts w:ascii="Arial" w:eastAsia="Calibri" w:hAnsi="Arial" w:cs="Arial"/>
          <w:bCs/>
          <w:sz w:val="24"/>
          <w:szCs w:val="24"/>
        </w:rPr>
        <w:t xml:space="preserve"> Ranked 34th, up 1 place since 2019.</w:t>
      </w:r>
    </w:p>
    <w:p w14:paraId="2E0B261A" w14:textId="60FF2194" w:rsidR="004729DF" w:rsidRPr="0003613D" w:rsidRDefault="004729DF" w:rsidP="004729DF">
      <w:pPr>
        <w:pStyle w:val="ListParagraph"/>
        <w:numPr>
          <w:ilvl w:val="0"/>
          <w:numId w:val="26"/>
        </w:numPr>
        <w:spacing w:after="0"/>
        <w:rPr>
          <w:rFonts w:ascii="Arial" w:eastAsia="Calibri" w:hAnsi="Arial" w:cs="Arial"/>
          <w:bCs/>
          <w:sz w:val="24"/>
          <w:szCs w:val="24"/>
        </w:rPr>
      </w:pPr>
      <w:r w:rsidRPr="0003613D">
        <w:rPr>
          <w:rFonts w:ascii="Arial" w:eastAsia="Calibri" w:hAnsi="Arial" w:cs="Arial"/>
          <w:b/>
          <w:bCs/>
          <w:sz w:val="24"/>
          <w:szCs w:val="24"/>
        </w:rPr>
        <w:t>Crime:</w:t>
      </w:r>
      <w:r w:rsidRPr="0003613D">
        <w:rPr>
          <w:rFonts w:ascii="Arial" w:eastAsia="Calibri" w:hAnsi="Arial" w:cs="Arial"/>
          <w:bCs/>
          <w:sz w:val="24"/>
          <w:szCs w:val="24"/>
        </w:rPr>
        <w:t xml:space="preserve"> Ranked 39th, down 36 places since 2019.</w:t>
      </w:r>
    </w:p>
    <w:p w14:paraId="7CC18830" w14:textId="1A4F973C" w:rsidR="004729DF" w:rsidRPr="0003613D" w:rsidRDefault="004729DF" w:rsidP="004729DF">
      <w:pPr>
        <w:pStyle w:val="ListParagraph"/>
        <w:numPr>
          <w:ilvl w:val="0"/>
          <w:numId w:val="26"/>
        </w:numPr>
        <w:spacing w:after="0"/>
        <w:rPr>
          <w:rFonts w:ascii="Arial" w:eastAsia="Calibri" w:hAnsi="Arial" w:cs="Arial"/>
          <w:bCs/>
          <w:sz w:val="24"/>
          <w:szCs w:val="24"/>
        </w:rPr>
      </w:pPr>
      <w:r w:rsidRPr="0003613D">
        <w:rPr>
          <w:rFonts w:ascii="Arial" w:eastAsia="Calibri" w:hAnsi="Arial" w:cs="Arial"/>
          <w:b/>
          <w:bCs/>
          <w:sz w:val="24"/>
          <w:szCs w:val="24"/>
        </w:rPr>
        <w:t>Barriers to Housing and Services:</w:t>
      </w:r>
      <w:r w:rsidRPr="0003613D">
        <w:rPr>
          <w:rFonts w:ascii="Arial" w:eastAsia="Calibri" w:hAnsi="Arial" w:cs="Arial"/>
          <w:bCs/>
          <w:sz w:val="24"/>
          <w:szCs w:val="24"/>
        </w:rPr>
        <w:t xml:space="preserve"> Ranked 145th, down 27 places since 2019.</w:t>
      </w:r>
    </w:p>
    <w:p w14:paraId="7723DE54" w14:textId="0C9F3527" w:rsidR="004729DF" w:rsidRPr="0003613D" w:rsidRDefault="004729DF" w:rsidP="004729DF">
      <w:pPr>
        <w:pStyle w:val="ListParagraph"/>
        <w:numPr>
          <w:ilvl w:val="0"/>
          <w:numId w:val="26"/>
        </w:numPr>
        <w:spacing w:after="0"/>
        <w:rPr>
          <w:rFonts w:ascii="Arial" w:eastAsia="Calibri" w:hAnsi="Arial" w:cs="Arial"/>
          <w:bCs/>
          <w:sz w:val="24"/>
          <w:szCs w:val="24"/>
        </w:rPr>
      </w:pPr>
      <w:r w:rsidRPr="0003613D">
        <w:rPr>
          <w:rFonts w:ascii="Arial" w:eastAsia="Calibri" w:hAnsi="Arial" w:cs="Arial"/>
          <w:b/>
          <w:bCs/>
          <w:sz w:val="24"/>
          <w:szCs w:val="24"/>
        </w:rPr>
        <w:t>Living Environment:</w:t>
      </w:r>
      <w:r w:rsidRPr="0003613D">
        <w:rPr>
          <w:rFonts w:ascii="Arial" w:eastAsia="Calibri" w:hAnsi="Arial" w:cs="Arial"/>
          <w:bCs/>
          <w:sz w:val="24"/>
          <w:szCs w:val="24"/>
        </w:rPr>
        <w:t xml:space="preserve"> Ranked 70th, up 53 places since 2019.</w:t>
      </w:r>
    </w:p>
    <w:p w14:paraId="0F509850" w14:textId="77777777" w:rsidR="004729DF" w:rsidRPr="0003613D" w:rsidRDefault="004729DF">
      <w:pPr>
        <w:rPr>
          <w:rFonts w:ascii="Arial" w:eastAsia="Calibri" w:hAnsi="Arial" w:cs="Arial"/>
          <w:b/>
          <w:sz w:val="24"/>
          <w:szCs w:val="24"/>
        </w:rPr>
      </w:pPr>
    </w:p>
    <w:p w14:paraId="59E7722A" w14:textId="7BA8A1B5" w:rsidR="00452E26" w:rsidRPr="0003613D" w:rsidRDefault="00452E26">
      <w:pPr>
        <w:rPr>
          <w:rFonts w:ascii="Arial" w:eastAsia="Calibri" w:hAnsi="Arial" w:cs="Arial"/>
          <w:b/>
          <w:sz w:val="24"/>
          <w:szCs w:val="24"/>
        </w:rPr>
      </w:pPr>
      <w:r w:rsidRPr="0003613D">
        <w:rPr>
          <w:rFonts w:ascii="Arial" w:eastAsia="Calibri" w:hAnsi="Arial" w:cs="Arial"/>
          <w:b/>
          <w:sz w:val="24"/>
          <w:szCs w:val="24"/>
        </w:rPr>
        <w:t>Fuel Poverty</w:t>
      </w:r>
    </w:p>
    <w:p w14:paraId="4B859E02" w14:textId="5EDB4A1C" w:rsidR="0097202F" w:rsidRPr="0003613D" w:rsidRDefault="00452E26">
      <w:pPr>
        <w:rPr>
          <w:rFonts w:ascii="Arial" w:eastAsia="Calibri" w:hAnsi="Arial" w:cs="Arial"/>
          <w:bCs/>
          <w:sz w:val="24"/>
          <w:szCs w:val="24"/>
        </w:rPr>
      </w:pPr>
      <w:r w:rsidRPr="0003613D">
        <w:rPr>
          <w:rFonts w:ascii="Arial" w:eastAsia="Calibri" w:hAnsi="Arial" w:cs="Arial"/>
          <w:bCs/>
          <w:sz w:val="24"/>
          <w:szCs w:val="24"/>
        </w:rPr>
        <w:t>There is a significant level of fuel poverty in Sandwell, with many households struggling to afford adequate heating and energy costs.</w:t>
      </w:r>
      <w:r w:rsidR="009F36FD" w:rsidRPr="0003613D">
        <w:rPr>
          <w:rFonts w:ascii="Arial" w:eastAsia="Calibri" w:hAnsi="Arial" w:cs="Arial"/>
          <w:bCs/>
          <w:sz w:val="24"/>
          <w:szCs w:val="24"/>
        </w:rPr>
        <w:t xml:space="preserve"> </w:t>
      </w:r>
      <w:r w:rsidR="0097202F" w:rsidRPr="0003613D">
        <w:rPr>
          <w:rFonts w:ascii="Arial" w:eastAsia="Calibri" w:hAnsi="Arial" w:cs="Arial"/>
          <w:bCs/>
          <w:sz w:val="24"/>
          <w:szCs w:val="24"/>
        </w:rPr>
        <w:t>The Fuel Poverty Risk Index names Sandwell as the 6</w:t>
      </w:r>
      <w:r w:rsidR="0097202F" w:rsidRPr="0003613D">
        <w:rPr>
          <w:rFonts w:ascii="Arial" w:eastAsia="Calibri" w:hAnsi="Arial" w:cs="Arial"/>
          <w:bCs/>
          <w:sz w:val="24"/>
          <w:szCs w:val="24"/>
          <w:vertAlign w:val="superscript"/>
        </w:rPr>
        <w:t>th</w:t>
      </w:r>
      <w:r w:rsidR="0097202F" w:rsidRPr="0003613D">
        <w:rPr>
          <w:rFonts w:ascii="Arial" w:eastAsia="Calibri" w:hAnsi="Arial" w:cs="Arial"/>
          <w:bCs/>
          <w:sz w:val="24"/>
          <w:szCs w:val="24"/>
        </w:rPr>
        <w:t xml:space="preserve"> highest risk </w:t>
      </w:r>
      <w:r w:rsidR="009D0F10" w:rsidRPr="0003613D">
        <w:rPr>
          <w:rFonts w:ascii="Arial" w:eastAsia="Calibri" w:hAnsi="Arial" w:cs="Arial"/>
          <w:bCs/>
          <w:sz w:val="24"/>
          <w:szCs w:val="24"/>
        </w:rPr>
        <w:t>area for fuel poverty</w:t>
      </w:r>
      <w:r w:rsidR="0097202F" w:rsidRPr="0003613D">
        <w:rPr>
          <w:rFonts w:ascii="Arial" w:eastAsia="Calibri" w:hAnsi="Arial" w:cs="Arial"/>
          <w:bCs/>
          <w:sz w:val="24"/>
          <w:szCs w:val="24"/>
        </w:rPr>
        <w:t xml:space="preserve"> across </w:t>
      </w:r>
      <w:r w:rsidR="005B7707" w:rsidRPr="0003613D">
        <w:rPr>
          <w:rFonts w:ascii="Arial" w:eastAsia="Calibri" w:hAnsi="Arial" w:cs="Arial"/>
          <w:bCs/>
          <w:sz w:val="24"/>
          <w:szCs w:val="24"/>
        </w:rPr>
        <w:t>294 local authority areas in England</w:t>
      </w:r>
      <w:r w:rsidR="00862F1A" w:rsidRPr="0003613D">
        <w:rPr>
          <w:rFonts w:ascii="Arial" w:eastAsia="Calibri" w:hAnsi="Arial" w:cs="Arial"/>
          <w:bCs/>
          <w:sz w:val="24"/>
          <w:szCs w:val="24"/>
        </w:rPr>
        <w:t xml:space="preserve"> [12].</w:t>
      </w:r>
      <w:r w:rsidR="0097202F" w:rsidRPr="0003613D">
        <w:rPr>
          <w:rFonts w:ascii="Arial" w:eastAsia="Calibri" w:hAnsi="Arial" w:cs="Arial"/>
          <w:bCs/>
          <w:sz w:val="24"/>
          <w:szCs w:val="24"/>
        </w:rPr>
        <w:t xml:space="preserve"> Reasons for this include </w:t>
      </w:r>
      <w:r w:rsidR="009D0F10" w:rsidRPr="0003613D">
        <w:rPr>
          <w:rFonts w:ascii="Arial" w:eastAsia="Calibri" w:hAnsi="Arial" w:cs="Arial"/>
          <w:bCs/>
          <w:sz w:val="24"/>
          <w:szCs w:val="24"/>
        </w:rPr>
        <w:t xml:space="preserve">existing housing that is poorly insulated, </w:t>
      </w:r>
      <w:r w:rsidR="0097202F" w:rsidRPr="0003613D">
        <w:rPr>
          <w:rFonts w:ascii="Arial" w:eastAsia="Calibri" w:hAnsi="Arial" w:cs="Arial"/>
          <w:bCs/>
          <w:sz w:val="24"/>
          <w:szCs w:val="24"/>
        </w:rPr>
        <w:t xml:space="preserve">the </w:t>
      </w:r>
      <w:r w:rsidR="009D0F10" w:rsidRPr="0003613D">
        <w:rPr>
          <w:rFonts w:ascii="Arial" w:eastAsia="Calibri" w:hAnsi="Arial" w:cs="Arial"/>
          <w:bCs/>
          <w:sz w:val="24"/>
          <w:szCs w:val="24"/>
        </w:rPr>
        <w:t xml:space="preserve">rising </w:t>
      </w:r>
      <w:r w:rsidR="0097202F" w:rsidRPr="0003613D">
        <w:rPr>
          <w:rFonts w:ascii="Arial" w:eastAsia="Calibri" w:hAnsi="Arial" w:cs="Arial"/>
          <w:bCs/>
          <w:sz w:val="24"/>
          <w:szCs w:val="24"/>
        </w:rPr>
        <w:t xml:space="preserve">cost of energy and the </w:t>
      </w:r>
      <w:r w:rsidR="009D0F10" w:rsidRPr="0003613D">
        <w:rPr>
          <w:rFonts w:ascii="Arial" w:eastAsia="Calibri" w:hAnsi="Arial" w:cs="Arial"/>
          <w:bCs/>
          <w:sz w:val="24"/>
          <w:szCs w:val="24"/>
        </w:rPr>
        <w:t>higher than average number of residents in the lower quartile mean income range</w:t>
      </w:r>
      <w:r w:rsidR="00862F1A" w:rsidRPr="0003613D">
        <w:rPr>
          <w:rFonts w:ascii="Arial" w:eastAsia="Calibri" w:hAnsi="Arial" w:cs="Arial"/>
          <w:bCs/>
          <w:sz w:val="24"/>
          <w:szCs w:val="24"/>
        </w:rPr>
        <w:t>.</w:t>
      </w:r>
    </w:p>
    <w:p w14:paraId="7C2D522E" w14:textId="0FFDA1EF" w:rsidR="00452E26" w:rsidRPr="0003613D" w:rsidRDefault="009F36FD">
      <w:pPr>
        <w:rPr>
          <w:rFonts w:ascii="Arial" w:eastAsia="Calibri" w:hAnsi="Arial" w:cs="Arial"/>
          <w:bCs/>
          <w:sz w:val="24"/>
          <w:szCs w:val="24"/>
        </w:rPr>
      </w:pPr>
      <w:bookmarkStart w:id="0" w:name="_Hlk194316182"/>
      <w:r w:rsidRPr="0003613D">
        <w:rPr>
          <w:rFonts w:ascii="Arial" w:eastAsia="Calibri" w:hAnsi="Arial" w:cs="Arial"/>
          <w:bCs/>
          <w:sz w:val="24"/>
          <w:szCs w:val="24"/>
        </w:rPr>
        <w:t>The Combined Towns Profile of Sandwell</w:t>
      </w:r>
      <w:bookmarkEnd w:id="0"/>
      <w:r w:rsidRPr="0003613D">
        <w:rPr>
          <w:rFonts w:ascii="Arial" w:eastAsia="Calibri" w:hAnsi="Arial" w:cs="Arial"/>
          <w:bCs/>
          <w:sz w:val="24"/>
          <w:szCs w:val="24"/>
        </w:rPr>
        <w:t xml:space="preserve"> produced in 202</w:t>
      </w:r>
      <w:r w:rsidR="00902CE1" w:rsidRPr="0003613D">
        <w:rPr>
          <w:rFonts w:ascii="Arial" w:eastAsia="Calibri" w:hAnsi="Arial" w:cs="Arial"/>
          <w:bCs/>
          <w:sz w:val="24"/>
          <w:szCs w:val="24"/>
        </w:rPr>
        <w:t>3</w:t>
      </w:r>
      <w:r w:rsidRPr="0003613D">
        <w:rPr>
          <w:rFonts w:ascii="Arial" w:eastAsia="Calibri" w:hAnsi="Arial" w:cs="Arial"/>
          <w:bCs/>
          <w:sz w:val="24"/>
          <w:szCs w:val="24"/>
        </w:rPr>
        <w:t>, highlights that 20.8% of residents in Sandwell are in fuel poverty. This compares to 13.2% across England</w:t>
      </w:r>
      <w:r w:rsidR="00862F1A" w:rsidRPr="0003613D">
        <w:rPr>
          <w:rFonts w:ascii="Arial" w:eastAsia="Calibri" w:hAnsi="Arial" w:cs="Arial"/>
          <w:bCs/>
          <w:sz w:val="24"/>
          <w:szCs w:val="24"/>
        </w:rPr>
        <w:t xml:space="preserve"> [13]</w:t>
      </w:r>
      <w:r w:rsidRPr="0003613D">
        <w:rPr>
          <w:rFonts w:ascii="Arial" w:eastAsia="Calibri" w:hAnsi="Arial" w:cs="Arial"/>
          <w:bCs/>
          <w:sz w:val="24"/>
          <w:szCs w:val="24"/>
        </w:rPr>
        <w:t xml:space="preserve">. The percentage </w:t>
      </w:r>
      <w:r w:rsidR="00902CE1" w:rsidRPr="0003613D">
        <w:rPr>
          <w:rFonts w:ascii="Arial" w:eastAsia="Calibri" w:hAnsi="Arial" w:cs="Arial"/>
          <w:bCs/>
          <w:sz w:val="24"/>
          <w:szCs w:val="24"/>
        </w:rPr>
        <w:t xml:space="preserve">of </w:t>
      </w:r>
      <w:r w:rsidRPr="0003613D">
        <w:rPr>
          <w:rFonts w:ascii="Arial" w:eastAsia="Calibri" w:hAnsi="Arial" w:cs="Arial"/>
          <w:bCs/>
          <w:sz w:val="24"/>
          <w:szCs w:val="24"/>
        </w:rPr>
        <w:t xml:space="preserve">residents in each town in fuel poverty can be found in the </w:t>
      </w:r>
      <w:r w:rsidRPr="0003613D">
        <w:rPr>
          <w:rFonts w:ascii="Arial" w:eastAsia="Calibri" w:hAnsi="Arial" w:cs="Arial"/>
          <w:bCs/>
          <w:sz w:val="24"/>
          <w:szCs w:val="24"/>
        </w:rPr>
        <w:lastRenderedPageBreak/>
        <w:t xml:space="preserve">table below. </w:t>
      </w:r>
      <w:r w:rsidR="00E710D0" w:rsidRPr="0003613D">
        <w:rPr>
          <w:rFonts w:ascii="Arial" w:eastAsia="Calibri" w:hAnsi="Arial" w:cs="Arial"/>
          <w:bCs/>
          <w:sz w:val="24"/>
          <w:szCs w:val="24"/>
        </w:rPr>
        <w:t>Smethwick has the highest percentage of residents in fuel poverty (27.7%).</w:t>
      </w:r>
    </w:p>
    <w:tbl>
      <w:tblPr>
        <w:tblStyle w:val="TableGrid"/>
        <w:tblW w:w="0" w:type="auto"/>
        <w:tblLook w:val="04A0" w:firstRow="1" w:lastRow="0" w:firstColumn="1" w:lastColumn="0" w:noHBand="0" w:noVBand="1"/>
      </w:tblPr>
      <w:tblGrid>
        <w:gridCol w:w="2122"/>
        <w:gridCol w:w="1842"/>
      </w:tblGrid>
      <w:tr w:rsidR="00902CE1" w:rsidRPr="0003613D" w14:paraId="2725DCBA" w14:textId="77777777" w:rsidTr="00902CE1">
        <w:tc>
          <w:tcPr>
            <w:tcW w:w="2122" w:type="dxa"/>
          </w:tcPr>
          <w:p w14:paraId="34931A71" w14:textId="09A39EA0" w:rsidR="00902CE1" w:rsidRPr="0003613D" w:rsidRDefault="00902CE1">
            <w:pPr>
              <w:rPr>
                <w:rFonts w:ascii="Arial" w:eastAsia="Calibri" w:hAnsi="Arial" w:cs="Arial"/>
                <w:b/>
                <w:sz w:val="24"/>
                <w:szCs w:val="24"/>
              </w:rPr>
            </w:pPr>
            <w:r w:rsidRPr="0003613D">
              <w:rPr>
                <w:rFonts w:ascii="Arial" w:eastAsia="Calibri" w:hAnsi="Arial" w:cs="Arial"/>
                <w:b/>
                <w:sz w:val="24"/>
                <w:szCs w:val="24"/>
              </w:rPr>
              <w:t xml:space="preserve">Town </w:t>
            </w:r>
          </w:p>
        </w:tc>
        <w:tc>
          <w:tcPr>
            <w:tcW w:w="1842" w:type="dxa"/>
          </w:tcPr>
          <w:p w14:paraId="0A6A32A7" w14:textId="278A027B" w:rsidR="00902CE1" w:rsidRPr="0003613D" w:rsidRDefault="00902CE1">
            <w:pPr>
              <w:rPr>
                <w:rFonts w:ascii="Arial" w:eastAsia="Calibri" w:hAnsi="Arial" w:cs="Arial"/>
                <w:b/>
                <w:sz w:val="24"/>
                <w:szCs w:val="24"/>
              </w:rPr>
            </w:pPr>
            <w:r w:rsidRPr="0003613D">
              <w:rPr>
                <w:rFonts w:ascii="Arial" w:eastAsia="Calibri" w:hAnsi="Arial" w:cs="Arial"/>
                <w:b/>
                <w:sz w:val="24"/>
                <w:szCs w:val="24"/>
              </w:rPr>
              <w:t>Percentage</w:t>
            </w:r>
          </w:p>
        </w:tc>
      </w:tr>
      <w:tr w:rsidR="00902CE1" w:rsidRPr="0003613D" w14:paraId="34239466" w14:textId="77777777" w:rsidTr="00902CE1">
        <w:tc>
          <w:tcPr>
            <w:tcW w:w="2122" w:type="dxa"/>
          </w:tcPr>
          <w:p w14:paraId="72919DEA" w14:textId="6C71B13B" w:rsidR="00902CE1" w:rsidRPr="0003613D" w:rsidRDefault="00902CE1">
            <w:pPr>
              <w:rPr>
                <w:rFonts w:ascii="Arial" w:eastAsia="Calibri" w:hAnsi="Arial" w:cs="Arial"/>
                <w:bCs/>
                <w:sz w:val="24"/>
                <w:szCs w:val="24"/>
              </w:rPr>
            </w:pPr>
            <w:r w:rsidRPr="0003613D">
              <w:rPr>
                <w:rFonts w:ascii="Arial" w:eastAsia="Calibri" w:hAnsi="Arial" w:cs="Arial"/>
                <w:bCs/>
                <w:sz w:val="24"/>
                <w:szCs w:val="24"/>
              </w:rPr>
              <w:t>Smethwick</w:t>
            </w:r>
          </w:p>
        </w:tc>
        <w:tc>
          <w:tcPr>
            <w:tcW w:w="1842" w:type="dxa"/>
          </w:tcPr>
          <w:p w14:paraId="57640BBF" w14:textId="58129E45" w:rsidR="00902CE1" w:rsidRPr="0003613D" w:rsidRDefault="00902CE1">
            <w:pPr>
              <w:rPr>
                <w:rFonts w:ascii="Arial" w:eastAsia="Calibri" w:hAnsi="Arial" w:cs="Arial"/>
                <w:bCs/>
                <w:sz w:val="24"/>
                <w:szCs w:val="24"/>
              </w:rPr>
            </w:pPr>
            <w:r w:rsidRPr="0003613D">
              <w:rPr>
                <w:rFonts w:ascii="Arial" w:eastAsia="Calibri" w:hAnsi="Arial" w:cs="Arial"/>
                <w:bCs/>
                <w:sz w:val="24"/>
                <w:szCs w:val="24"/>
              </w:rPr>
              <w:t>27.7%</w:t>
            </w:r>
          </w:p>
        </w:tc>
      </w:tr>
      <w:tr w:rsidR="00902CE1" w:rsidRPr="0003613D" w14:paraId="38AFB0F9" w14:textId="77777777" w:rsidTr="00902CE1">
        <w:tc>
          <w:tcPr>
            <w:tcW w:w="2122" w:type="dxa"/>
          </w:tcPr>
          <w:p w14:paraId="5400EA1D" w14:textId="31A40EAE" w:rsidR="00902CE1" w:rsidRPr="0003613D" w:rsidRDefault="00902CE1">
            <w:pPr>
              <w:rPr>
                <w:rFonts w:ascii="Arial" w:eastAsia="Calibri" w:hAnsi="Arial" w:cs="Arial"/>
                <w:bCs/>
                <w:sz w:val="24"/>
                <w:szCs w:val="24"/>
              </w:rPr>
            </w:pPr>
            <w:r w:rsidRPr="0003613D">
              <w:rPr>
                <w:rFonts w:ascii="Arial" w:eastAsia="Calibri" w:hAnsi="Arial" w:cs="Arial"/>
                <w:bCs/>
                <w:sz w:val="24"/>
                <w:szCs w:val="24"/>
              </w:rPr>
              <w:t>Wednesbury</w:t>
            </w:r>
          </w:p>
        </w:tc>
        <w:tc>
          <w:tcPr>
            <w:tcW w:w="1842" w:type="dxa"/>
          </w:tcPr>
          <w:p w14:paraId="42224B4D" w14:textId="58804E52" w:rsidR="00902CE1" w:rsidRPr="0003613D" w:rsidRDefault="000D17C1">
            <w:pPr>
              <w:rPr>
                <w:rFonts w:ascii="Arial" w:eastAsia="Calibri" w:hAnsi="Arial" w:cs="Arial"/>
                <w:bCs/>
                <w:sz w:val="24"/>
                <w:szCs w:val="24"/>
              </w:rPr>
            </w:pPr>
            <w:r w:rsidRPr="0003613D">
              <w:rPr>
                <w:rFonts w:ascii="Arial" w:eastAsia="Calibri" w:hAnsi="Arial" w:cs="Arial"/>
                <w:bCs/>
                <w:sz w:val="24"/>
                <w:szCs w:val="24"/>
              </w:rPr>
              <w:t>23.9%</w:t>
            </w:r>
          </w:p>
        </w:tc>
      </w:tr>
      <w:tr w:rsidR="00902CE1" w:rsidRPr="0003613D" w14:paraId="09951FFD" w14:textId="77777777" w:rsidTr="00902CE1">
        <w:tc>
          <w:tcPr>
            <w:tcW w:w="2122" w:type="dxa"/>
          </w:tcPr>
          <w:p w14:paraId="47251ECB" w14:textId="152C0187" w:rsidR="00902CE1" w:rsidRPr="0003613D" w:rsidRDefault="00902CE1">
            <w:pPr>
              <w:rPr>
                <w:rFonts w:ascii="Arial" w:eastAsia="Calibri" w:hAnsi="Arial" w:cs="Arial"/>
                <w:bCs/>
                <w:sz w:val="24"/>
                <w:szCs w:val="24"/>
              </w:rPr>
            </w:pPr>
            <w:r w:rsidRPr="0003613D">
              <w:rPr>
                <w:rFonts w:ascii="Arial" w:eastAsia="Calibri" w:hAnsi="Arial" w:cs="Arial"/>
                <w:bCs/>
                <w:sz w:val="24"/>
                <w:szCs w:val="24"/>
              </w:rPr>
              <w:t>Tipton</w:t>
            </w:r>
          </w:p>
        </w:tc>
        <w:tc>
          <w:tcPr>
            <w:tcW w:w="1842" w:type="dxa"/>
          </w:tcPr>
          <w:p w14:paraId="761B1F85" w14:textId="65938BC1" w:rsidR="00902CE1" w:rsidRPr="0003613D" w:rsidRDefault="000D17C1">
            <w:pPr>
              <w:rPr>
                <w:rFonts w:ascii="Arial" w:eastAsia="Calibri" w:hAnsi="Arial" w:cs="Arial"/>
                <w:bCs/>
                <w:sz w:val="24"/>
                <w:szCs w:val="24"/>
              </w:rPr>
            </w:pPr>
            <w:r w:rsidRPr="0003613D">
              <w:rPr>
                <w:rFonts w:ascii="Arial" w:eastAsia="Calibri" w:hAnsi="Arial" w:cs="Arial"/>
                <w:bCs/>
                <w:sz w:val="24"/>
                <w:szCs w:val="24"/>
              </w:rPr>
              <w:t>19.8%</w:t>
            </w:r>
          </w:p>
        </w:tc>
      </w:tr>
      <w:tr w:rsidR="00902CE1" w:rsidRPr="0003613D" w14:paraId="0BEB35A5" w14:textId="77777777" w:rsidTr="00902CE1">
        <w:tc>
          <w:tcPr>
            <w:tcW w:w="2122" w:type="dxa"/>
          </w:tcPr>
          <w:p w14:paraId="38F8EB54" w14:textId="46234C4E" w:rsidR="00902CE1" w:rsidRPr="0003613D" w:rsidRDefault="00902CE1">
            <w:pPr>
              <w:rPr>
                <w:rFonts w:ascii="Arial" w:eastAsia="Calibri" w:hAnsi="Arial" w:cs="Arial"/>
                <w:bCs/>
                <w:sz w:val="24"/>
                <w:szCs w:val="24"/>
              </w:rPr>
            </w:pPr>
            <w:r w:rsidRPr="0003613D">
              <w:rPr>
                <w:rFonts w:ascii="Arial" w:eastAsia="Calibri" w:hAnsi="Arial" w:cs="Arial"/>
                <w:bCs/>
                <w:sz w:val="24"/>
                <w:szCs w:val="24"/>
              </w:rPr>
              <w:t>Rowley Regis</w:t>
            </w:r>
          </w:p>
        </w:tc>
        <w:tc>
          <w:tcPr>
            <w:tcW w:w="1842" w:type="dxa"/>
          </w:tcPr>
          <w:p w14:paraId="4068B4C1" w14:textId="7F62CB9D" w:rsidR="00902CE1" w:rsidRPr="0003613D" w:rsidRDefault="000D17C1">
            <w:pPr>
              <w:rPr>
                <w:rFonts w:ascii="Arial" w:eastAsia="Calibri" w:hAnsi="Arial" w:cs="Arial"/>
                <w:bCs/>
                <w:sz w:val="24"/>
                <w:szCs w:val="24"/>
              </w:rPr>
            </w:pPr>
            <w:r w:rsidRPr="0003613D">
              <w:rPr>
                <w:rFonts w:ascii="Arial" w:eastAsia="Calibri" w:hAnsi="Arial" w:cs="Arial"/>
                <w:bCs/>
                <w:sz w:val="24"/>
                <w:szCs w:val="24"/>
              </w:rPr>
              <w:t>19.5%</w:t>
            </w:r>
          </w:p>
        </w:tc>
      </w:tr>
      <w:tr w:rsidR="00902CE1" w:rsidRPr="0003613D" w14:paraId="51288CFF" w14:textId="77777777" w:rsidTr="00902CE1">
        <w:tc>
          <w:tcPr>
            <w:tcW w:w="2122" w:type="dxa"/>
          </w:tcPr>
          <w:p w14:paraId="5975B323" w14:textId="234540F7" w:rsidR="00902CE1" w:rsidRPr="0003613D" w:rsidRDefault="00902CE1">
            <w:pPr>
              <w:rPr>
                <w:rFonts w:ascii="Arial" w:eastAsia="Calibri" w:hAnsi="Arial" w:cs="Arial"/>
                <w:bCs/>
                <w:sz w:val="24"/>
                <w:szCs w:val="24"/>
              </w:rPr>
            </w:pPr>
            <w:r w:rsidRPr="0003613D">
              <w:rPr>
                <w:rFonts w:ascii="Arial" w:eastAsia="Calibri" w:hAnsi="Arial" w:cs="Arial"/>
                <w:bCs/>
                <w:sz w:val="24"/>
                <w:szCs w:val="24"/>
              </w:rPr>
              <w:t>West Bromwich</w:t>
            </w:r>
          </w:p>
        </w:tc>
        <w:tc>
          <w:tcPr>
            <w:tcW w:w="1842" w:type="dxa"/>
          </w:tcPr>
          <w:p w14:paraId="13662866" w14:textId="73189C64" w:rsidR="00902CE1" w:rsidRPr="0003613D" w:rsidRDefault="000D17C1">
            <w:pPr>
              <w:rPr>
                <w:rFonts w:ascii="Arial" w:eastAsia="Calibri" w:hAnsi="Arial" w:cs="Arial"/>
                <w:bCs/>
                <w:sz w:val="24"/>
                <w:szCs w:val="24"/>
              </w:rPr>
            </w:pPr>
            <w:r w:rsidRPr="0003613D">
              <w:rPr>
                <w:rFonts w:ascii="Arial" w:eastAsia="Calibri" w:hAnsi="Arial" w:cs="Arial"/>
                <w:bCs/>
                <w:sz w:val="24"/>
                <w:szCs w:val="24"/>
              </w:rPr>
              <w:t>19.1%</w:t>
            </w:r>
          </w:p>
        </w:tc>
      </w:tr>
      <w:tr w:rsidR="00902CE1" w:rsidRPr="0003613D" w14:paraId="7BE6AA06" w14:textId="77777777" w:rsidTr="00902CE1">
        <w:tc>
          <w:tcPr>
            <w:tcW w:w="2122" w:type="dxa"/>
          </w:tcPr>
          <w:p w14:paraId="12F323FC" w14:textId="2505148D" w:rsidR="00902CE1" w:rsidRPr="0003613D" w:rsidRDefault="00902CE1">
            <w:pPr>
              <w:rPr>
                <w:rFonts w:ascii="Arial" w:eastAsia="Calibri" w:hAnsi="Arial" w:cs="Arial"/>
                <w:bCs/>
                <w:sz w:val="24"/>
                <w:szCs w:val="24"/>
              </w:rPr>
            </w:pPr>
            <w:r w:rsidRPr="0003613D">
              <w:rPr>
                <w:rFonts w:ascii="Arial" w:eastAsia="Calibri" w:hAnsi="Arial" w:cs="Arial"/>
                <w:bCs/>
                <w:sz w:val="24"/>
                <w:szCs w:val="24"/>
              </w:rPr>
              <w:t>Oldbury</w:t>
            </w:r>
          </w:p>
        </w:tc>
        <w:tc>
          <w:tcPr>
            <w:tcW w:w="1842" w:type="dxa"/>
          </w:tcPr>
          <w:p w14:paraId="14B842C8" w14:textId="38F6C002" w:rsidR="00902CE1" w:rsidRPr="0003613D" w:rsidRDefault="000D17C1">
            <w:pPr>
              <w:rPr>
                <w:rFonts w:ascii="Arial" w:eastAsia="Calibri" w:hAnsi="Arial" w:cs="Arial"/>
                <w:bCs/>
                <w:sz w:val="24"/>
                <w:szCs w:val="24"/>
              </w:rPr>
            </w:pPr>
            <w:r w:rsidRPr="0003613D">
              <w:rPr>
                <w:rFonts w:ascii="Arial" w:eastAsia="Calibri" w:hAnsi="Arial" w:cs="Arial"/>
                <w:bCs/>
                <w:sz w:val="24"/>
                <w:szCs w:val="24"/>
              </w:rPr>
              <w:t>18.1%</w:t>
            </w:r>
          </w:p>
        </w:tc>
      </w:tr>
    </w:tbl>
    <w:p w14:paraId="5F1D4202" w14:textId="77777777" w:rsidR="00280E85" w:rsidRPr="0003613D" w:rsidRDefault="00280E85">
      <w:pPr>
        <w:rPr>
          <w:rFonts w:ascii="Arial" w:eastAsia="Calibri" w:hAnsi="Arial" w:cs="Arial"/>
          <w:bCs/>
          <w:sz w:val="24"/>
          <w:szCs w:val="24"/>
        </w:rPr>
      </w:pPr>
    </w:p>
    <w:p w14:paraId="25E13CA7" w14:textId="002C39A8" w:rsidR="00F84C08" w:rsidRPr="0003613D" w:rsidRDefault="00F84C08">
      <w:pPr>
        <w:rPr>
          <w:rFonts w:ascii="Arial" w:eastAsia="Calibri" w:hAnsi="Arial" w:cs="Arial"/>
          <w:bCs/>
          <w:iCs/>
          <w:color w:val="0070C0"/>
          <w:sz w:val="24"/>
          <w:szCs w:val="24"/>
        </w:rPr>
      </w:pPr>
      <w:r w:rsidRPr="0003613D">
        <w:rPr>
          <w:rFonts w:ascii="Arial" w:hAnsi="Arial" w:cs="Arial"/>
          <w:b/>
          <w:bCs/>
          <w:color w:val="0070C0"/>
          <w:sz w:val="32"/>
          <w:szCs w:val="32"/>
          <w:u w:val="single"/>
        </w:rPr>
        <w:t>Sandwell’s Housing Market</w:t>
      </w:r>
      <w:r w:rsidR="00DE12FF" w:rsidRPr="0003613D">
        <w:rPr>
          <w:rFonts w:ascii="Arial" w:eastAsia="Calibri" w:hAnsi="Arial" w:cs="Arial"/>
          <w:bCs/>
          <w:iCs/>
          <w:color w:val="0070C0"/>
          <w:sz w:val="24"/>
          <w:szCs w:val="24"/>
        </w:rPr>
        <w:t xml:space="preserve"> </w:t>
      </w:r>
    </w:p>
    <w:p w14:paraId="47C6EE0B" w14:textId="50A1ACB3" w:rsidR="00B81102" w:rsidRPr="0003613D" w:rsidRDefault="00B81102">
      <w:pPr>
        <w:rPr>
          <w:rFonts w:ascii="Arial" w:eastAsia="Calibri" w:hAnsi="Arial" w:cs="Arial"/>
          <w:bCs/>
          <w:iCs/>
          <w:sz w:val="24"/>
          <w:szCs w:val="24"/>
        </w:rPr>
      </w:pPr>
      <w:r w:rsidRPr="0003613D">
        <w:rPr>
          <w:rFonts w:ascii="Arial" w:eastAsia="Calibri" w:hAnsi="Arial" w:cs="Arial"/>
          <w:bCs/>
          <w:iCs/>
          <w:sz w:val="24"/>
          <w:szCs w:val="24"/>
        </w:rPr>
        <w:t>Sandwell’s housing market has changed significantly over the last decade and continues to evolve. In recent years the private rental market has expanded</w:t>
      </w:r>
      <w:r w:rsidR="008D6049" w:rsidRPr="0003613D">
        <w:rPr>
          <w:rFonts w:ascii="Arial" w:eastAsia="Calibri" w:hAnsi="Arial" w:cs="Arial"/>
          <w:bCs/>
          <w:iCs/>
          <w:sz w:val="24"/>
          <w:szCs w:val="24"/>
        </w:rPr>
        <w:t>, now accounting for 18.6% of properties in Sandwell</w:t>
      </w:r>
      <w:r w:rsidRPr="0003613D">
        <w:rPr>
          <w:rFonts w:ascii="Arial" w:eastAsia="Calibri" w:hAnsi="Arial" w:cs="Arial"/>
          <w:bCs/>
          <w:iCs/>
          <w:sz w:val="24"/>
          <w:szCs w:val="24"/>
        </w:rPr>
        <w:t>, whilst the local authority sector, once the</w:t>
      </w:r>
      <w:r w:rsidR="00484DAA" w:rsidRPr="0003613D">
        <w:rPr>
          <w:rFonts w:ascii="Arial" w:eastAsia="Calibri" w:hAnsi="Arial" w:cs="Arial"/>
          <w:bCs/>
          <w:iCs/>
          <w:sz w:val="24"/>
          <w:szCs w:val="24"/>
        </w:rPr>
        <w:t xml:space="preserve"> largest sector</w:t>
      </w:r>
      <w:r w:rsidRPr="0003613D">
        <w:rPr>
          <w:rFonts w:ascii="Arial" w:eastAsia="Calibri" w:hAnsi="Arial" w:cs="Arial"/>
          <w:bCs/>
          <w:iCs/>
          <w:sz w:val="24"/>
          <w:szCs w:val="24"/>
        </w:rPr>
        <w:t>, continues to decline in number</w:t>
      </w:r>
      <w:r w:rsidR="003C0F31" w:rsidRPr="0003613D">
        <w:rPr>
          <w:rFonts w:ascii="Arial" w:eastAsia="Calibri" w:hAnsi="Arial" w:cs="Arial"/>
          <w:bCs/>
          <w:iCs/>
          <w:sz w:val="24"/>
          <w:szCs w:val="24"/>
        </w:rPr>
        <w:t xml:space="preserve"> [14]</w:t>
      </w:r>
      <w:r w:rsidRPr="0003613D">
        <w:rPr>
          <w:rFonts w:ascii="Arial" w:eastAsia="Calibri" w:hAnsi="Arial" w:cs="Arial"/>
          <w:bCs/>
          <w:iCs/>
          <w:sz w:val="24"/>
          <w:szCs w:val="24"/>
        </w:rPr>
        <w:t xml:space="preserve">. Property values remain low compared to the wider West Midlands region but remain outside the reach of many households living locally. </w:t>
      </w:r>
      <w:r w:rsidR="00170AA6" w:rsidRPr="0003613D">
        <w:rPr>
          <w:rFonts w:ascii="Arial" w:eastAsia="Calibri" w:hAnsi="Arial" w:cs="Arial"/>
          <w:bCs/>
          <w:iCs/>
          <w:sz w:val="24"/>
          <w:szCs w:val="24"/>
        </w:rPr>
        <w:t xml:space="preserve">However, despite a shrinking social housing stock, reducing from 27.5% of all housing in 2011 to 26.6% in 2021, Sandwell had a higher proportion of social rented properties in comparison to </w:t>
      </w:r>
      <w:r w:rsidR="00423FAE" w:rsidRPr="0003613D">
        <w:rPr>
          <w:rFonts w:ascii="Arial" w:eastAsia="Calibri" w:hAnsi="Arial" w:cs="Arial"/>
          <w:bCs/>
          <w:iCs/>
          <w:sz w:val="24"/>
          <w:szCs w:val="24"/>
        </w:rPr>
        <w:t xml:space="preserve">other </w:t>
      </w:r>
      <w:r w:rsidR="00170AA6" w:rsidRPr="0003613D">
        <w:rPr>
          <w:rFonts w:ascii="Arial" w:eastAsia="Calibri" w:hAnsi="Arial" w:cs="Arial"/>
          <w:bCs/>
          <w:iCs/>
          <w:sz w:val="24"/>
          <w:szCs w:val="24"/>
        </w:rPr>
        <w:t>Black Country local authorities</w:t>
      </w:r>
      <w:r w:rsidR="00423FAE" w:rsidRPr="0003613D">
        <w:rPr>
          <w:rFonts w:ascii="Arial" w:eastAsia="Calibri" w:hAnsi="Arial" w:cs="Arial"/>
          <w:bCs/>
          <w:iCs/>
          <w:sz w:val="24"/>
          <w:szCs w:val="24"/>
        </w:rPr>
        <w:t>,</w:t>
      </w:r>
      <w:r w:rsidR="00170AA6" w:rsidRPr="0003613D">
        <w:rPr>
          <w:rFonts w:ascii="Arial" w:eastAsia="Calibri" w:hAnsi="Arial" w:cs="Arial"/>
          <w:bCs/>
          <w:iCs/>
          <w:sz w:val="24"/>
          <w:szCs w:val="24"/>
        </w:rPr>
        <w:t xml:space="preserve"> and</w:t>
      </w:r>
      <w:r w:rsidR="00A30E29" w:rsidRPr="0003613D">
        <w:rPr>
          <w:rFonts w:ascii="Arial" w:eastAsia="Calibri" w:hAnsi="Arial" w:cs="Arial"/>
          <w:bCs/>
          <w:iCs/>
          <w:sz w:val="24"/>
          <w:szCs w:val="24"/>
        </w:rPr>
        <w:t xml:space="preserve"> across</w:t>
      </w:r>
      <w:r w:rsidR="00170AA6" w:rsidRPr="0003613D">
        <w:rPr>
          <w:rFonts w:ascii="Arial" w:eastAsia="Calibri" w:hAnsi="Arial" w:cs="Arial"/>
          <w:bCs/>
          <w:iCs/>
          <w:sz w:val="24"/>
          <w:szCs w:val="24"/>
        </w:rPr>
        <w:t xml:space="preserve"> England and Wales</w:t>
      </w:r>
      <w:r w:rsidR="003C0F31" w:rsidRPr="0003613D">
        <w:rPr>
          <w:rFonts w:ascii="Arial" w:eastAsia="Calibri" w:hAnsi="Arial" w:cs="Arial"/>
          <w:bCs/>
          <w:iCs/>
          <w:sz w:val="24"/>
          <w:szCs w:val="24"/>
        </w:rPr>
        <w:t xml:space="preserve"> [15]</w:t>
      </w:r>
      <w:r w:rsidR="00170AA6" w:rsidRPr="0003613D">
        <w:rPr>
          <w:rFonts w:ascii="Arial" w:eastAsia="Calibri" w:hAnsi="Arial" w:cs="Arial"/>
          <w:bCs/>
          <w:iCs/>
          <w:sz w:val="24"/>
          <w:szCs w:val="24"/>
        </w:rPr>
        <w:t>.</w:t>
      </w:r>
      <w:r w:rsidR="00D05C53" w:rsidRPr="0003613D">
        <w:rPr>
          <w:rFonts w:ascii="Arial" w:eastAsia="Calibri" w:hAnsi="Arial" w:cs="Arial"/>
          <w:bCs/>
          <w:iCs/>
          <w:sz w:val="24"/>
          <w:szCs w:val="24"/>
        </w:rPr>
        <w:t xml:space="preserve"> </w:t>
      </w:r>
    </w:p>
    <w:p w14:paraId="27F93DC8" w14:textId="772E4117" w:rsidR="005F36C5" w:rsidRPr="0003613D" w:rsidRDefault="005F36C5">
      <w:pPr>
        <w:rPr>
          <w:rFonts w:ascii="Arial" w:eastAsia="Calibri" w:hAnsi="Arial" w:cs="Arial"/>
          <w:bCs/>
          <w:iCs/>
          <w:sz w:val="24"/>
          <w:szCs w:val="24"/>
        </w:rPr>
      </w:pPr>
      <w:r w:rsidRPr="0003613D">
        <w:rPr>
          <w:rFonts w:ascii="Arial" w:eastAsia="Calibri" w:hAnsi="Arial" w:cs="Arial"/>
          <w:bCs/>
          <w:iCs/>
          <w:sz w:val="24"/>
          <w:szCs w:val="24"/>
        </w:rPr>
        <w:t xml:space="preserve">The 2021 </w:t>
      </w:r>
      <w:r w:rsidR="00AC0C0E" w:rsidRPr="0003613D">
        <w:rPr>
          <w:rFonts w:ascii="Arial" w:eastAsia="Calibri" w:hAnsi="Arial" w:cs="Arial"/>
          <w:bCs/>
          <w:iCs/>
          <w:sz w:val="24"/>
          <w:szCs w:val="24"/>
        </w:rPr>
        <w:t>C</w:t>
      </w:r>
      <w:r w:rsidRPr="0003613D">
        <w:rPr>
          <w:rFonts w:ascii="Arial" w:eastAsia="Calibri" w:hAnsi="Arial" w:cs="Arial"/>
          <w:bCs/>
          <w:iCs/>
          <w:sz w:val="24"/>
          <w:szCs w:val="24"/>
        </w:rPr>
        <w:t>ensus indicates that there were 134,758 dwellings in Sandwell in 2021</w:t>
      </w:r>
      <w:r w:rsidR="00C165E5" w:rsidRPr="0003613D">
        <w:rPr>
          <w:rFonts w:ascii="Arial" w:eastAsia="Calibri" w:hAnsi="Arial" w:cs="Arial"/>
          <w:bCs/>
          <w:iCs/>
          <w:sz w:val="24"/>
          <w:szCs w:val="24"/>
        </w:rPr>
        <w:t xml:space="preserve"> [16]. </w:t>
      </w:r>
      <w:r w:rsidRPr="0003613D">
        <w:rPr>
          <w:rFonts w:ascii="Arial" w:eastAsia="Calibri" w:hAnsi="Arial" w:cs="Arial"/>
          <w:bCs/>
          <w:iCs/>
          <w:sz w:val="24"/>
          <w:szCs w:val="24"/>
        </w:rPr>
        <w:t xml:space="preserve">The </w:t>
      </w:r>
      <w:r w:rsidR="00BE416E" w:rsidRPr="0003613D">
        <w:rPr>
          <w:rFonts w:ascii="Arial" w:eastAsia="Calibri" w:hAnsi="Arial" w:cs="Arial"/>
          <w:bCs/>
          <w:iCs/>
          <w:sz w:val="24"/>
          <w:szCs w:val="24"/>
        </w:rPr>
        <w:t>C</w:t>
      </w:r>
      <w:r w:rsidRPr="0003613D">
        <w:rPr>
          <w:rFonts w:ascii="Arial" w:eastAsia="Calibri" w:hAnsi="Arial" w:cs="Arial"/>
          <w:bCs/>
          <w:iCs/>
          <w:sz w:val="24"/>
          <w:szCs w:val="24"/>
        </w:rPr>
        <w:t>ensus show</w:t>
      </w:r>
      <w:r w:rsidR="00BE416E" w:rsidRPr="0003613D">
        <w:rPr>
          <w:rFonts w:ascii="Arial" w:eastAsia="Calibri" w:hAnsi="Arial" w:cs="Arial"/>
          <w:bCs/>
          <w:iCs/>
          <w:sz w:val="24"/>
          <w:szCs w:val="24"/>
        </w:rPr>
        <w:t>s</w:t>
      </w:r>
      <w:r w:rsidRPr="0003613D">
        <w:rPr>
          <w:rFonts w:ascii="Arial" w:eastAsia="Calibri" w:hAnsi="Arial" w:cs="Arial"/>
          <w:bCs/>
          <w:iCs/>
          <w:sz w:val="24"/>
          <w:szCs w:val="24"/>
        </w:rPr>
        <w:t xml:space="preserve"> that the number of </w:t>
      </w:r>
      <w:r w:rsidR="00DC0261" w:rsidRPr="0003613D">
        <w:rPr>
          <w:rFonts w:ascii="Arial" w:eastAsia="Calibri" w:hAnsi="Arial" w:cs="Arial"/>
          <w:bCs/>
          <w:iCs/>
          <w:sz w:val="24"/>
          <w:szCs w:val="24"/>
        </w:rPr>
        <w:t xml:space="preserve">dwellings </w:t>
      </w:r>
      <w:r w:rsidRPr="0003613D">
        <w:rPr>
          <w:rFonts w:ascii="Arial" w:eastAsia="Calibri" w:hAnsi="Arial" w:cs="Arial"/>
          <w:bCs/>
          <w:iCs/>
          <w:sz w:val="24"/>
          <w:szCs w:val="24"/>
        </w:rPr>
        <w:t xml:space="preserve">in the </w:t>
      </w:r>
      <w:r w:rsidR="00647475" w:rsidRPr="0003613D">
        <w:rPr>
          <w:rFonts w:ascii="Arial" w:eastAsia="Calibri" w:hAnsi="Arial" w:cs="Arial"/>
          <w:bCs/>
          <w:iCs/>
          <w:sz w:val="24"/>
          <w:szCs w:val="24"/>
        </w:rPr>
        <w:t>b</w:t>
      </w:r>
      <w:r w:rsidRPr="0003613D">
        <w:rPr>
          <w:rFonts w:ascii="Arial" w:eastAsia="Calibri" w:hAnsi="Arial" w:cs="Arial"/>
          <w:bCs/>
          <w:iCs/>
          <w:sz w:val="24"/>
          <w:szCs w:val="24"/>
        </w:rPr>
        <w:t xml:space="preserve">orough grew by 6% between 2011 and 2021 (7,686 dwellings). This growth is lower than that recorded regionally (7.3% across the West Midlands between 2011 and 2021), and nationally (8.5%), over the same time period. </w:t>
      </w:r>
      <w:r w:rsidR="00C266B9" w:rsidRPr="0003613D">
        <w:rPr>
          <w:rFonts w:ascii="Arial" w:eastAsia="Calibri" w:hAnsi="Arial" w:cs="Arial"/>
          <w:bCs/>
          <w:iCs/>
          <w:sz w:val="24"/>
          <w:szCs w:val="24"/>
        </w:rPr>
        <w:t xml:space="preserve">This below-average growth in housing contrasts with Sandwell’s above-average population increase during the same period. The borough’s population grew by 11%, more than double the UK average of </w:t>
      </w:r>
      <w:r w:rsidR="00EF74FC" w:rsidRPr="0003613D">
        <w:rPr>
          <w:rFonts w:ascii="Arial" w:eastAsia="Calibri" w:hAnsi="Arial" w:cs="Arial"/>
          <w:bCs/>
          <w:iCs/>
          <w:sz w:val="24"/>
          <w:szCs w:val="24"/>
        </w:rPr>
        <w:t>6.3</w:t>
      </w:r>
      <w:r w:rsidR="00C266B9" w:rsidRPr="0003613D">
        <w:rPr>
          <w:rFonts w:ascii="Arial" w:eastAsia="Calibri" w:hAnsi="Arial" w:cs="Arial"/>
          <w:bCs/>
          <w:iCs/>
          <w:sz w:val="24"/>
          <w:szCs w:val="24"/>
        </w:rPr>
        <w:t>%.</w:t>
      </w:r>
    </w:p>
    <w:p w14:paraId="73FF1A09" w14:textId="4812CD30" w:rsidR="001D73B4" w:rsidRPr="0003613D" w:rsidRDefault="001D73B4">
      <w:pPr>
        <w:rPr>
          <w:rFonts w:ascii="Arial" w:eastAsia="Calibri" w:hAnsi="Arial" w:cs="Arial"/>
          <w:b/>
          <w:iCs/>
          <w:sz w:val="24"/>
          <w:szCs w:val="24"/>
        </w:rPr>
      </w:pPr>
      <w:r w:rsidRPr="0003613D">
        <w:rPr>
          <w:rFonts w:ascii="Arial" w:eastAsia="Calibri" w:hAnsi="Arial" w:cs="Arial"/>
          <w:b/>
          <w:iCs/>
          <w:sz w:val="24"/>
          <w:szCs w:val="24"/>
        </w:rPr>
        <w:t>Hous</w:t>
      </w:r>
      <w:r w:rsidR="00FA73F4" w:rsidRPr="0003613D">
        <w:rPr>
          <w:rFonts w:ascii="Arial" w:eastAsia="Calibri" w:hAnsi="Arial" w:cs="Arial"/>
          <w:b/>
          <w:iCs/>
          <w:sz w:val="24"/>
          <w:szCs w:val="24"/>
        </w:rPr>
        <w:t>e</w:t>
      </w:r>
      <w:r w:rsidRPr="0003613D">
        <w:rPr>
          <w:rFonts w:ascii="Arial" w:eastAsia="Calibri" w:hAnsi="Arial" w:cs="Arial"/>
          <w:b/>
          <w:iCs/>
          <w:sz w:val="24"/>
          <w:szCs w:val="24"/>
        </w:rPr>
        <w:t xml:space="preserve"> Prices</w:t>
      </w:r>
      <w:r w:rsidR="003B10A9" w:rsidRPr="0003613D">
        <w:rPr>
          <w:rFonts w:ascii="Arial" w:eastAsia="Calibri" w:hAnsi="Arial" w:cs="Arial"/>
          <w:b/>
          <w:iCs/>
          <w:sz w:val="24"/>
          <w:szCs w:val="24"/>
        </w:rPr>
        <w:t xml:space="preserve">, the </w:t>
      </w:r>
      <w:r w:rsidR="00FF7F51" w:rsidRPr="0003613D">
        <w:rPr>
          <w:rFonts w:ascii="Arial" w:eastAsia="Calibri" w:hAnsi="Arial" w:cs="Arial"/>
          <w:b/>
          <w:iCs/>
          <w:sz w:val="24"/>
          <w:szCs w:val="24"/>
        </w:rPr>
        <w:t>R</w:t>
      </w:r>
      <w:r w:rsidR="003B10A9" w:rsidRPr="0003613D">
        <w:rPr>
          <w:rFonts w:ascii="Arial" w:eastAsia="Calibri" w:hAnsi="Arial" w:cs="Arial"/>
          <w:b/>
          <w:iCs/>
          <w:sz w:val="24"/>
          <w:szCs w:val="24"/>
        </w:rPr>
        <w:t xml:space="preserve">ental </w:t>
      </w:r>
      <w:r w:rsidR="00FF7F51" w:rsidRPr="0003613D">
        <w:rPr>
          <w:rFonts w:ascii="Arial" w:eastAsia="Calibri" w:hAnsi="Arial" w:cs="Arial"/>
          <w:b/>
          <w:iCs/>
          <w:sz w:val="24"/>
          <w:szCs w:val="24"/>
        </w:rPr>
        <w:t>M</w:t>
      </w:r>
      <w:r w:rsidR="003B10A9" w:rsidRPr="0003613D">
        <w:rPr>
          <w:rFonts w:ascii="Arial" w:eastAsia="Calibri" w:hAnsi="Arial" w:cs="Arial"/>
          <w:b/>
          <w:iCs/>
          <w:sz w:val="24"/>
          <w:szCs w:val="24"/>
        </w:rPr>
        <w:t>arket and Local Housing Allowance</w:t>
      </w:r>
      <w:r w:rsidRPr="0003613D">
        <w:rPr>
          <w:rFonts w:ascii="Arial" w:eastAsia="Calibri" w:hAnsi="Arial" w:cs="Arial"/>
          <w:b/>
          <w:iCs/>
          <w:sz w:val="24"/>
          <w:szCs w:val="24"/>
        </w:rPr>
        <w:t xml:space="preserve"> </w:t>
      </w:r>
      <w:r w:rsidR="007B3213" w:rsidRPr="0003613D">
        <w:rPr>
          <w:rFonts w:ascii="Arial" w:eastAsia="Calibri" w:hAnsi="Arial" w:cs="Arial"/>
          <w:b/>
          <w:iCs/>
          <w:sz w:val="24"/>
          <w:szCs w:val="24"/>
        </w:rPr>
        <w:t>in Sandwell</w:t>
      </w:r>
    </w:p>
    <w:p w14:paraId="230A0D80" w14:textId="6764B572" w:rsidR="001D73B4" w:rsidRPr="0003613D" w:rsidRDefault="001D73B4">
      <w:pPr>
        <w:rPr>
          <w:rFonts w:ascii="Arial" w:eastAsia="Calibri" w:hAnsi="Arial" w:cs="Arial"/>
          <w:bCs/>
          <w:iCs/>
          <w:sz w:val="24"/>
          <w:szCs w:val="24"/>
        </w:rPr>
      </w:pPr>
      <w:r w:rsidRPr="0003613D">
        <w:rPr>
          <w:rFonts w:ascii="Arial" w:eastAsia="Calibri" w:hAnsi="Arial" w:cs="Arial"/>
          <w:bCs/>
          <w:iCs/>
          <w:sz w:val="24"/>
          <w:szCs w:val="24"/>
        </w:rPr>
        <w:t>The average house price in Sandwell was £199,000 in December 2024, up 2.7% from December 2023. This was lower than the rise in the West Midlands (4.2%) over the same period. Across the West Midlands and UK, the average house price in December 2024 was £244,000 and £271,000 respectively</w:t>
      </w:r>
      <w:r w:rsidR="00F90502" w:rsidRPr="0003613D">
        <w:rPr>
          <w:rFonts w:ascii="Arial" w:eastAsia="Calibri" w:hAnsi="Arial" w:cs="Arial"/>
          <w:bCs/>
          <w:iCs/>
          <w:sz w:val="24"/>
          <w:szCs w:val="24"/>
        </w:rPr>
        <w:t xml:space="preserve"> [17]</w:t>
      </w:r>
      <w:r w:rsidRPr="0003613D">
        <w:rPr>
          <w:rFonts w:ascii="Arial" w:eastAsia="Calibri" w:hAnsi="Arial" w:cs="Arial"/>
          <w:bCs/>
          <w:iCs/>
          <w:sz w:val="24"/>
          <w:szCs w:val="24"/>
        </w:rPr>
        <w:t xml:space="preserve">. </w:t>
      </w:r>
    </w:p>
    <w:p w14:paraId="39CAE454" w14:textId="77777777" w:rsidR="006E729A" w:rsidRPr="0003613D" w:rsidRDefault="006E729A" w:rsidP="006E729A">
      <w:pPr>
        <w:rPr>
          <w:rFonts w:ascii="Arial" w:eastAsia="Calibri" w:hAnsi="Arial" w:cs="Arial"/>
          <w:bCs/>
          <w:iCs/>
          <w:sz w:val="24"/>
          <w:szCs w:val="24"/>
        </w:rPr>
      </w:pPr>
      <w:r w:rsidRPr="0003613D">
        <w:rPr>
          <w:rFonts w:ascii="Arial" w:eastAsia="Calibri" w:hAnsi="Arial" w:cs="Arial"/>
          <w:bCs/>
          <w:iCs/>
          <w:sz w:val="24"/>
          <w:szCs w:val="24"/>
        </w:rPr>
        <w:t>For each property type, average prices as of December 2024 in Sandwell were:</w:t>
      </w:r>
    </w:p>
    <w:p w14:paraId="37A64927" w14:textId="77777777" w:rsidR="006E729A" w:rsidRPr="0003613D" w:rsidRDefault="006E729A" w:rsidP="006E729A">
      <w:pPr>
        <w:numPr>
          <w:ilvl w:val="0"/>
          <w:numId w:val="2"/>
        </w:numPr>
        <w:rPr>
          <w:rFonts w:ascii="Arial" w:eastAsia="Calibri" w:hAnsi="Arial" w:cs="Arial"/>
          <w:bCs/>
          <w:iCs/>
          <w:sz w:val="24"/>
          <w:szCs w:val="24"/>
        </w:rPr>
      </w:pPr>
      <w:r w:rsidRPr="0003613D">
        <w:rPr>
          <w:rFonts w:ascii="Arial" w:eastAsia="Calibri" w:hAnsi="Arial" w:cs="Arial"/>
          <w:bCs/>
          <w:iCs/>
          <w:sz w:val="24"/>
          <w:szCs w:val="24"/>
        </w:rPr>
        <w:t>Detached properties: £317,000</w:t>
      </w:r>
    </w:p>
    <w:p w14:paraId="01512075" w14:textId="77777777" w:rsidR="006E729A" w:rsidRPr="0003613D" w:rsidRDefault="006E729A" w:rsidP="006E729A">
      <w:pPr>
        <w:numPr>
          <w:ilvl w:val="0"/>
          <w:numId w:val="2"/>
        </w:numPr>
        <w:rPr>
          <w:rFonts w:ascii="Arial" w:eastAsia="Calibri" w:hAnsi="Arial" w:cs="Arial"/>
          <w:bCs/>
          <w:iCs/>
          <w:sz w:val="24"/>
          <w:szCs w:val="24"/>
        </w:rPr>
      </w:pPr>
      <w:r w:rsidRPr="0003613D">
        <w:rPr>
          <w:rFonts w:ascii="Arial" w:eastAsia="Calibri" w:hAnsi="Arial" w:cs="Arial"/>
          <w:bCs/>
          <w:iCs/>
          <w:sz w:val="24"/>
          <w:szCs w:val="24"/>
        </w:rPr>
        <w:t>Semi-detached properties: £218,000</w:t>
      </w:r>
    </w:p>
    <w:p w14:paraId="2056E054" w14:textId="77777777" w:rsidR="006E729A" w:rsidRPr="0003613D" w:rsidRDefault="006E729A" w:rsidP="006E729A">
      <w:pPr>
        <w:numPr>
          <w:ilvl w:val="0"/>
          <w:numId w:val="2"/>
        </w:numPr>
        <w:rPr>
          <w:rFonts w:ascii="Arial" w:eastAsia="Calibri" w:hAnsi="Arial" w:cs="Arial"/>
          <w:bCs/>
          <w:iCs/>
          <w:sz w:val="24"/>
          <w:szCs w:val="24"/>
        </w:rPr>
      </w:pPr>
      <w:r w:rsidRPr="0003613D">
        <w:rPr>
          <w:rFonts w:ascii="Arial" w:eastAsia="Calibri" w:hAnsi="Arial" w:cs="Arial"/>
          <w:bCs/>
          <w:iCs/>
          <w:sz w:val="24"/>
          <w:szCs w:val="24"/>
        </w:rPr>
        <w:t>Terraced properties: £184,000</w:t>
      </w:r>
    </w:p>
    <w:p w14:paraId="37320585" w14:textId="18C66D33" w:rsidR="006E729A" w:rsidRPr="0003613D" w:rsidRDefault="006E729A" w:rsidP="006E729A">
      <w:pPr>
        <w:numPr>
          <w:ilvl w:val="0"/>
          <w:numId w:val="2"/>
        </w:numPr>
        <w:rPr>
          <w:rFonts w:ascii="Arial" w:eastAsia="Calibri" w:hAnsi="Arial" w:cs="Arial"/>
          <w:bCs/>
          <w:iCs/>
          <w:sz w:val="24"/>
          <w:szCs w:val="24"/>
        </w:rPr>
      </w:pPr>
      <w:r w:rsidRPr="0003613D">
        <w:rPr>
          <w:rFonts w:ascii="Arial" w:eastAsia="Calibri" w:hAnsi="Arial" w:cs="Arial"/>
          <w:bCs/>
          <w:iCs/>
          <w:sz w:val="24"/>
          <w:szCs w:val="24"/>
        </w:rPr>
        <w:t>Flats and maisonettes: £114,000</w:t>
      </w:r>
    </w:p>
    <w:p w14:paraId="1EC0F08A" w14:textId="0F36126D" w:rsidR="006E729A" w:rsidRPr="0003613D" w:rsidRDefault="006E729A">
      <w:pPr>
        <w:rPr>
          <w:rFonts w:ascii="Arial" w:eastAsia="Calibri" w:hAnsi="Arial" w:cs="Arial"/>
          <w:bCs/>
          <w:iCs/>
          <w:sz w:val="24"/>
          <w:szCs w:val="24"/>
        </w:rPr>
      </w:pPr>
      <w:r w:rsidRPr="0003613D">
        <w:rPr>
          <w:rFonts w:ascii="Arial" w:eastAsia="Calibri" w:hAnsi="Arial" w:cs="Arial"/>
          <w:bCs/>
          <w:iCs/>
          <w:sz w:val="24"/>
          <w:szCs w:val="24"/>
        </w:rPr>
        <w:t>The average monthly private rent in Sandwell was £845 in January 2025. This was an increase from £822 in January 2024, a 2.8% rise.</w:t>
      </w:r>
    </w:p>
    <w:p w14:paraId="53CA0299" w14:textId="04252001" w:rsidR="006E729A" w:rsidRPr="0003613D" w:rsidRDefault="006E729A" w:rsidP="006E729A">
      <w:pPr>
        <w:rPr>
          <w:rFonts w:ascii="Arial" w:eastAsia="Calibri" w:hAnsi="Arial" w:cs="Arial"/>
          <w:bCs/>
          <w:iCs/>
          <w:sz w:val="24"/>
          <w:szCs w:val="24"/>
        </w:rPr>
      </w:pPr>
      <w:r w:rsidRPr="0003613D">
        <w:rPr>
          <w:rFonts w:ascii="Arial" w:eastAsia="Calibri" w:hAnsi="Arial" w:cs="Arial"/>
          <w:bCs/>
          <w:iCs/>
          <w:sz w:val="24"/>
          <w:szCs w:val="24"/>
        </w:rPr>
        <w:lastRenderedPageBreak/>
        <w:t>Across the West Midlands, the average monthly rent was £912, up from £848 a year earlier</w:t>
      </w:r>
      <w:r w:rsidR="00092B82" w:rsidRPr="0003613D">
        <w:rPr>
          <w:rFonts w:ascii="Arial" w:eastAsia="Calibri" w:hAnsi="Arial" w:cs="Arial"/>
          <w:bCs/>
          <w:iCs/>
          <w:sz w:val="24"/>
          <w:szCs w:val="24"/>
        </w:rPr>
        <w:t>, an increase of 7.5%.</w:t>
      </w:r>
    </w:p>
    <w:p w14:paraId="1F9292DF" w14:textId="3FA41BB6" w:rsidR="00390821" w:rsidRPr="0003613D" w:rsidRDefault="006E729A">
      <w:pPr>
        <w:rPr>
          <w:rFonts w:ascii="Arial" w:eastAsia="Calibri" w:hAnsi="Arial" w:cs="Arial"/>
          <w:bCs/>
          <w:iCs/>
          <w:sz w:val="24"/>
          <w:szCs w:val="24"/>
        </w:rPr>
      </w:pPr>
      <w:r w:rsidRPr="0003613D">
        <w:rPr>
          <w:rFonts w:ascii="Arial" w:eastAsia="Calibri" w:hAnsi="Arial" w:cs="Arial"/>
          <w:bCs/>
          <w:iCs/>
          <w:sz w:val="24"/>
          <w:szCs w:val="24"/>
        </w:rPr>
        <w:t>Across Great Britain, the average rent price in January 2025 was £1,332, up from £1,226 in January 2024</w:t>
      </w:r>
      <w:r w:rsidR="00092B82" w:rsidRPr="0003613D">
        <w:rPr>
          <w:rFonts w:ascii="Arial" w:eastAsia="Calibri" w:hAnsi="Arial" w:cs="Arial"/>
          <w:bCs/>
          <w:iCs/>
          <w:sz w:val="24"/>
          <w:szCs w:val="24"/>
        </w:rPr>
        <w:t>, an increase of 8.6%</w:t>
      </w:r>
      <w:r w:rsidR="00F90502" w:rsidRPr="0003613D">
        <w:rPr>
          <w:rFonts w:ascii="Arial" w:eastAsia="Calibri" w:hAnsi="Arial" w:cs="Arial"/>
          <w:bCs/>
          <w:iCs/>
          <w:sz w:val="24"/>
          <w:szCs w:val="24"/>
        </w:rPr>
        <w:t xml:space="preserve"> [18]</w:t>
      </w:r>
      <w:r w:rsidR="00092B82" w:rsidRPr="0003613D">
        <w:rPr>
          <w:rFonts w:ascii="Arial" w:eastAsia="Calibri" w:hAnsi="Arial" w:cs="Arial"/>
          <w:bCs/>
          <w:iCs/>
          <w:sz w:val="24"/>
          <w:szCs w:val="24"/>
        </w:rPr>
        <w:t>.</w:t>
      </w:r>
    </w:p>
    <w:p w14:paraId="2E9E008F" w14:textId="77777777" w:rsidR="007B3213" w:rsidRPr="0003613D" w:rsidRDefault="00092B82">
      <w:pPr>
        <w:rPr>
          <w:rFonts w:ascii="Arial" w:eastAsia="Calibri" w:hAnsi="Arial" w:cs="Arial"/>
          <w:bCs/>
          <w:iCs/>
          <w:sz w:val="24"/>
          <w:szCs w:val="24"/>
        </w:rPr>
      </w:pPr>
      <w:r w:rsidRPr="0003613D">
        <w:rPr>
          <w:rFonts w:ascii="Arial" w:eastAsia="Calibri" w:hAnsi="Arial" w:cs="Arial"/>
          <w:bCs/>
          <w:iCs/>
          <w:sz w:val="24"/>
          <w:szCs w:val="24"/>
        </w:rPr>
        <w:t xml:space="preserve">This indicates that the average monthly rent is increasing slower on average in Sandwell than it is both regionally and nationally. </w:t>
      </w:r>
      <w:r w:rsidR="00D430EC" w:rsidRPr="0003613D">
        <w:rPr>
          <w:rFonts w:ascii="Arial" w:eastAsia="Calibri" w:hAnsi="Arial" w:cs="Arial"/>
          <w:bCs/>
          <w:iCs/>
          <w:sz w:val="24"/>
          <w:szCs w:val="24"/>
        </w:rPr>
        <w:t xml:space="preserve">Despite this, many residents still find themselves unable to afford increasing rents in the private rented sector. </w:t>
      </w:r>
    </w:p>
    <w:p w14:paraId="350CA9FC" w14:textId="53B5F4B3" w:rsidR="00D430EC" w:rsidRPr="0003613D" w:rsidRDefault="00D430EC">
      <w:pPr>
        <w:rPr>
          <w:rFonts w:ascii="Arial" w:eastAsia="Calibri" w:hAnsi="Arial" w:cs="Arial"/>
          <w:bCs/>
          <w:iCs/>
          <w:sz w:val="24"/>
          <w:szCs w:val="24"/>
        </w:rPr>
      </w:pPr>
      <w:r w:rsidRPr="0003613D">
        <w:rPr>
          <w:rFonts w:ascii="Arial" w:eastAsia="Calibri" w:hAnsi="Arial" w:cs="Arial"/>
          <w:bCs/>
          <w:iCs/>
          <w:sz w:val="24"/>
          <w:szCs w:val="24"/>
        </w:rPr>
        <w:t>The Local Housing Allowance</w:t>
      </w:r>
      <w:r w:rsidR="005044A0" w:rsidRPr="0003613D">
        <w:rPr>
          <w:rFonts w:ascii="Arial" w:eastAsia="Calibri" w:hAnsi="Arial" w:cs="Arial"/>
          <w:bCs/>
          <w:iCs/>
          <w:sz w:val="24"/>
          <w:szCs w:val="24"/>
        </w:rPr>
        <w:t xml:space="preserve"> (LHA), a form of housing benefit that supports those on a lower income, has not increased in line with increasing rents in the private rented sector. As a result, many residents have been forced to make up the shortfall between their rent and the LHA from their limited income, often leaving them unable to afford other essentials. This has resulted in an increase in the number of households in debt, rent arrears, and in some cases, becoming homeless. </w:t>
      </w:r>
    </w:p>
    <w:p w14:paraId="4A463F31" w14:textId="0971E607" w:rsidR="005044A0" w:rsidRPr="0003613D" w:rsidRDefault="005044A0" w:rsidP="005044A0">
      <w:pPr>
        <w:rPr>
          <w:rFonts w:ascii="Arial" w:eastAsia="Calibri" w:hAnsi="Arial" w:cs="Arial"/>
          <w:bCs/>
          <w:iCs/>
          <w:sz w:val="24"/>
          <w:szCs w:val="24"/>
        </w:rPr>
      </w:pPr>
      <w:r w:rsidRPr="0003613D">
        <w:rPr>
          <w:rFonts w:ascii="Arial" w:eastAsia="Calibri" w:hAnsi="Arial" w:cs="Arial"/>
          <w:bCs/>
          <w:iCs/>
          <w:sz w:val="24"/>
          <w:szCs w:val="24"/>
        </w:rPr>
        <w:t xml:space="preserve">​The amount you can receive from the Local Housing Allowance in Sandwell depends on your household size, your age, and whether you rent from a private landlord. As of April 2025, the weekly LHA rates for </w:t>
      </w:r>
      <w:r w:rsidR="00520329" w:rsidRPr="0003613D">
        <w:rPr>
          <w:rFonts w:ascii="Arial" w:eastAsia="Calibri" w:hAnsi="Arial" w:cs="Arial"/>
          <w:bCs/>
          <w:iCs/>
          <w:sz w:val="24"/>
          <w:szCs w:val="24"/>
        </w:rPr>
        <w:t xml:space="preserve">residents in </w:t>
      </w:r>
      <w:r w:rsidRPr="0003613D">
        <w:rPr>
          <w:rFonts w:ascii="Arial" w:eastAsia="Calibri" w:hAnsi="Arial" w:cs="Arial"/>
          <w:bCs/>
          <w:iCs/>
          <w:sz w:val="24"/>
          <w:szCs w:val="24"/>
        </w:rPr>
        <w:t>Sandwell and the Black Country are:​</w:t>
      </w:r>
    </w:p>
    <w:p w14:paraId="03F31E03" w14:textId="77777777" w:rsidR="005044A0" w:rsidRPr="0003613D" w:rsidRDefault="005044A0" w:rsidP="005044A0">
      <w:pPr>
        <w:numPr>
          <w:ilvl w:val="0"/>
          <w:numId w:val="19"/>
        </w:numPr>
        <w:rPr>
          <w:rFonts w:ascii="Arial" w:eastAsia="Calibri" w:hAnsi="Arial" w:cs="Arial"/>
          <w:bCs/>
          <w:iCs/>
          <w:sz w:val="24"/>
          <w:szCs w:val="24"/>
        </w:rPr>
      </w:pPr>
      <w:r w:rsidRPr="0003613D">
        <w:rPr>
          <w:rFonts w:ascii="Arial" w:eastAsia="Calibri" w:hAnsi="Arial" w:cs="Arial"/>
          <w:b/>
          <w:bCs/>
          <w:iCs/>
          <w:sz w:val="24"/>
          <w:szCs w:val="24"/>
        </w:rPr>
        <w:t>Shared accommodation (under 35s):</w:t>
      </w:r>
      <w:r w:rsidRPr="0003613D">
        <w:rPr>
          <w:rFonts w:ascii="Arial" w:eastAsia="Calibri" w:hAnsi="Arial" w:cs="Arial"/>
          <w:bCs/>
          <w:iCs/>
          <w:sz w:val="24"/>
          <w:szCs w:val="24"/>
        </w:rPr>
        <w:t xml:space="preserve"> £73.64</w:t>
      </w:r>
    </w:p>
    <w:p w14:paraId="20D2F916" w14:textId="77777777" w:rsidR="005044A0" w:rsidRPr="0003613D" w:rsidRDefault="005044A0" w:rsidP="005044A0">
      <w:pPr>
        <w:numPr>
          <w:ilvl w:val="0"/>
          <w:numId w:val="19"/>
        </w:numPr>
        <w:rPr>
          <w:rFonts w:ascii="Arial" w:eastAsia="Calibri" w:hAnsi="Arial" w:cs="Arial"/>
          <w:bCs/>
          <w:iCs/>
          <w:sz w:val="24"/>
          <w:szCs w:val="24"/>
        </w:rPr>
      </w:pPr>
      <w:r w:rsidRPr="0003613D">
        <w:rPr>
          <w:rFonts w:ascii="Arial" w:eastAsia="Calibri" w:hAnsi="Arial" w:cs="Arial"/>
          <w:b/>
          <w:bCs/>
          <w:iCs/>
          <w:sz w:val="24"/>
          <w:szCs w:val="24"/>
        </w:rPr>
        <w:t>1-bedroom:</w:t>
      </w:r>
      <w:r w:rsidRPr="0003613D">
        <w:rPr>
          <w:rFonts w:ascii="Arial" w:eastAsia="Calibri" w:hAnsi="Arial" w:cs="Arial"/>
          <w:bCs/>
          <w:iCs/>
          <w:sz w:val="24"/>
          <w:szCs w:val="24"/>
        </w:rPr>
        <w:t xml:space="preserve"> £113.92</w:t>
      </w:r>
    </w:p>
    <w:p w14:paraId="58AA89F9" w14:textId="77777777" w:rsidR="005044A0" w:rsidRPr="0003613D" w:rsidRDefault="005044A0" w:rsidP="005044A0">
      <w:pPr>
        <w:numPr>
          <w:ilvl w:val="0"/>
          <w:numId w:val="19"/>
        </w:numPr>
        <w:rPr>
          <w:rFonts w:ascii="Arial" w:eastAsia="Calibri" w:hAnsi="Arial" w:cs="Arial"/>
          <w:bCs/>
          <w:iCs/>
          <w:sz w:val="24"/>
          <w:szCs w:val="24"/>
        </w:rPr>
      </w:pPr>
      <w:r w:rsidRPr="0003613D">
        <w:rPr>
          <w:rFonts w:ascii="Arial" w:eastAsia="Calibri" w:hAnsi="Arial" w:cs="Arial"/>
          <w:b/>
          <w:bCs/>
          <w:iCs/>
          <w:sz w:val="24"/>
          <w:szCs w:val="24"/>
        </w:rPr>
        <w:t>2-bedroom:</w:t>
      </w:r>
      <w:r w:rsidRPr="0003613D">
        <w:rPr>
          <w:rFonts w:ascii="Arial" w:eastAsia="Calibri" w:hAnsi="Arial" w:cs="Arial"/>
          <w:bCs/>
          <w:iCs/>
          <w:sz w:val="24"/>
          <w:szCs w:val="24"/>
        </w:rPr>
        <w:t xml:space="preserve"> £143.84</w:t>
      </w:r>
    </w:p>
    <w:p w14:paraId="217BEC27" w14:textId="77777777" w:rsidR="005044A0" w:rsidRPr="0003613D" w:rsidRDefault="005044A0" w:rsidP="005044A0">
      <w:pPr>
        <w:numPr>
          <w:ilvl w:val="0"/>
          <w:numId w:val="19"/>
        </w:numPr>
        <w:rPr>
          <w:rFonts w:ascii="Arial" w:eastAsia="Calibri" w:hAnsi="Arial" w:cs="Arial"/>
          <w:bCs/>
          <w:iCs/>
          <w:sz w:val="24"/>
          <w:szCs w:val="24"/>
        </w:rPr>
      </w:pPr>
      <w:r w:rsidRPr="0003613D">
        <w:rPr>
          <w:rFonts w:ascii="Arial" w:eastAsia="Calibri" w:hAnsi="Arial" w:cs="Arial"/>
          <w:b/>
          <w:bCs/>
          <w:iCs/>
          <w:sz w:val="24"/>
          <w:szCs w:val="24"/>
        </w:rPr>
        <w:t>3-bedroom:</w:t>
      </w:r>
      <w:r w:rsidRPr="0003613D">
        <w:rPr>
          <w:rFonts w:ascii="Arial" w:eastAsia="Calibri" w:hAnsi="Arial" w:cs="Arial"/>
          <w:bCs/>
          <w:iCs/>
          <w:sz w:val="24"/>
          <w:szCs w:val="24"/>
        </w:rPr>
        <w:t xml:space="preserve"> £172.60</w:t>
      </w:r>
    </w:p>
    <w:p w14:paraId="2E449640" w14:textId="7831B51C" w:rsidR="005044A0" w:rsidRPr="0003613D" w:rsidRDefault="005044A0" w:rsidP="005044A0">
      <w:pPr>
        <w:numPr>
          <w:ilvl w:val="0"/>
          <w:numId w:val="19"/>
        </w:numPr>
        <w:rPr>
          <w:rFonts w:ascii="Arial" w:eastAsia="Calibri" w:hAnsi="Arial" w:cs="Arial"/>
          <w:bCs/>
          <w:iCs/>
          <w:sz w:val="24"/>
          <w:szCs w:val="24"/>
        </w:rPr>
      </w:pPr>
      <w:r w:rsidRPr="0003613D">
        <w:rPr>
          <w:rFonts w:ascii="Arial" w:eastAsia="Calibri" w:hAnsi="Arial" w:cs="Arial"/>
          <w:b/>
          <w:bCs/>
          <w:iCs/>
          <w:sz w:val="24"/>
          <w:szCs w:val="24"/>
        </w:rPr>
        <w:t>4-bedroom:</w:t>
      </w:r>
      <w:r w:rsidRPr="0003613D">
        <w:rPr>
          <w:rFonts w:ascii="Arial" w:eastAsia="Calibri" w:hAnsi="Arial" w:cs="Arial"/>
          <w:bCs/>
          <w:iCs/>
          <w:sz w:val="24"/>
          <w:szCs w:val="24"/>
        </w:rPr>
        <w:t xml:space="preserve"> £212.88</w:t>
      </w:r>
    </w:p>
    <w:p w14:paraId="1D15D0FA" w14:textId="5B65FA58" w:rsidR="00A923D3" w:rsidRPr="0003613D" w:rsidRDefault="00843EF7">
      <w:pPr>
        <w:rPr>
          <w:rFonts w:ascii="Arial" w:eastAsia="Calibri" w:hAnsi="Arial" w:cs="Arial"/>
          <w:b/>
          <w:iCs/>
          <w:sz w:val="24"/>
          <w:szCs w:val="24"/>
        </w:rPr>
      </w:pPr>
      <w:r w:rsidRPr="0003613D">
        <w:rPr>
          <w:rFonts w:ascii="Arial" w:eastAsia="Calibri" w:hAnsi="Arial" w:cs="Arial"/>
          <w:b/>
          <w:iCs/>
          <w:sz w:val="24"/>
          <w:szCs w:val="24"/>
        </w:rPr>
        <w:t xml:space="preserve">Properties and </w:t>
      </w:r>
      <w:r w:rsidR="00A923D3" w:rsidRPr="0003613D">
        <w:rPr>
          <w:rFonts w:ascii="Arial" w:eastAsia="Calibri" w:hAnsi="Arial" w:cs="Arial"/>
          <w:b/>
          <w:iCs/>
          <w:sz w:val="24"/>
          <w:szCs w:val="24"/>
        </w:rPr>
        <w:t>Households in Sandwell</w:t>
      </w:r>
    </w:p>
    <w:p w14:paraId="2EBB75A9" w14:textId="3F4E7C61" w:rsidR="00843EF7" w:rsidRPr="0003613D" w:rsidRDefault="00A923D3">
      <w:pPr>
        <w:rPr>
          <w:rFonts w:ascii="Arial" w:eastAsia="Calibri" w:hAnsi="Arial" w:cs="Arial"/>
          <w:bCs/>
          <w:iCs/>
          <w:color w:val="000000" w:themeColor="text1"/>
          <w:sz w:val="24"/>
          <w:szCs w:val="24"/>
        </w:rPr>
      </w:pPr>
      <w:r w:rsidRPr="0003613D">
        <w:rPr>
          <w:rFonts w:ascii="Arial" w:eastAsia="Calibri" w:hAnsi="Arial" w:cs="Arial"/>
          <w:bCs/>
          <w:iCs/>
          <w:color w:val="000000" w:themeColor="text1"/>
          <w:sz w:val="24"/>
          <w:szCs w:val="24"/>
        </w:rPr>
        <w:t>Across Sandwell, 53.7% of households owned and occupied their own property. 26.6% of properties are socially rented, and 18.6% privately rented</w:t>
      </w:r>
      <w:r w:rsidR="00D471AE" w:rsidRPr="0003613D">
        <w:rPr>
          <w:rFonts w:ascii="Arial" w:eastAsia="Calibri" w:hAnsi="Arial" w:cs="Arial"/>
          <w:bCs/>
          <w:iCs/>
          <w:color w:val="000000" w:themeColor="text1"/>
          <w:sz w:val="24"/>
          <w:szCs w:val="24"/>
        </w:rPr>
        <w:t xml:space="preserve"> [19]</w:t>
      </w:r>
      <w:r w:rsidRPr="0003613D">
        <w:rPr>
          <w:rFonts w:ascii="Arial" w:eastAsia="Calibri" w:hAnsi="Arial" w:cs="Arial"/>
          <w:bCs/>
          <w:iCs/>
          <w:color w:val="000000" w:themeColor="text1"/>
          <w:sz w:val="24"/>
          <w:szCs w:val="24"/>
        </w:rPr>
        <w:t>.</w:t>
      </w:r>
      <w:r w:rsidR="00843EF7" w:rsidRPr="0003613D">
        <w:rPr>
          <w:rFonts w:ascii="Arial" w:eastAsia="Calibri" w:hAnsi="Arial" w:cs="Arial"/>
          <w:bCs/>
          <w:iCs/>
          <w:color w:val="000000" w:themeColor="text1"/>
          <w:sz w:val="24"/>
          <w:szCs w:val="24"/>
        </w:rPr>
        <w:t xml:space="preserve"> This can be viewed in the pie chart below. </w:t>
      </w:r>
    </w:p>
    <w:p w14:paraId="5CAEF223" w14:textId="4C639FE6" w:rsidR="00843EF7" w:rsidRPr="0003613D" w:rsidRDefault="00843EF7" w:rsidP="00AF7272">
      <w:pPr>
        <w:jc w:val="center"/>
        <w:rPr>
          <w:rFonts w:ascii="Arial" w:eastAsia="Calibri" w:hAnsi="Arial" w:cs="Arial"/>
          <w:bCs/>
          <w:iCs/>
          <w:color w:val="000000" w:themeColor="text1"/>
          <w:sz w:val="24"/>
          <w:szCs w:val="24"/>
        </w:rPr>
      </w:pPr>
      <w:r w:rsidRPr="0003613D">
        <w:rPr>
          <w:rFonts w:ascii="Arial" w:eastAsia="Calibri" w:hAnsi="Arial" w:cs="Arial"/>
          <w:bCs/>
          <w:iCs/>
          <w:noProof/>
          <w:color w:val="000000" w:themeColor="text1"/>
          <w:sz w:val="24"/>
          <w:szCs w:val="24"/>
        </w:rPr>
        <w:drawing>
          <wp:inline distT="0" distB="0" distL="0" distR="0" wp14:anchorId="24FA1299" wp14:editId="1201B91E">
            <wp:extent cx="4393147" cy="2654300"/>
            <wp:effectExtent l="0" t="0" r="7620" b="0"/>
            <wp:docPr id="1949979843" name="Picture 1" descr="A pie chart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79843" name="Picture 1" descr="A pie chart with numbers and text&#10;&#10;AI-generated content may be incorrect."/>
                    <pic:cNvPicPr/>
                  </pic:nvPicPr>
                  <pic:blipFill>
                    <a:blip r:embed="rId14"/>
                    <a:stretch>
                      <a:fillRect/>
                    </a:stretch>
                  </pic:blipFill>
                  <pic:spPr>
                    <a:xfrm>
                      <a:off x="0" y="0"/>
                      <a:ext cx="4410335" cy="2664685"/>
                    </a:xfrm>
                    <a:prstGeom prst="rect">
                      <a:avLst/>
                    </a:prstGeom>
                  </pic:spPr>
                </pic:pic>
              </a:graphicData>
            </a:graphic>
          </wp:inline>
        </w:drawing>
      </w:r>
    </w:p>
    <w:p w14:paraId="6D769C3F" w14:textId="0FBC3E1F" w:rsidR="00843EF7" w:rsidRPr="0003613D" w:rsidRDefault="007E0EF4">
      <w:pPr>
        <w:rPr>
          <w:rFonts w:ascii="Arial" w:eastAsia="Calibri" w:hAnsi="Arial" w:cs="Arial"/>
          <w:bCs/>
          <w:iCs/>
          <w:color w:val="000000" w:themeColor="text1"/>
          <w:sz w:val="24"/>
          <w:szCs w:val="24"/>
        </w:rPr>
      </w:pPr>
      <w:r w:rsidRPr="0003613D">
        <w:rPr>
          <w:rFonts w:ascii="Arial" w:eastAsia="Calibri" w:hAnsi="Arial" w:cs="Arial"/>
          <w:bCs/>
          <w:iCs/>
          <w:color w:val="000000" w:themeColor="text1"/>
          <w:sz w:val="24"/>
          <w:szCs w:val="24"/>
        </w:rPr>
        <w:lastRenderedPageBreak/>
        <w:t>1.8% of all households in Sandwell are without central heating. The percentage of households was highest in Smethwick (2.1%)</w:t>
      </w:r>
      <w:r w:rsidR="00D471AE" w:rsidRPr="0003613D">
        <w:rPr>
          <w:rFonts w:ascii="Arial" w:eastAsia="Calibri" w:hAnsi="Arial" w:cs="Arial"/>
          <w:bCs/>
          <w:iCs/>
          <w:color w:val="000000" w:themeColor="text1"/>
          <w:sz w:val="24"/>
          <w:szCs w:val="24"/>
        </w:rPr>
        <w:t xml:space="preserve"> [20]</w:t>
      </w:r>
      <w:r w:rsidRPr="0003613D">
        <w:rPr>
          <w:rFonts w:ascii="Arial" w:eastAsia="Calibri" w:hAnsi="Arial" w:cs="Arial"/>
          <w:bCs/>
          <w:iCs/>
          <w:color w:val="000000" w:themeColor="text1"/>
          <w:sz w:val="24"/>
          <w:szCs w:val="24"/>
        </w:rPr>
        <w:t xml:space="preserve">. </w:t>
      </w:r>
    </w:p>
    <w:p w14:paraId="3FA66917" w14:textId="5446D485" w:rsidR="007E0EF4" w:rsidRPr="0003613D" w:rsidRDefault="007E0EF4">
      <w:pPr>
        <w:rPr>
          <w:rFonts w:ascii="Arial" w:eastAsia="Calibri" w:hAnsi="Arial" w:cs="Arial"/>
          <w:bCs/>
          <w:iCs/>
          <w:color w:val="000000" w:themeColor="text1"/>
          <w:sz w:val="24"/>
          <w:szCs w:val="24"/>
        </w:rPr>
      </w:pPr>
      <w:r w:rsidRPr="0003613D">
        <w:rPr>
          <w:rFonts w:ascii="Arial" w:eastAsia="Calibri" w:hAnsi="Arial" w:cs="Arial"/>
          <w:bCs/>
          <w:iCs/>
          <w:color w:val="000000" w:themeColor="text1"/>
          <w:sz w:val="24"/>
          <w:szCs w:val="24"/>
        </w:rPr>
        <w:t>8.2% of all households in Sandwell are overcrowded. This was again highest in Smethwick (11.8%). Wh</w:t>
      </w:r>
      <w:r w:rsidR="009D7707" w:rsidRPr="0003613D">
        <w:rPr>
          <w:rFonts w:ascii="Arial" w:eastAsia="Calibri" w:hAnsi="Arial" w:cs="Arial"/>
          <w:bCs/>
          <w:iCs/>
          <w:color w:val="000000" w:themeColor="text1"/>
          <w:sz w:val="24"/>
          <w:szCs w:val="24"/>
        </w:rPr>
        <w:t xml:space="preserve">ile </w:t>
      </w:r>
      <w:r w:rsidRPr="0003613D">
        <w:rPr>
          <w:rFonts w:ascii="Arial" w:eastAsia="Calibri" w:hAnsi="Arial" w:cs="Arial"/>
          <w:bCs/>
          <w:iCs/>
          <w:color w:val="000000" w:themeColor="text1"/>
          <w:sz w:val="24"/>
          <w:szCs w:val="24"/>
        </w:rPr>
        <w:t>across England and Wales, the proportion of households with fewer bedrooms than required decreased slightly between 2011 and 2021, there was an increase in Sandwell.</w:t>
      </w:r>
    </w:p>
    <w:p w14:paraId="5B75571C" w14:textId="7D6A8220" w:rsidR="003704E0" w:rsidRPr="0003613D" w:rsidRDefault="003704E0">
      <w:pPr>
        <w:rPr>
          <w:rFonts w:ascii="Arial" w:eastAsia="Calibri" w:hAnsi="Arial" w:cs="Arial"/>
          <w:bCs/>
          <w:iCs/>
          <w:color w:val="000000" w:themeColor="text1"/>
          <w:sz w:val="24"/>
          <w:szCs w:val="24"/>
        </w:rPr>
      </w:pPr>
      <w:r w:rsidRPr="0003613D">
        <w:rPr>
          <w:rFonts w:ascii="Arial" w:eastAsia="Calibri" w:hAnsi="Arial" w:cs="Arial"/>
          <w:bCs/>
          <w:iCs/>
          <w:color w:val="000000" w:themeColor="text1"/>
          <w:sz w:val="24"/>
          <w:szCs w:val="24"/>
        </w:rPr>
        <w:t>In 2021, 29.2% of Sandwell’s households were without a car or van. This compares with 23.3% across England &amp; Wales</w:t>
      </w:r>
      <w:r w:rsidR="00D471AE" w:rsidRPr="0003613D">
        <w:rPr>
          <w:rFonts w:ascii="Arial" w:eastAsia="Calibri" w:hAnsi="Arial" w:cs="Arial"/>
          <w:bCs/>
          <w:iCs/>
          <w:color w:val="000000" w:themeColor="text1"/>
          <w:sz w:val="24"/>
          <w:szCs w:val="24"/>
        </w:rPr>
        <w:t xml:space="preserve"> [21]</w:t>
      </w:r>
      <w:r w:rsidRPr="0003613D">
        <w:rPr>
          <w:rFonts w:ascii="Arial" w:eastAsia="Calibri" w:hAnsi="Arial" w:cs="Arial"/>
          <w:bCs/>
          <w:iCs/>
          <w:color w:val="000000" w:themeColor="text1"/>
          <w:sz w:val="24"/>
          <w:szCs w:val="24"/>
        </w:rPr>
        <w:t xml:space="preserve">. </w:t>
      </w:r>
    </w:p>
    <w:p w14:paraId="6C3FE2EC" w14:textId="1E219B50" w:rsidR="00843EF7" w:rsidRPr="0003613D" w:rsidRDefault="003704E0">
      <w:pPr>
        <w:rPr>
          <w:rFonts w:ascii="Arial" w:eastAsia="Calibri" w:hAnsi="Arial" w:cs="Arial"/>
          <w:bCs/>
          <w:iCs/>
          <w:color w:val="000000" w:themeColor="text1"/>
          <w:sz w:val="24"/>
          <w:szCs w:val="24"/>
        </w:rPr>
      </w:pPr>
      <w:r w:rsidRPr="0003613D">
        <w:rPr>
          <w:rFonts w:ascii="Arial" w:eastAsia="Calibri" w:hAnsi="Arial" w:cs="Arial"/>
          <w:bCs/>
          <w:iCs/>
          <w:color w:val="000000" w:themeColor="text1"/>
          <w:sz w:val="24"/>
          <w:szCs w:val="24"/>
        </w:rPr>
        <w:t xml:space="preserve">The bar chart below presents the composition of households in Sandwell according to the 2021 </w:t>
      </w:r>
      <w:r w:rsidR="004B7D44" w:rsidRPr="0003613D">
        <w:rPr>
          <w:rFonts w:ascii="Arial" w:eastAsia="Calibri" w:hAnsi="Arial" w:cs="Arial"/>
          <w:bCs/>
          <w:iCs/>
          <w:color w:val="000000" w:themeColor="text1"/>
          <w:sz w:val="24"/>
          <w:szCs w:val="24"/>
        </w:rPr>
        <w:t>C</w:t>
      </w:r>
      <w:r w:rsidRPr="0003613D">
        <w:rPr>
          <w:rFonts w:ascii="Arial" w:eastAsia="Calibri" w:hAnsi="Arial" w:cs="Arial"/>
          <w:bCs/>
          <w:iCs/>
          <w:color w:val="000000" w:themeColor="text1"/>
          <w:sz w:val="24"/>
          <w:szCs w:val="24"/>
        </w:rPr>
        <w:t xml:space="preserve">ensus. </w:t>
      </w:r>
      <w:r w:rsidR="004B7D44" w:rsidRPr="0003613D">
        <w:rPr>
          <w:rFonts w:ascii="Arial" w:eastAsia="Calibri" w:hAnsi="Arial" w:cs="Arial"/>
          <w:bCs/>
          <w:iCs/>
          <w:color w:val="000000" w:themeColor="text1"/>
          <w:sz w:val="24"/>
          <w:szCs w:val="24"/>
        </w:rPr>
        <w:t>The majority of households in Sandwell consist of one person households and married or civil partnership couples</w:t>
      </w:r>
      <w:r w:rsidR="00B3701A" w:rsidRPr="0003613D">
        <w:rPr>
          <w:rFonts w:ascii="Arial" w:eastAsia="Calibri" w:hAnsi="Arial" w:cs="Arial"/>
          <w:bCs/>
          <w:iCs/>
          <w:color w:val="000000" w:themeColor="text1"/>
          <w:sz w:val="24"/>
          <w:szCs w:val="24"/>
        </w:rPr>
        <w:t xml:space="preserve"> [22]</w:t>
      </w:r>
      <w:r w:rsidR="004B7D44" w:rsidRPr="0003613D">
        <w:rPr>
          <w:rFonts w:ascii="Arial" w:eastAsia="Calibri" w:hAnsi="Arial" w:cs="Arial"/>
          <w:bCs/>
          <w:iCs/>
          <w:color w:val="000000" w:themeColor="text1"/>
          <w:sz w:val="24"/>
          <w:szCs w:val="24"/>
        </w:rPr>
        <w:t xml:space="preserve">. </w:t>
      </w:r>
    </w:p>
    <w:p w14:paraId="7A283E6A" w14:textId="77777777" w:rsidR="00146DD6" w:rsidRPr="0003613D" w:rsidRDefault="00146DD6">
      <w:pPr>
        <w:rPr>
          <w:rFonts w:ascii="Arial" w:eastAsia="Calibri" w:hAnsi="Arial" w:cs="Arial"/>
          <w:bCs/>
          <w:iCs/>
          <w:color w:val="000000" w:themeColor="text1"/>
          <w:sz w:val="24"/>
          <w:szCs w:val="24"/>
        </w:rPr>
      </w:pPr>
    </w:p>
    <w:p w14:paraId="3F6E5512" w14:textId="09AC393A" w:rsidR="000726F5" w:rsidRPr="0003613D" w:rsidRDefault="001A476C">
      <w:pPr>
        <w:rPr>
          <w:rFonts w:ascii="Arial" w:eastAsia="Calibri" w:hAnsi="Arial" w:cs="Arial"/>
          <w:bCs/>
          <w:iCs/>
          <w:color w:val="000000" w:themeColor="text1"/>
          <w:sz w:val="24"/>
          <w:szCs w:val="24"/>
        </w:rPr>
      </w:pPr>
      <w:r w:rsidRPr="0003613D">
        <w:rPr>
          <w:rFonts w:ascii="Arial" w:eastAsia="Calibri" w:hAnsi="Arial" w:cs="Arial"/>
          <w:bCs/>
          <w:iCs/>
          <w:noProof/>
          <w:color w:val="000000" w:themeColor="text1"/>
          <w:sz w:val="24"/>
          <w:szCs w:val="24"/>
        </w:rPr>
        <w:drawing>
          <wp:inline distT="0" distB="0" distL="0" distR="0" wp14:anchorId="4ECEEA61" wp14:editId="3C0997AA">
            <wp:extent cx="5531134" cy="3149762"/>
            <wp:effectExtent l="0" t="0" r="0" b="0"/>
            <wp:docPr id="585298628" name="Picture 1"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298628" name="Picture 1" descr="A graph of a number of people&#10;&#10;AI-generated content may be incorrect."/>
                    <pic:cNvPicPr/>
                  </pic:nvPicPr>
                  <pic:blipFill>
                    <a:blip r:embed="rId15"/>
                    <a:stretch>
                      <a:fillRect/>
                    </a:stretch>
                  </pic:blipFill>
                  <pic:spPr>
                    <a:xfrm>
                      <a:off x="0" y="0"/>
                      <a:ext cx="5531134" cy="3149762"/>
                    </a:xfrm>
                    <a:prstGeom prst="rect">
                      <a:avLst/>
                    </a:prstGeom>
                  </pic:spPr>
                </pic:pic>
              </a:graphicData>
            </a:graphic>
          </wp:inline>
        </w:drawing>
      </w:r>
    </w:p>
    <w:p w14:paraId="08661356" w14:textId="5AA97927" w:rsidR="00F84C08" w:rsidRPr="0003613D" w:rsidRDefault="00CD2601" w:rsidP="00CD2601">
      <w:pPr>
        <w:rPr>
          <w:rFonts w:ascii="Arial" w:hAnsi="Arial" w:cs="Arial"/>
          <w:b/>
          <w:bCs/>
          <w:color w:val="0070C0"/>
          <w:sz w:val="28"/>
          <w:szCs w:val="28"/>
          <w:u w:val="single"/>
        </w:rPr>
      </w:pPr>
      <w:bookmarkStart w:id="1" w:name="_Hlk215209105"/>
      <w:r w:rsidRPr="0003613D">
        <w:rPr>
          <w:rFonts w:ascii="Arial" w:hAnsi="Arial" w:cs="Arial"/>
          <w:b/>
          <w:bCs/>
          <w:color w:val="0070C0"/>
          <w:sz w:val="28"/>
          <w:szCs w:val="28"/>
          <w:u w:val="single"/>
        </w:rPr>
        <w:t>Social</w:t>
      </w:r>
      <w:r w:rsidR="00116A3A" w:rsidRPr="0003613D">
        <w:rPr>
          <w:rFonts w:ascii="Arial" w:hAnsi="Arial" w:cs="Arial"/>
          <w:b/>
          <w:bCs/>
          <w:color w:val="0070C0"/>
          <w:sz w:val="28"/>
          <w:szCs w:val="28"/>
          <w:u w:val="single"/>
        </w:rPr>
        <w:t xml:space="preserve"> Housing Stock Profile Across Sandwell</w:t>
      </w:r>
    </w:p>
    <w:p w14:paraId="61D29426" w14:textId="1E705971" w:rsidR="00CE0BEE" w:rsidRPr="0003613D" w:rsidRDefault="00CE0BEE">
      <w:pPr>
        <w:rPr>
          <w:rFonts w:ascii="Arial" w:hAnsi="Arial" w:cs="Arial"/>
          <w:b/>
          <w:bCs/>
          <w:sz w:val="24"/>
          <w:szCs w:val="24"/>
        </w:rPr>
      </w:pPr>
      <w:r w:rsidRPr="0003613D">
        <w:rPr>
          <w:rFonts w:ascii="Arial" w:hAnsi="Arial" w:cs="Arial"/>
          <w:b/>
          <w:bCs/>
          <w:sz w:val="24"/>
          <w:szCs w:val="24"/>
        </w:rPr>
        <w:t>Sandwell Council’s Housing Stock</w:t>
      </w:r>
    </w:p>
    <w:p w14:paraId="2C7EC30E" w14:textId="4939F032" w:rsidR="00276FEC" w:rsidRPr="0003613D" w:rsidRDefault="00276FEC">
      <w:pPr>
        <w:rPr>
          <w:rFonts w:ascii="Arial" w:hAnsi="Arial" w:cs="Arial"/>
          <w:sz w:val="24"/>
          <w:szCs w:val="24"/>
        </w:rPr>
      </w:pPr>
      <w:bookmarkStart w:id="2" w:name="_Hlk193705504"/>
      <w:r w:rsidRPr="0003613D">
        <w:rPr>
          <w:rFonts w:ascii="Arial" w:hAnsi="Arial" w:cs="Arial"/>
          <w:sz w:val="24"/>
          <w:szCs w:val="24"/>
        </w:rPr>
        <w:t>In total, there are 2</w:t>
      </w:r>
      <w:r w:rsidR="007A435B" w:rsidRPr="0003613D">
        <w:rPr>
          <w:rFonts w:ascii="Arial" w:hAnsi="Arial" w:cs="Arial"/>
          <w:sz w:val="24"/>
          <w:szCs w:val="24"/>
        </w:rPr>
        <w:t>7</w:t>
      </w:r>
      <w:r w:rsidRPr="0003613D">
        <w:rPr>
          <w:rFonts w:ascii="Arial" w:hAnsi="Arial" w:cs="Arial"/>
          <w:sz w:val="24"/>
          <w:szCs w:val="24"/>
        </w:rPr>
        <w:t>,</w:t>
      </w:r>
      <w:r w:rsidR="007A435B" w:rsidRPr="0003613D">
        <w:rPr>
          <w:rFonts w:ascii="Arial" w:hAnsi="Arial" w:cs="Arial"/>
          <w:sz w:val="24"/>
          <w:szCs w:val="24"/>
        </w:rPr>
        <w:t>78</w:t>
      </w:r>
      <w:r w:rsidRPr="0003613D">
        <w:rPr>
          <w:rFonts w:ascii="Arial" w:hAnsi="Arial" w:cs="Arial"/>
          <w:sz w:val="24"/>
          <w:szCs w:val="24"/>
        </w:rPr>
        <w:t>1 properties in Sandwell Council</w:t>
      </w:r>
      <w:r w:rsidR="00FC38E7" w:rsidRPr="0003613D">
        <w:rPr>
          <w:rFonts w:ascii="Arial" w:hAnsi="Arial" w:cs="Arial"/>
          <w:sz w:val="24"/>
          <w:szCs w:val="24"/>
        </w:rPr>
        <w:t xml:space="preserve">’s </w:t>
      </w:r>
      <w:r w:rsidRPr="0003613D">
        <w:rPr>
          <w:rFonts w:ascii="Arial" w:hAnsi="Arial" w:cs="Arial"/>
          <w:sz w:val="24"/>
          <w:szCs w:val="24"/>
        </w:rPr>
        <w:t xml:space="preserve">housing stock. </w:t>
      </w:r>
      <w:r w:rsidR="00604E70" w:rsidRPr="0003613D">
        <w:rPr>
          <w:rFonts w:ascii="Arial" w:hAnsi="Arial" w:cs="Arial"/>
          <w:sz w:val="24"/>
          <w:szCs w:val="24"/>
        </w:rPr>
        <w:t>Of these, 26,817 are managed by Sandwell Council, and 964 by PFI Riverside.</w:t>
      </w:r>
    </w:p>
    <w:tbl>
      <w:tblPr>
        <w:tblStyle w:val="TableGrid"/>
        <w:tblW w:w="0" w:type="auto"/>
        <w:jc w:val="center"/>
        <w:tblLook w:val="04A0" w:firstRow="1" w:lastRow="0" w:firstColumn="1" w:lastColumn="0" w:noHBand="0" w:noVBand="1"/>
      </w:tblPr>
      <w:tblGrid>
        <w:gridCol w:w="4508"/>
        <w:gridCol w:w="4508"/>
      </w:tblGrid>
      <w:tr w:rsidR="001E2048" w:rsidRPr="0003613D" w14:paraId="4036307E" w14:textId="77777777" w:rsidTr="0000213C">
        <w:trPr>
          <w:jc w:val="center"/>
        </w:trPr>
        <w:tc>
          <w:tcPr>
            <w:tcW w:w="4508" w:type="dxa"/>
          </w:tcPr>
          <w:bookmarkEnd w:id="2"/>
          <w:p w14:paraId="37A36C2D" w14:textId="074D12B2" w:rsidR="001E2048" w:rsidRPr="0003613D" w:rsidRDefault="001E2048">
            <w:pPr>
              <w:rPr>
                <w:rFonts w:ascii="Arial" w:hAnsi="Arial" w:cs="Arial"/>
                <w:b/>
                <w:bCs/>
                <w:sz w:val="24"/>
                <w:szCs w:val="24"/>
              </w:rPr>
            </w:pPr>
            <w:r w:rsidRPr="0003613D">
              <w:rPr>
                <w:rFonts w:ascii="Arial" w:hAnsi="Arial" w:cs="Arial"/>
                <w:b/>
                <w:bCs/>
                <w:sz w:val="24"/>
                <w:szCs w:val="24"/>
              </w:rPr>
              <w:t>Property</w:t>
            </w:r>
            <w:r w:rsidR="003F1619" w:rsidRPr="0003613D">
              <w:rPr>
                <w:rFonts w:ascii="Arial" w:hAnsi="Arial" w:cs="Arial"/>
                <w:b/>
                <w:bCs/>
                <w:sz w:val="24"/>
                <w:szCs w:val="24"/>
              </w:rPr>
              <w:t xml:space="preserve"> Type</w:t>
            </w:r>
          </w:p>
        </w:tc>
        <w:tc>
          <w:tcPr>
            <w:tcW w:w="4508" w:type="dxa"/>
          </w:tcPr>
          <w:p w14:paraId="1379BC36" w14:textId="4D0A11C5" w:rsidR="001E2048" w:rsidRPr="0003613D" w:rsidRDefault="005049CC">
            <w:pPr>
              <w:rPr>
                <w:rFonts w:ascii="Arial" w:hAnsi="Arial" w:cs="Arial"/>
                <w:b/>
                <w:bCs/>
                <w:sz w:val="24"/>
                <w:szCs w:val="24"/>
              </w:rPr>
            </w:pPr>
            <w:r w:rsidRPr="0003613D">
              <w:rPr>
                <w:rFonts w:ascii="Arial" w:hAnsi="Arial" w:cs="Arial"/>
                <w:b/>
                <w:bCs/>
                <w:sz w:val="24"/>
                <w:szCs w:val="24"/>
              </w:rPr>
              <w:t>Number</w:t>
            </w:r>
          </w:p>
        </w:tc>
      </w:tr>
      <w:tr w:rsidR="001E2048" w:rsidRPr="0003613D" w14:paraId="601CA3CE" w14:textId="77777777" w:rsidTr="0000213C">
        <w:trPr>
          <w:jc w:val="center"/>
        </w:trPr>
        <w:tc>
          <w:tcPr>
            <w:tcW w:w="4508" w:type="dxa"/>
          </w:tcPr>
          <w:p w14:paraId="79EF398C" w14:textId="77B997B8" w:rsidR="001E2048" w:rsidRPr="0003613D" w:rsidRDefault="005049CC">
            <w:pPr>
              <w:rPr>
                <w:rFonts w:ascii="Arial" w:hAnsi="Arial" w:cs="Arial"/>
                <w:sz w:val="24"/>
                <w:szCs w:val="24"/>
              </w:rPr>
            </w:pPr>
            <w:r w:rsidRPr="0003613D">
              <w:rPr>
                <w:rFonts w:ascii="Arial" w:hAnsi="Arial" w:cs="Arial"/>
                <w:sz w:val="24"/>
                <w:szCs w:val="24"/>
              </w:rPr>
              <w:t xml:space="preserve">House </w:t>
            </w:r>
          </w:p>
        </w:tc>
        <w:tc>
          <w:tcPr>
            <w:tcW w:w="4508" w:type="dxa"/>
          </w:tcPr>
          <w:p w14:paraId="697F9FA6" w14:textId="50C9592D" w:rsidR="001E2048" w:rsidRPr="0003613D" w:rsidRDefault="005049CC">
            <w:pPr>
              <w:rPr>
                <w:rFonts w:ascii="Arial" w:hAnsi="Arial" w:cs="Arial"/>
                <w:sz w:val="24"/>
                <w:szCs w:val="24"/>
              </w:rPr>
            </w:pPr>
            <w:r w:rsidRPr="0003613D">
              <w:rPr>
                <w:rFonts w:ascii="Arial" w:hAnsi="Arial" w:cs="Arial"/>
                <w:sz w:val="24"/>
                <w:szCs w:val="24"/>
              </w:rPr>
              <w:t>14,720</w:t>
            </w:r>
          </w:p>
        </w:tc>
      </w:tr>
      <w:tr w:rsidR="001E2048" w:rsidRPr="0003613D" w14:paraId="7FD13DF2" w14:textId="77777777" w:rsidTr="0000213C">
        <w:trPr>
          <w:jc w:val="center"/>
        </w:trPr>
        <w:tc>
          <w:tcPr>
            <w:tcW w:w="4508" w:type="dxa"/>
          </w:tcPr>
          <w:p w14:paraId="45C50362" w14:textId="5626AB0F" w:rsidR="001E2048" w:rsidRPr="0003613D" w:rsidRDefault="005049CC">
            <w:pPr>
              <w:rPr>
                <w:rFonts w:ascii="Arial" w:hAnsi="Arial" w:cs="Arial"/>
                <w:sz w:val="24"/>
                <w:szCs w:val="24"/>
              </w:rPr>
            </w:pPr>
            <w:r w:rsidRPr="0003613D">
              <w:rPr>
                <w:rFonts w:ascii="Arial" w:hAnsi="Arial" w:cs="Arial"/>
                <w:sz w:val="24"/>
                <w:szCs w:val="24"/>
              </w:rPr>
              <w:t>Flat</w:t>
            </w:r>
          </w:p>
        </w:tc>
        <w:tc>
          <w:tcPr>
            <w:tcW w:w="4508" w:type="dxa"/>
          </w:tcPr>
          <w:p w14:paraId="321F8F82" w14:textId="712698C6" w:rsidR="001E2048" w:rsidRPr="0003613D" w:rsidRDefault="005049CC">
            <w:pPr>
              <w:rPr>
                <w:rFonts w:ascii="Arial" w:hAnsi="Arial" w:cs="Arial"/>
                <w:sz w:val="24"/>
                <w:szCs w:val="24"/>
              </w:rPr>
            </w:pPr>
            <w:r w:rsidRPr="0003613D">
              <w:rPr>
                <w:rFonts w:ascii="Arial" w:hAnsi="Arial" w:cs="Arial"/>
                <w:sz w:val="24"/>
                <w:szCs w:val="24"/>
              </w:rPr>
              <w:t>10,837</w:t>
            </w:r>
          </w:p>
        </w:tc>
      </w:tr>
      <w:tr w:rsidR="001E2048" w:rsidRPr="0003613D" w14:paraId="4A58806E" w14:textId="77777777" w:rsidTr="0000213C">
        <w:trPr>
          <w:jc w:val="center"/>
        </w:trPr>
        <w:tc>
          <w:tcPr>
            <w:tcW w:w="4508" w:type="dxa"/>
          </w:tcPr>
          <w:p w14:paraId="1942774F" w14:textId="3389F948" w:rsidR="001E2048" w:rsidRPr="0003613D" w:rsidRDefault="005049CC">
            <w:pPr>
              <w:rPr>
                <w:rFonts w:ascii="Arial" w:hAnsi="Arial" w:cs="Arial"/>
                <w:sz w:val="24"/>
                <w:szCs w:val="24"/>
              </w:rPr>
            </w:pPr>
            <w:r w:rsidRPr="0003613D">
              <w:rPr>
                <w:rFonts w:ascii="Arial" w:hAnsi="Arial" w:cs="Arial"/>
                <w:sz w:val="24"/>
                <w:szCs w:val="24"/>
              </w:rPr>
              <w:t>Bungalow</w:t>
            </w:r>
          </w:p>
        </w:tc>
        <w:tc>
          <w:tcPr>
            <w:tcW w:w="4508" w:type="dxa"/>
          </w:tcPr>
          <w:p w14:paraId="25E7D80F" w14:textId="57B5009A" w:rsidR="001E2048" w:rsidRPr="0003613D" w:rsidRDefault="005049CC">
            <w:pPr>
              <w:rPr>
                <w:rFonts w:ascii="Arial" w:hAnsi="Arial" w:cs="Arial"/>
                <w:sz w:val="24"/>
                <w:szCs w:val="24"/>
              </w:rPr>
            </w:pPr>
            <w:r w:rsidRPr="0003613D">
              <w:rPr>
                <w:rFonts w:ascii="Arial" w:hAnsi="Arial" w:cs="Arial"/>
                <w:sz w:val="24"/>
                <w:szCs w:val="24"/>
              </w:rPr>
              <w:t>1</w:t>
            </w:r>
            <w:r w:rsidR="00EF724E" w:rsidRPr="0003613D">
              <w:rPr>
                <w:rFonts w:ascii="Arial" w:hAnsi="Arial" w:cs="Arial"/>
                <w:sz w:val="24"/>
                <w:szCs w:val="24"/>
              </w:rPr>
              <w:t>,</w:t>
            </w:r>
            <w:r w:rsidRPr="0003613D">
              <w:rPr>
                <w:rFonts w:ascii="Arial" w:hAnsi="Arial" w:cs="Arial"/>
                <w:sz w:val="24"/>
                <w:szCs w:val="24"/>
              </w:rPr>
              <w:t>576</w:t>
            </w:r>
          </w:p>
        </w:tc>
      </w:tr>
      <w:tr w:rsidR="001E2048" w:rsidRPr="0003613D" w14:paraId="4D55646C" w14:textId="77777777" w:rsidTr="0000213C">
        <w:trPr>
          <w:jc w:val="center"/>
        </w:trPr>
        <w:tc>
          <w:tcPr>
            <w:tcW w:w="4508" w:type="dxa"/>
          </w:tcPr>
          <w:p w14:paraId="4043D2A7" w14:textId="78623907" w:rsidR="001E2048" w:rsidRPr="0003613D" w:rsidRDefault="005049CC">
            <w:pPr>
              <w:rPr>
                <w:rFonts w:ascii="Arial" w:hAnsi="Arial" w:cs="Arial"/>
                <w:sz w:val="24"/>
                <w:szCs w:val="24"/>
              </w:rPr>
            </w:pPr>
            <w:r w:rsidRPr="0003613D">
              <w:rPr>
                <w:rFonts w:ascii="Arial" w:hAnsi="Arial" w:cs="Arial"/>
                <w:sz w:val="24"/>
                <w:szCs w:val="24"/>
              </w:rPr>
              <w:t>Maisonette</w:t>
            </w:r>
          </w:p>
        </w:tc>
        <w:tc>
          <w:tcPr>
            <w:tcW w:w="4508" w:type="dxa"/>
          </w:tcPr>
          <w:p w14:paraId="04F53095" w14:textId="2A972BF7" w:rsidR="001E2048" w:rsidRPr="0003613D" w:rsidRDefault="005049CC">
            <w:pPr>
              <w:rPr>
                <w:rFonts w:ascii="Arial" w:hAnsi="Arial" w:cs="Arial"/>
                <w:sz w:val="24"/>
                <w:szCs w:val="24"/>
              </w:rPr>
            </w:pPr>
            <w:r w:rsidRPr="0003613D">
              <w:rPr>
                <w:rFonts w:ascii="Arial" w:hAnsi="Arial" w:cs="Arial"/>
                <w:sz w:val="24"/>
                <w:szCs w:val="24"/>
              </w:rPr>
              <w:t>648</w:t>
            </w:r>
          </w:p>
        </w:tc>
      </w:tr>
    </w:tbl>
    <w:p w14:paraId="174FA0D2" w14:textId="77777777" w:rsidR="001E2048" w:rsidRPr="0003613D" w:rsidRDefault="001E2048">
      <w:pPr>
        <w:rPr>
          <w:rFonts w:ascii="Arial" w:hAnsi="Arial" w:cs="Arial"/>
          <w:sz w:val="24"/>
          <w:szCs w:val="24"/>
        </w:rPr>
      </w:pPr>
    </w:p>
    <w:p w14:paraId="7F141188" w14:textId="461EB4A7" w:rsidR="005049CC" w:rsidRPr="0003613D" w:rsidRDefault="005049CC">
      <w:pPr>
        <w:rPr>
          <w:rFonts w:ascii="Arial" w:hAnsi="Arial" w:cs="Arial"/>
          <w:sz w:val="24"/>
          <w:szCs w:val="24"/>
        </w:rPr>
      </w:pPr>
      <w:r w:rsidRPr="0003613D">
        <w:rPr>
          <w:rFonts w:ascii="Arial" w:hAnsi="Arial" w:cs="Arial"/>
          <w:sz w:val="24"/>
          <w:szCs w:val="24"/>
        </w:rPr>
        <w:t xml:space="preserve">The </w:t>
      </w:r>
      <w:r w:rsidR="00B54E34" w:rsidRPr="0003613D">
        <w:rPr>
          <w:rFonts w:ascii="Arial" w:hAnsi="Arial" w:cs="Arial"/>
          <w:sz w:val="24"/>
          <w:szCs w:val="24"/>
        </w:rPr>
        <w:t xml:space="preserve">slight </w:t>
      </w:r>
      <w:r w:rsidRPr="0003613D">
        <w:rPr>
          <w:rFonts w:ascii="Arial" w:hAnsi="Arial" w:cs="Arial"/>
          <w:sz w:val="24"/>
          <w:szCs w:val="24"/>
        </w:rPr>
        <w:t>majority of Sandwell Council’s stock</w:t>
      </w:r>
      <w:r w:rsidR="00B54E34" w:rsidRPr="0003613D">
        <w:rPr>
          <w:rFonts w:ascii="Arial" w:hAnsi="Arial" w:cs="Arial"/>
          <w:sz w:val="24"/>
          <w:szCs w:val="24"/>
        </w:rPr>
        <w:t xml:space="preserve"> exists as housing. Housing makes up 53% of the total stock. 10,837 flats make up 39% of the housing stock. </w:t>
      </w:r>
    </w:p>
    <w:p w14:paraId="6BD3F4F1" w14:textId="0419E0AF" w:rsidR="000726F5" w:rsidRPr="0003613D" w:rsidRDefault="004605D3">
      <w:pPr>
        <w:rPr>
          <w:rFonts w:ascii="Arial" w:hAnsi="Arial" w:cs="Arial"/>
          <w:sz w:val="24"/>
          <w:szCs w:val="24"/>
        </w:rPr>
      </w:pPr>
      <w:r w:rsidRPr="0003613D">
        <w:rPr>
          <w:rFonts w:ascii="Arial" w:hAnsi="Arial" w:cs="Arial"/>
          <w:sz w:val="24"/>
          <w:szCs w:val="24"/>
        </w:rPr>
        <w:lastRenderedPageBreak/>
        <w:t>Of Sandwell Council’s social housing stock, 11,371 properties have 3 bedrooms (40.9%). 8165 properties have 2 bedrooms (29.4%), 7492 properties have 1 bedroom (27%), and 687 properties</w:t>
      </w:r>
      <w:r w:rsidR="001C61FE" w:rsidRPr="0003613D">
        <w:rPr>
          <w:rFonts w:ascii="Arial" w:hAnsi="Arial" w:cs="Arial"/>
          <w:sz w:val="24"/>
          <w:szCs w:val="24"/>
        </w:rPr>
        <w:t xml:space="preserve"> have 4 bedrooms (2.5%). This delineation can be viewed in the pie chart below. 22 properties in the social housing stock have 5 bedrooms or more and 44 are stated to contain no bedrooms. These have been </w:t>
      </w:r>
      <w:r w:rsidR="008D1C3A" w:rsidRPr="0003613D">
        <w:rPr>
          <w:rFonts w:ascii="Arial" w:hAnsi="Arial" w:cs="Arial"/>
          <w:sz w:val="24"/>
          <w:szCs w:val="24"/>
        </w:rPr>
        <w:t>grouped together and labelled as ‘other’ in the</w:t>
      </w:r>
      <w:r w:rsidR="001C61FE" w:rsidRPr="0003613D">
        <w:rPr>
          <w:rFonts w:ascii="Arial" w:hAnsi="Arial" w:cs="Arial"/>
          <w:sz w:val="24"/>
          <w:szCs w:val="24"/>
        </w:rPr>
        <w:t xml:space="preserve"> pie chart due to their low</w:t>
      </w:r>
      <w:r w:rsidR="008D1C3A" w:rsidRPr="0003613D">
        <w:rPr>
          <w:rFonts w:ascii="Arial" w:hAnsi="Arial" w:cs="Arial"/>
          <w:sz w:val="24"/>
          <w:szCs w:val="24"/>
        </w:rPr>
        <w:t xml:space="preserve"> individual</w:t>
      </w:r>
      <w:r w:rsidR="001C61FE" w:rsidRPr="0003613D">
        <w:rPr>
          <w:rFonts w:ascii="Arial" w:hAnsi="Arial" w:cs="Arial"/>
          <w:sz w:val="24"/>
          <w:szCs w:val="24"/>
        </w:rPr>
        <w:t xml:space="preserve"> totals. </w:t>
      </w:r>
    </w:p>
    <w:tbl>
      <w:tblPr>
        <w:tblStyle w:val="TableGrid1"/>
        <w:tblW w:w="5648" w:type="dxa"/>
        <w:jc w:val="center"/>
        <w:tblLook w:val="04A0" w:firstRow="1" w:lastRow="0" w:firstColumn="1" w:lastColumn="0" w:noHBand="0" w:noVBand="1"/>
      </w:tblPr>
      <w:tblGrid>
        <w:gridCol w:w="1826"/>
        <w:gridCol w:w="2258"/>
        <w:gridCol w:w="1564"/>
      </w:tblGrid>
      <w:tr w:rsidR="004E5918" w:rsidRPr="004E5918" w14:paraId="331D77F9" w14:textId="77777777" w:rsidTr="004E5918">
        <w:trPr>
          <w:trHeight w:val="488"/>
          <w:jc w:val="center"/>
        </w:trPr>
        <w:tc>
          <w:tcPr>
            <w:tcW w:w="0" w:type="auto"/>
            <w:hideMark/>
          </w:tcPr>
          <w:bookmarkEnd w:id="1"/>
          <w:p w14:paraId="7121F480" w14:textId="77777777" w:rsidR="004E5918" w:rsidRPr="004E5918" w:rsidRDefault="004E5918" w:rsidP="004E5918">
            <w:pPr>
              <w:spacing w:after="160" w:line="259" w:lineRule="auto"/>
              <w:rPr>
                <w:rFonts w:ascii="Arial" w:hAnsi="Arial" w:cs="Arial"/>
                <w:b/>
                <w:bCs/>
              </w:rPr>
            </w:pPr>
            <w:r w:rsidRPr="004E5918">
              <w:rPr>
                <w:rFonts w:ascii="Arial" w:hAnsi="Arial" w:cs="Arial"/>
                <w:b/>
                <w:bCs/>
              </w:rPr>
              <w:t>Unit Size</w:t>
            </w:r>
          </w:p>
        </w:tc>
        <w:tc>
          <w:tcPr>
            <w:tcW w:w="0" w:type="auto"/>
            <w:hideMark/>
          </w:tcPr>
          <w:p w14:paraId="3EADC511" w14:textId="77777777" w:rsidR="004E5918" w:rsidRPr="004E5918" w:rsidRDefault="004E5918" w:rsidP="004E5918">
            <w:pPr>
              <w:spacing w:after="160" w:line="259" w:lineRule="auto"/>
              <w:rPr>
                <w:rFonts w:ascii="Arial" w:hAnsi="Arial" w:cs="Arial"/>
                <w:b/>
                <w:bCs/>
              </w:rPr>
            </w:pPr>
            <w:r w:rsidRPr="004E5918">
              <w:rPr>
                <w:rFonts w:ascii="Arial" w:hAnsi="Arial" w:cs="Arial"/>
                <w:b/>
                <w:bCs/>
              </w:rPr>
              <w:t>Number of Units</w:t>
            </w:r>
          </w:p>
        </w:tc>
        <w:tc>
          <w:tcPr>
            <w:tcW w:w="0" w:type="auto"/>
            <w:hideMark/>
          </w:tcPr>
          <w:p w14:paraId="2B6DECAD" w14:textId="77777777" w:rsidR="004E5918" w:rsidRPr="004E5918" w:rsidRDefault="004E5918" w:rsidP="004E5918">
            <w:pPr>
              <w:spacing w:after="160" w:line="259" w:lineRule="auto"/>
              <w:rPr>
                <w:rFonts w:ascii="Arial" w:hAnsi="Arial" w:cs="Arial"/>
                <w:b/>
                <w:bCs/>
              </w:rPr>
            </w:pPr>
            <w:r w:rsidRPr="004E5918">
              <w:rPr>
                <w:rFonts w:ascii="Arial" w:hAnsi="Arial" w:cs="Arial"/>
                <w:b/>
                <w:bCs/>
              </w:rPr>
              <w:t>Proportion</w:t>
            </w:r>
          </w:p>
        </w:tc>
      </w:tr>
      <w:tr w:rsidR="004E5918" w:rsidRPr="004E5918" w14:paraId="3528829F" w14:textId="77777777" w:rsidTr="004E5918">
        <w:trPr>
          <w:trHeight w:val="488"/>
          <w:jc w:val="center"/>
        </w:trPr>
        <w:tc>
          <w:tcPr>
            <w:tcW w:w="0" w:type="auto"/>
            <w:hideMark/>
          </w:tcPr>
          <w:p w14:paraId="0C905E1B" w14:textId="77777777" w:rsidR="004E5918" w:rsidRPr="004E5918" w:rsidRDefault="004E5918" w:rsidP="004E5918">
            <w:pPr>
              <w:spacing w:after="160" w:line="259" w:lineRule="auto"/>
              <w:rPr>
                <w:rFonts w:ascii="Arial" w:hAnsi="Arial" w:cs="Arial"/>
              </w:rPr>
            </w:pPr>
            <w:r w:rsidRPr="004E5918">
              <w:rPr>
                <w:rFonts w:ascii="Arial" w:hAnsi="Arial" w:cs="Arial"/>
              </w:rPr>
              <w:t>1 Bedroom</w:t>
            </w:r>
          </w:p>
        </w:tc>
        <w:tc>
          <w:tcPr>
            <w:tcW w:w="0" w:type="auto"/>
            <w:hideMark/>
          </w:tcPr>
          <w:p w14:paraId="1976F2B3" w14:textId="77777777" w:rsidR="004E5918" w:rsidRPr="004E5918" w:rsidRDefault="004E5918" w:rsidP="004E5918">
            <w:pPr>
              <w:spacing w:after="160" w:line="259" w:lineRule="auto"/>
              <w:rPr>
                <w:rFonts w:ascii="Arial" w:hAnsi="Arial" w:cs="Arial"/>
              </w:rPr>
            </w:pPr>
            <w:r w:rsidRPr="004E5918">
              <w:rPr>
                <w:rFonts w:ascii="Arial" w:hAnsi="Arial" w:cs="Arial"/>
              </w:rPr>
              <w:t>7,492</w:t>
            </w:r>
          </w:p>
        </w:tc>
        <w:tc>
          <w:tcPr>
            <w:tcW w:w="0" w:type="auto"/>
            <w:hideMark/>
          </w:tcPr>
          <w:p w14:paraId="03497C0C" w14:textId="77777777" w:rsidR="004E5918" w:rsidRPr="004E5918" w:rsidRDefault="004E5918" w:rsidP="004E5918">
            <w:pPr>
              <w:spacing w:after="160" w:line="259" w:lineRule="auto"/>
              <w:rPr>
                <w:rFonts w:ascii="Arial" w:hAnsi="Arial" w:cs="Arial"/>
              </w:rPr>
            </w:pPr>
            <w:r w:rsidRPr="004E5918">
              <w:rPr>
                <w:rFonts w:ascii="Arial" w:hAnsi="Arial" w:cs="Arial"/>
              </w:rPr>
              <w:t>27.0%</w:t>
            </w:r>
          </w:p>
        </w:tc>
      </w:tr>
      <w:tr w:rsidR="004E5918" w:rsidRPr="004E5918" w14:paraId="5B9DF453" w14:textId="77777777" w:rsidTr="004E5918">
        <w:trPr>
          <w:trHeight w:val="477"/>
          <w:jc w:val="center"/>
        </w:trPr>
        <w:tc>
          <w:tcPr>
            <w:tcW w:w="0" w:type="auto"/>
            <w:hideMark/>
          </w:tcPr>
          <w:p w14:paraId="6E27D252" w14:textId="77777777" w:rsidR="004E5918" w:rsidRPr="004E5918" w:rsidRDefault="004E5918" w:rsidP="004E5918">
            <w:pPr>
              <w:spacing w:after="160" w:line="259" w:lineRule="auto"/>
              <w:rPr>
                <w:rFonts w:ascii="Arial" w:hAnsi="Arial" w:cs="Arial"/>
              </w:rPr>
            </w:pPr>
            <w:r w:rsidRPr="004E5918">
              <w:rPr>
                <w:rFonts w:ascii="Arial" w:hAnsi="Arial" w:cs="Arial"/>
              </w:rPr>
              <w:t>2 Bedroom</w:t>
            </w:r>
          </w:p>
        </w:tc>
        <w:tc>
          <w:tcPr>
            <w:tcW w:w="0" w:type="auto"/>
            <w:hideMark/>
          </w:tcPr>
          <w:p w14:paraId="08BC8C5A" w14:textId="77777777" w:rsidR="004E5918" w:rsidRPr="004E5918" w:rsidRDefault="004E5918" w:rsidP="004E5918">
            <w:pPr>
              <w:spacing w:after="160" w:line="259" w:lineRule="auto"/>
              <w:rPr>
                <w:rFonts w:ascii="Arial" w:hAnsi="Arial" w:cs="Arial"/>
              </w:rPr>
            </w:pPr>
            <w:r w:rsidRPr="004E5918">
              <w:rPr>
                <w:rFonts w:ascii="Arial" w:hAnsi="Arial" w:cs="Arial"/>
              </w:rPr>
              <w:t>8,165</w:t>
            </w:r>
          </w:p>
        </w:tc>
        <w:tc>
          <w:tcPr>
            <w:tcW w:w="0" w:type="auto"/>
            <w:hideMark/>
          </w:tcPr>
          <w:p w14:paraId="44611636" w14:textId="77777777" w:rsidR="004E5918" w:rsidRPr="004E5918" w:rsidRDefault="004E5918" w:rsidP="004E5918">
            <w:pPr>
              <w:spacing w:after="160" w:line="259" w:lineRule="auto"/>
              <w:rPr>
                <w:rFonts w:ascii="Arial" w:hAnsi="Arial" w:cs="Arial"/>
              </w:rPr>
            </w:pPr>
            <w:r w:rsidRPr="004E5918">
              <w:rPr>
                <w:rFonts w:ascii="Arial" w:hAnsi="Arial" w:cs="Arial"/>
              </w:rPr>
              <w:t>29.4%</w:t>
            </w:r>
          </w:p>
        </w:tc>
      </w:tr>
      <w:tr w:rsidR="004E5918" w:rsidRPr="004E5918" w14:paraId="47938F34" w14:textId="77777777" w:rsidTr="004E5918">
        <w:trPr>
          <w:trHeight w:val="488"/>
          <w:jc w:val="center"/>
        </w:trPr>
        <w:tc>
          <w:tcPr>
            <w:tcW w:w="0" w:type="auto"/>
            <w:hideMark/>
          </w:tcPr>
          <w:p w14:paraId="55B304C5" w14:textId="77777777" w:rsidR="004E5918" w:rsidRPr="004E5918" w:rsidRDefault="004E5918" w:rsidP="004E5918">
            <w:pPr>
              <w:spacing w:after="160" w:line="259" w:lineRule="auto"/>
              <w:rPr>
                <w:rFonts w:ascii="Arial" w:hAnsi="Arial" w:cs="Arial"/>
              </w:rPr>
            </w:pPr>
            <w:r w:rsidRPr="004E5918">
              <w:rPr>
                <w:rFonts w:ascii="Arial" w:hAnsi="Arial" w:cs="Arial"/>
              </w:rPr>
              <w:t>3 Bedroom</w:t>
            </w:r>
          </w:p>
        </w:tc>
        <w:tc>
          <w:tcPr>
            <w:tcW w:w="0" w:type="auto"/>
            <w:hideMark/>
          </w:tcPr>
          <w:p w14:paraId="4FCAD3A1" w14:textId="77777777" w:rsidR="004E5918" w:rsidRPr="004E5918" w:rsidRDefault="004E5918" w:rsidP="004E5918">
            <w:pPr>
              <w:spacing w:after="160" w:line="259" w:lineRule="auto"/>
              <w:rPr>
                <w:rFonts w:ascii="Arial" w:hAnsi="Arial" w:cs="Arial"/>
              </w:rPr>
            </w:pPr>
            <w:r w:rsidRPr="004E5918">
              <w:rPr>
                <w:rFonts w:ascii="Arial" w:hAnsi="Arial" w:cs="Arial"/>
              </w:rPr>
              <w:t>11,371</w:t>
            </w:r>
          </w:p>
        </w:tc>
        <w:tc>
          <w:tcPr>
            <w:tcW w:w="0" w:type="auto"/>
            <w:hideMark/>
          </w:tcPr>
          <w:p w14:paraId="3325AE11" w14:textId="77777777" w:rsidR="004E5918" w:rsidRPr="004E5918" w:rsidRDefault="004E5918" w:rsidP="004E5918">
            <w:pPr>
              <w:spacing w:after="160" w:line="259" w:lineRule="auto"/>
              <w:rPr>
                <w:rFonts w:ascii="Arial" w:hAnsi="Arial" w:cs="Arial"/>
              </w:rPr>
            </w:pPr>
            <w:r w:rsidRPr="004E5918">
              <w:rPr>
                <w:rFonts w:ascii="Arial" w:hAnsi="Arial" w:cs="Arial"/>
              </w:rPr>
              <w:t>40.9%</w:t>
            </w:r>
          </w:p>
        </w:tc>
      </w:tr>
      <w:tr w:rsidR="004E5918" w:rsidRPr="004E5918" w14:paraId="68AC84DE" w14:textId="77777777" w:rsidTr="004E5918">
        <w:trPr>
          <w:trHeight w:val="488"/>
          <w:jc w:val="center"/>
        </w:trPr>
        <w:tc>
          <w:tcPr>
            <w:tcW w:w="0" w:type="auto"/>
            <w:hideMark/>
          </w:tcPr>
          <w:p w14:paraId="02E98D3E" w14:textId="77777777" w:rsidR="004E5918" w:rsidRPr="004E5918" w:rsidRDefault="004E5918" w:rsidP="004E5918">
            <w:pPr>
              <w:spacing w:after="160" w:line="259" w:lineRule="auto"/>
              <w:rPr>
                <w:rFonts w:ascii="Arial" w:hAnsi="Arial" w:cs="Arial"/>
              </w:rPr>
            </w:pPr>
            <w:r w:rsidRPr="004E5918">
              <w:rPr>
                <w:rFonts w:ascii="Arial" w:hAnsi="Arial" w:cs="Arial"/>
              </w:rPr>
              <w:t>4 Bedroom</w:t>
            </w:r>
          </w:p>
        </w:tc>
        <w:tc>
          <w:tcPr>
            <w:tcW w:w="0" w:type="auto"/>
            <w:hideMark/>
          </w:tcPr>
          <w:p w14:paraId="54DC44B6" w14:textId="77777777" w:rsidR="004E5918" w:rsidRPr="004E5918" w:rsidRDefault="004E5918" w:rsidP="004E5918">
            <w:pPr>
              <w:spacing w:after="160" w:line="259" w:lineRule="auto"/>
              <w:rPr>
                <w:rFonts w:ascii="Arial" w:hAnsi="Arial" w:cs="Arial"/>
              </w:rPr>
            </w:pPr>
            <w:r w:rsidRPr="004E5918">
              <w:rPr>
                <w:rFonts w:ascii="Arial" w:hAnsi="Arial" w:cs="Arial"/>
              </w:rPr>
              <w:t>687</w:t>
            </w:r>
          </w:p>
        </w:tc>
        <w:tc>
          <w:tcPr>
            <w:tcW w:w="0" w:type="auto"/>
            <w:hideMark/>
          </w:tcPr>
          <w:p w14:paraId="2144D502" w14:textId="77777777" w:rsidR="004E5918" w:rsidRPr="004E5918" w:rsidRDefault="004E5918" w:rsidP="004E5918">
            <w:pPr>
              <w:spacing w:after="160" w:line="259" w:lineRule="auto"/>
              <w:rPr>
                <w:rFonts w:ascii="Arial" w:hAnsi="Arial" w:cs="Arial"/>
              </w:rPr>
            </w:pPr>
            <w:r w:rsidRPr="004E5918">
              <w:rPr>
                <w:rFonts w:ascii="Arial" w:hAnsi="Arial" w:cs="Arial"/>
              </w:rPr>
              <w:t>2.5%</w:t>
            </w:r>
          </w:p>
        </w:tc>
      </w:tr>
      <w:tr w:rsidR="004E5918" w:rsidRPr="004E5918" w14:paraId="63BC09CB" w14:textId="77777777" w:rsidTr="004E5918">
        <w:trPr>
          <w:trHeight w:val="488"/>
          <w:jc w:val="center"/>
        </w:trPr>
        <w:tc>
          <w:tcPr>
            <w:tcW w:w="0" w:type="auto"/>
            <w:hideMark/>
          </w:tcPr>
          <w:p w14:paraId="3D721C01" w14:textId="77777777" w:rsidR="004E5918" w:rsidRPr="004E5918" w:rsidRDefault="004E5918" w:rsidP="004E5918">
            <w:pPr>
              <w:spacing w:after="160" w:line="259" w:lineRule="auto"/>
              <w:rPr>
                <w:rFonts w:ascii="Arial" w:hAnsi="Arial" w:cs="Arial"/>
              </w:rPr>
            </w:pPr>
            <w:r w:rsidRPr="004E5918">
              <w:rPr>
                <w:rFonts w:ascii="Arial" w:hAnsi="Arial" w:cs="Arial"/>
              </w:rPr>
              <w:t>5+ Bedrooms</w:t>
            </w:r>
          </w:p>
        </w:tc>
        <w:tc>
          <w:tcPr>
            <w:tcW w:w="0" w:type="auto"/>
            <w:hideMark/>
          </w:tcPr>
          <w:p w14:paraId="5DA926A8" w14:textId="77777777" w:rsidR="004E5918" w:rsidRPr="004E5918" w:rsidRDefault="004E5918" w:rsidP="004E5918">
            <w:pPr>
              <w:spacing w:after="160" w:line="259" w:lineRule="auto"/>
              <w:rPr>
                <w:rFonts w:ascii="Arial" w:hAnsi="Arial" w:cs="Arial"/>
              </w:rPr>
            </w:pPr>
            <w:r w:rsidRPr="004E5918">
              <w:rPr>
                <w:rFonts w:ascii="Arial" w:hAnsi="Arial" w:cs="Arial"/>
              </w:rPr>
              <w:t>22</w:t>
            </w:r>
          </w:p>
        </w:tc>
        <w:tc>
          <w:tcPr>
            <w:tcW w:w="0" w:type="auto"/>
            <w:hideMark/>
          </w:tcPr>
          <w:p w14:paraId="3D3CE222" w14:textId="77777777" w:rsidR="004E5918" w:rsidRPr="004E5918" w:rsidRDefault="004E5918" w:rsidP="004E5918">
            <w:pPr>
              <w:spacing w:after="160" w:line="259" w:lineRule="auto"/>
              <w:rPr>
                <w:rFonts w:ascii="Arial" w:hAnsi="Arial" w:cs="Arial"/>
              </w:rPr>
            </w:pPr>
            <w:r w:rsidRPr="004E5918">
              <w:rPr>
                <w:rFonts w:ascii="Arial" w:hAnsi="Arial" w:cs="Arial"/>
              </w:rPr>
              <w:t>0.1%</w:t>
            </w:r>
          </w:p>
        </w:tc>
      </w:tr>
      <w:tr w:rsidR="004E5918" w:rsidRPr="004E5918" w14:paraId="18470DE6" w14:textId="77777777" w:rsidTr="004E5918">
        <w:trPr>
          <w:trHeight w:val="477"/>
          <w:jc w:val="center"/>
        </w:trPr>
        <w:tc>
          <w:tcPr>
            <w:tcW w:w="0" w:type="auto"/>
            <w:hideMark/>
          </w:tcPr>
          <w:p w14:paraId="3FD0899D" w14:textId="77777777" w:rsidR="004E5918" w:rsidRPr="004E5918" w:rsidRDefault="004E5918" w:rsidP="004E5918">
            <w:pPr>
              <w:spacing w:after="160" w:line="259" w:lineRule="auto"/>
              <w:rPr>
                <w:rFonts w:ascii="Arial" w:hAnsi="Arial" w:cs="Arial"/>
              </w:rPr>
            </w:pPr>
            <w:r w:rsidRPr="004E5918">
              <w:rPr>
                <w:rFonts w:ascii="Arial" w:hAnsi="Arial" w:cs="Arial"/>
              </w:rPr>
              <w:t>No Bedrooms</w:t>
            </w:r>
          </w:p>
        </w:tc>
        <w:tc>
          <w:tcPr>
            <w:tcW w:w="0" w:type="auto"/>
            <w:hideMark/>
          </w:tcPr>
          <w:p w14:paraId="3E3C0FD8" w14:textId="77777777" w:rsidR="004E5918" w:rsidRPr="004E5918" w:rsidRDefault="004E5918" w:rsidP="004E5918">
            <w:pPr>
              <w:spacing w:after="160" w:line="259" w:lineRule="auto"/>
              <w:rPr>
                <w:rFonts w:ascii="Arial" w:hAnsi="Arial" w:cs="Arial"/>
              </w:rPr>
            </w:pPr>
            <w:r w:rsidRPr="004E5918">
              <w:rPr>
                <w:rFonts w:ascii="Arial" w:hAnsi="Arial" w:cs="Arial"/>
              </w:rPr>
              <w:t>44</w:t>
            </w:r>
          </w:p>
        </w:tc>
        <w:tc>
          <w:tcPr>
            <w:tcW w:w="0" w:type="auto"/>
            <w:hideMark/>
          </w:tcPr>
          <w:p w14:paraId="2138BA12" w14:textId="77777777" w:rsidR="004E5918" w:rsidRPr="004E5918" w:rsidRDefault="004E5918" w:rsidP="004E5918">
            <w:pPr>
              <w:spacing w:after="160" w:line="259" w:lineRule="auto"/>
              <w:rPr>
                <w:rFonts w:ascii="Arial" w:hAnsi="Arial" w:cs="Arial"/>
              </w:rPr>
            </w:pPr>
            <w:r w:rsidRPr="004E5918">
              <w:rPr>
                <w:rFonts w:ascii="Arial" w:hAnsi="Arial" w:cs="Arial"/>
              </w:rPr>
              <w:t>0.2%</w:t>
            </w:r>
          </w:p>
        </w:tc>
      </w:tr>
    </w:tbl>
    <w:p w14:paraId="442DF29A" w14:textId="77777777" w:rsidR="00847C1A" w:rsidRPr="0003613D" w:rsidRDefault="00847C1A">
      <w:pPr>
        <w:rPr>
          <w:rFonts w:ascii="Arial" w:hAnsi="Arial" w:cs="Arial"/>
          <w:sz w:val="24"/>
          <w:szCs w:val="24"/>
        </w:rPr>
      </w:pPr>
    </w:p>
    <w:p w14:paraId="7C4032D9" w14:textId="1A5C0F09" w:rsidR="00914BC1" w:rsidRPr="0003613D" w:rsidRDefault="00914BC1">
      <w:pPr>
        <w:rPr>
          <w:rFonts w:ascii="Arial" w:hAnsi="Arial" w:cs="Arial"/>
          <w:b/>
          <w:bCs/>
          <w:sz w:val="24"/>
          <w:szCs w:val="24"/>
        </w:rPr>
      </w:pPr>
      <w:r w:rsidRPr="0003613D">
        <w:rPr>
          <w:rFonts w:ascii="Arial" w:hAnsi="Arial" w:cs="Arial"/>
          <w:b/>
          <w:bCs/>
          <w:sz w:val="24"/>
          <w:szCs w:val="24"/>
        </w:rPr>
        <w:t xml:space="preserve">Council Stock by </w:t>
      </w:r>
      <w:r w:rsidR="0052145C" w:rsidRPr="0003613D">
        <w:rPr>
          <w:rFonts w:ascii="Arial" w:hAnsi="Arial" w:cs="Arial"/>
          <w:b/>
          <w:bCs/>
          <w:sz w:val="24"/>
          <w:szCs w:val="24"/>
        </w:rPr>
        <w:t>T</w:t>
      </w:r>
      <w:r w:rsidRPr="0003613D">
        <w:rPr>
          <w:rFonts w:ascii="Arial" w:hAnsi="Arial" w:cs="Arial"/>
          <w:b/>
          <w:bCs/>
          <w:sz w:val="24"/>
          <w:szCs w:val="24"/>
        </w:rPr>
        <w:t>own</w:t>
      </w:r>
    </w:p>
    <w:p w14:paraId="70E9837A" w14:textId="02736C05" w:rsidR="00F30405" w:rsidRPr="0003613D" w:rsidRDefault="00276FEC">
      <w:pPr>
        <w:rPr>
          <w:rFonts w:ascii="Arial" w:eastAsia="Calibri" w:hAnsi="Arial" w:cs="Arial"/>
          <w:bCs/>
          <w:iCs/>
          <w:sz w:val="24"/>
          <w:szCs w:val="24"/>
        </w:rPr>
      </w:pPr>
      <w:r w:rsidRPr="0003613D">
        <w:rPr>
          <w:rFonts w:ascii="Arial" w:eastAsia="Calibri" w:hAnsi="Arial" w:cs="Arial"/>
          <w:bCs/>
          <w:iCs/>
          <w:sz w:val="24"/>
          <w:szCs w:val="24"/>
        </w:rPr>
        <w:t xml:space="preserve">The </w:t>
      </w:r>
      <w:r w:rsidR="00C510D5" w:rsidRPr="0003613D">
        <w:rPr>
          <w:rFonts w:ascii="Arial" w:eastAsia="Calibri" w:hAnsi="Arial" w:cs="Arial"/>
          <w:bCs/>
          <w:iCs/>
          <w:sz w:val="24"/>
          <w:szCs w:val="24"/>
        </w:rPr>
        <w:t xml:space="preserve">table below presents the number of social housing properties located in each town. Please note that </w:t>
      </w:r>
      <w:r w:rsidR="00E77C99" w:rsidRPr="0003613D">
        <w:rPr>
          <w:rFonts w:ascii="Arial" w:eastAsia="Calibri" w:hAnsi="Arial" w:cs="Arial"/>
          <w:bCs/>
          <w:iCs/>
          <w:sz w:val="24"/>
          <w:szCs w:val="24"/>
        </w:rPr>
        <w:t xml:space="preserve">the </w:t>
      </w:r>
      <w:r w:rsidR="00C510D5" w:rsidRPr="0003613D">
        <w:rPr>
          <w:rFonts w:ascii="Arial" w:eastAsia="Calibri" w:hAnsi="Arial" w:cs="Arial"/>
          <w:bCs/>
          <w:iCs/>
          <w:sz w:val="24"/>
          <w:szCs w:val="24"/>
        </w:rPr>
        <w:t>963 properties managed by PFI Riverside are located in West Bromwich.</w:t>
      </w:r>
    </w:p>
    <w:tbl>
      <w:tblPr>
        <w:tblStyle w:val="TableGrid"/>
        <w:tblW w:w="0" w:type="auto"/>
        <w:jc w:val="center"/>
        <w:tblLook w:val="04A0" w:firstRow="1" w:lastRow="0" w:firstColumn="1" w:lastColumn="0" w:noHBand="0" w:noVBand="1"/>
      </w:tblPr>
      <w:tblGrid>
        <w:gridCol w:w="2254"/>
        <w:gridCol w:w="2254"/>
        <w:gridCol w:w="2254"/>
        <w:gridCol w:w="2254"/>
      </w:tblGrid>
      <w:tr w:rsidR="00A86317" w:rsidRPr="0003613D" w14:paraId="6528C3B4" w14:textId="77777777" w:rsidTr="003472A3">
        <w:trPr>
          <w:jc w:val="center"/>
        </w:trPr>
        <w:tc>
          <w:tcPr>
            <w:tcW w:w="2254" w:type="dxa"/>
          </w:tcPr>
          <w:p w14:paraId="68062361" w14:textId="3676AEA7" w:rsidR="00A86317" w:rsidRPr="0003613D" w:rsidRDefault="00A86317">
            <w:pPr>
              <w:rPr>
                <w:rFonts w:ascii="Arial" w:eastAsia="Calibri" w:hAnsi="Arial" w:cs="Arial"/>
                <w:b/>
                <w:iCs/>
                <w:sz w:val="24"/>
                <w:szCs w:val="24"/>
              </w:rPr>
            </w:pPr>
            <w:r w:rsidRPr="0003613D">
              <w:rPr>
                <w:rFonts w:ascii="Arial" w:eastAsia="Calibri" w:hAnsi="Arial" w:cs="Arial"/>
                <w:b/>
                <w:iCs/>
                <w:sz w:val="24"/>
                <w:szCs w:val="24"/>
              </w:rPr>
              <w:t>Town</w:t>
            </w:r>
          </w:p>
        </w:tc>
        <w:tc>
          <w:tcPr>
            <w:tcW w:w="2254" w:type="dxa"/>
          </w:tcPr>
          <w:p w14:paraId="4E883653" w14:textId="2EAAE881" w:rsidR="00A86317" w:rsidRPr="0003613D" w:rsidRDefault="00A86317">
            <w:pPr>
              <w:rPr>
                <w:rFonts w:ascii="Arial" w:eastAsia="Calibri" w:hAnsi="Arial" w:cs="Arial"/>
                <w:b/>
                <w:iCs/>
                <w:sz w:val="24"/>
                <w:szCs w:val="24"/>
              </w:rPr>
            </w:pPr>
            <w:r w:rsidRPr="0003613D">
              <w:rPr>
                <w:rFonts w:ascii="Arial" w:eastAsia="Calibri" w:hAnsi="Arial" w:cs="Arial"/>
                <w:b/>
                <w:iCs/>
                <w:sz w:val="24"/>
                <w:szCs w:val="24"/>
              </w:rPr>
              <w:t>Number of propertie</w:t>
            </w:r>
            <w:r w:rsidR="00F30405" w:rsidRPr="0003613D">
              <w:rPr>
                <w:rFonts w:ascii="Arial" w:eastAsia="Calibri" w:hAnsi="Arial" w:cs="Arial"/>
                <w:b/>
                <w:iCs/>
                <w:sz w:val="24"/>
                <w:szCs w:val="24"/>
              </w:rPr>
              <w:t>s</w:t>
            </w:r>
          </w:p>
        </w:tc>
        <w:tc>
          <w:tcPr>
            <w:tcW w:w="2254" w:type="dxa"/>
          </w:tcPr>
          <w:p w14:paraId="5A98FDA5" w14:textId="7322A8C6" w:rsidR="00A86317" w:rsidRPr="0003613D" w:rsidRDefault="00A86317">
            <w:pPr>
              <w:rPr>
                <w:rFonts w:ascii="Arial" w:eastAsia="Calibri" w:hAnsi="Arial" w:cs="Arial"/>
                <w:b/>
                <w:iCs/>
                <w:sz w:val="24"/>
                <w:szCs w:val="24"/>
              </w:rPr>
            </w:pPr>
            <w:r w:rsidRPr="0003613D">
              <w:rPr>
                <w:rFonts w:ascii="Arial" w:eastAsia="Calibri" w:hAnsi="Arial" w:cs="Arial"/>
                <w:b/>
                <w:iCs/>
                <w:sz w:val="24"/>
                <w:szCs w:val="24"/>
              </w:rPr>
              <w:t xml:space="preserve">Town population </w:t>
            </w:r>
          </w:p>
        </w:tc>
        <w:tc>
          <w:tcPr>
            <w:tcW w:w="2254" w:type="dxa"/>
          </w:tcPr>
          <w:p w14:paraId="3A478792" w14:textId="5C345071" w:rsidR="00A86317" w:rsidRPr="0003613D" w:rsidRDefault="00E565E1">
            <w:pPr>
              <w:rPr>
                <w:rFonts w:ascii="Arial" w:eastAsia="Calibri" w:hAnsi="Arial" w:cs="Arial"/>
                <w:b/>
                <w:iCs/>
                <w:sz w:val="24"/>
                <w:szCs w:val="24"/>
              </w:rPr>
            </w:pPr>
            <w:r w:rsidRPr="0003613D">
              <w:rPr>
                <w:rFonts w:ascii="Arial" w:eastAsia="Calibri" w:hAnsi="Arial" w:cs="Arial"/>
                <w:b/>
                <w:iCs/>
                <w:sz w:val="24"/>
                <w:szCs w:val="24"/>
              </w:rPr>
              <w:t>Percentage</w:t>
            </w:r>
            <w:r w:rsidR="00A86317" w:rsidRPr="0003613D">
              <w:rPr>
                <w:rFonts w:ascii="Arial" w:eastAsia="Calibri" w:hAnsi="Arial" w:cs="Arial"/>
                <w:b/>
                <w:iCs/>
                <w:sz w:val="24"/>
                <w:szCs w:val="24"/>
              </w:rPr>
              <w:t xml:space="preserve"> of properties per capita</w:t>
            </w:r>
          </w:p>
        </w:tc>
      </w:tr>
      <w:tr w:rsidR="00A86317" w:rsidRPr="0003613D" w14:paraId="61C4CE2B" w14:textId="77777777" w:rsidTr="003472A3">
        <w:trPr>
          <w:jc w:val="center"/>
        </w:trPr>
        <w:tc>
          <w:tcPr>
            <w:tcW w:w="2254" w:type="dxa"/>
          </w:tcPr>
          <w:p w14:paraId="67E8BE29" w14:textId="54B15CD1" w:rsidR="00A86317" w:rsidRPr="0003613D" w:rsidRDefault="00A86317">
            <w:pPr>
              <w:rPr>
                <w:rFonts w:ascii="Arial" w:eastAsia="Calibri" w:hAnsi="Arial" w:cs="Arial"/>
                <w:bCs/>
                <w:iCs/>
                <w:sz w:val="24"/>
                <w:szCs w:val="24"/>
              </w:rPr>
            </w:pPr>
            <w:r w:rsidRPr="0003613D">
              <w:rPr>
                <w:rFonts w:ascii="Arial" w:eastAsia="Calibri" w:hAnsi="Arial" w:cs="Arial"/>
                <w:bCs/>
                <w:iCs/>
                <w:sz w:val="24"/>
                <w:szCs w:val="24"/>
              </w:rPr>
              <w:t>Wednesbury</w:t>
            </w:r>
          </w:p>
        </w:tc>
        <w:tc>
          <w:tcPr>
            <w:tcW w:w="2254" w:type="dxa"/>
          </w:tcPr>
          <w:p w14:paraId="66D408B4" w14:textId="7326E121" w:rsidR="00A86317" w:rsidRPr="0003613D" w:rsidRDefault="00C510D5">
            <w:pPr>
              <w:rPr>
                <w:rFonts w:ascii="Arial" w:eastAsia="Calibri" w:hAnsi="Arial" w:cs="Arial"/>
                <w:bCs/>
                <w:iCs/>
                <w:sz w:val="24"/>
                <w:szCs w:val="24"/>
              </w:rPr>
            </w:pPr>
            <w:r w:rsidRPr="0003613D">
              <w:rPr>
                <w:rFonts w:ascii="Arial" w:eastAsia="Calibri" w:hAnsi="Arial" w:cs="Arial"/>
                <w:bCs/>
                <w:iCs/>
                <w:sz w:val="24"/>
                <w:szCs w:val="24"/>
              </w:rPr>
              <w:t>3358</w:t>
            </w:r>
            <w:r w:rsidR="00F30405" w:rsidRPr="0003613D">
              <w:rPr>
                <w:rFonts w:ascii="Arial" w:eastAsia="Calibri" w:hAnsi="Arial" w:cs="Arial"/>
                <w:bCs/>
                <w:iCs/>
                <w:sz w:val="24"/>
                <w:szCs w:val="24"/>
              </w:rPr>
              <w:t xml:space="preserve"> </w:t>
            </w:r>
          </w:p>
        </w:tc>
        <w:tc>
          <w:tcPr>
            <w:tcW w:w="2254" w:type="dxa"/>
          </w:tcPr>
          <w:p w14:paraId="6F5ECB1D" w14:textId="55E503AA" w:rsidR="00A86317" w:rsidRPr="0003613D" w:rsidRDefault="00E565E1">
            <w:pPr>
              <w:rPr>
                <w:rFonts w:ascii="Arial" w:eastAsia="Calibri" w:hAnsi="Arial" w:cs="Arial"/>
                <w:bCs/>
                <w:iCs/>
                <w:sz w:val="24"/>
                <w:szCs w:val="24"/>
              </w:rPr>
            </w:pPr>
            <w:r w:rsidRPr="0003613D">
              <w:rPr>
                <w:rFonts w:ascii="Arial" w:eastAsia="Calibri" w:hAnsi="Arial" w:cs="Arial"/>
                <w:bCs/>
                <w:iCs/>
                <w:sz w:val="24"/>
                <w:szCs w:val="24"/>
              </w:rPr>
              <w:t>41</w:t>
            </w:r>
            <w:r w:rsidR="00EF724E" w:rsidRPr="0003613D">
              <w:rPr>
                <w:rFonts w:ascii="Arial" w:eastAsia="Calibri" w:hAnsi="Arial" w:cs="Arial"/>
                <w:bCs/>
                <w:iCs/>
                <w:sz w:val="24"/>
                <w:szCs w:val="24"/>
              </w:rPr>
              <w:t>,</w:t>
            </w:r>
            <w:r w:rsidRPr="0003613D">
              <w:rPr>
                <w:rFonts w:ascii="Arial" w:eastAsia="Calibri" w:hAnsi="Arial" w:cs="Arial"/>
                <w:bCs/>
                <w:iCs/>
                <w:sz w:val="24"/>
                <w:szCs w:val="24"/>
              </w:rPr>
              <w:t>335</w:t>
            </w:r>
          </w:p>
        </w:tc>
        <w:tc>
          <w:tcPr>
            <w:tcW w:w="2254" w:type="dxa"/>
          </w:tcPr>
          <w:p w14:paraId="22A2FCB1" w14:textId="3EB8FE3E" w:rsidR="00A86317" w:rsidRPr="0003613D" w:rsidRDefault="00F30405">
            <w:pPr>
              <w:rPr>
                <w:rFonts w:ascii="Arial" w:eastAsia="Calibri" w:hAnsi="Arial" w:cs="Arial"/>
                <w:bCs/>
                <w:iCs/>
                <w:sz w:val="24"/>
                <w:szCs w:val="24"/>
              </w:rPr>
            </w:pPr>
            <w:r w:rsidRPr="0003613D">
              <w:rPr>
                <w:rFonts w:ascii="Arial" w:eastAsia="Calibri" w:hAnsi="Arial" w:cs="Arial"/>
                <w:bCs/>
                <w:iCs/>
                <w:sz w:val="24"/>
                <w:szCs w:val="24"/>
              </w:rPr>
              <w:t>8.1</w:t>
            </w:r>
            <w:r w:rsidR="00E565E1" w:rsidRPr="0003613D">
              <w:rPr>
                <w:rFonts w:ascii="Arial" w:eastAsia="Calibri" w:hAnsi="Arial" w:cs="Arial"/>
                <w:bCs/>
                <w:iCs/>
                <w:sz w:val="24"/>
                <w:szCs w:val="24"/>
              </w:rPr>
              <w:t>%</w:t>
            </w:r>
          </w:p>
        </w:tc>
      </w:tr>
      <w:tr w:rsidR="00A86317" w:rsidRPr="0003613D" w14:paraId="02C477C3" w14:textId="77777777" w:rsidTr="003472A3">
        <w:trPr>
          <w:jc w:val="center"/>
        </w:trPr>
        <w:tc>
          <w:tcPr>
            <w:tcW w:w="2254" w:type="dxa"/>
          </w:tcPr>
          <w:p w14:paraId="5626267B" w14:textId="3117E717" w:rsidR="00A86317" w:rsidRPr="0003613D" w:rsidRDefault="00A86317">
            <w:pPr>
              <w:rPr>
                <w:rFonts w:ascii="Arial" w:eastAsia="Calibri" w:hAnsi="Arial" w:cs="Arial"/>
                <w:bCs/>
                <w:iCs/>
                <w:sz w:val="24"/>
                <w:szCs w:val="24"/>
              </w:rPr>
            </w:pPr>
            <w:r w:rsidRPr="0003613D">
              <w:rPr>
                <w:rFonts w:ascii="Arial" w:eastAsia="Calibri" w:hAnsi="Arial" w:cs="Arial"/>
                <w:bCs/>
                <w:iCs/>
                <w:sz w:val="24"/>
                <w:szCs w:val="24"/>
              </w:rPr>
              <w:t>Smethwick</w:t>
            </w:r>
          </w:p>
        </w:tc>
        <w:tc>
          <w:tcPr>
            <w:tcW w:w="2254" w:type="dxa"/>
          </w:tcPr>
          <w:p w14:paraId="109F14E1" w14:textId="7363B25E" w:rsidR="00A86317" w:rsidRPr="0003613D" w:rsidRDefault="00C510D5">
            <w:pPr>
              <w:rPr>
                <w:rFonts w:ascii="Arial" w:eastAsia="Calibri" w:hAnsi="Arial" w:cs="Arial"/>
                <w:bCs/>
                <w:iCs/>
                <w:sz w:val="24"/>
                <w:szCs w:val="24"/>
              </w:rPr>
            </w:pPr>
            <w:r w:rsidRPr="0003613D">
              <w:rPr>
                <w:rFonts w:ascii="Arial" w:eastAsia="Calibri" w:hAnsi="Arial" w:cs="Arial"/>
                <w:bCs/>
                <w:iCs/>
                <w:sz w:val="24"/>
                <w:szCs w:val="24"/>
              </w:rPr>
              <w:t>3405</w:t>
            </w:r>
            <w:r w:rsidR="00F30405" w:rsidRPr="0003613D">
              <w:rPr>
                <w:rFonts w:ascii="Arial" w:eastAsia="Calibri" w:hAnsi="Arial" w:cs="Arial"/>
                <w:bCs/>
                <w:iCs/>
                <w:sz w:val="24"/>
                <w:szCs w:val="24"/>
              </w:rPr>
              <w:t xml:space="preserve"> </w:t>
            </w:r>
          </w:p>
        </w:tc>
        <w:tc>
          <w:tcPr>
            <w:tcW w:w="2254" w:type="dxa"/>
          </w:tcPr>
          <w:p w14:paraId="41F0A732" w14:textId="4DCA63ED" w:rsidR="00A86317" w:rsidRPr="0003613D" w:rsidRDefault="00E565E1">
            <w:pPr>
              <w:rPr>
                <w:rFonts w:ascii="Arial" w:eastAsia="Calibri" w:hAnsi="Arial" w:cs="Arial"/>
                <w:bCs/>
                <w:iCs/>
                <w:sz w:val="24"/>
                <w:szCs w:val="24"/>
              </w:rPr>
            </w:pPr>
            <w:r w:rsidRPr="0003613D">
              <w:rPr>
                <w:rFonts w:ascii="Arial" w:eastAsia="Calibri" w:hAnsi="Arial" w:cs="Arial"/>
                <w:bCs/>
                <w:iCs/>
                <w:sz w:val="24"/>
                <w:szCs w:val="24"/>
              </w:rPr>
              <w:t>64</w:t>
            </w:r>
            <w:r w:rsidR="00EF724E" w:rsidRPr="0003613D">
              <w:rPr>
                <w:rFonts w:ascii="Arial" w:eastAsia="Calibri" w:hAnsi="Arial" w:cs="Arial"/>
                <w:bCs/>
                <w:iCs/>
                <w:sz w:val="24"/>
                <w:szCs w:val="24"/>
              </w:rPr>
              <w:t>,</w:t>
            </w:r>
            <w:r w:rsidRPr="0003613D">
              <w:rPr>
                <w:rFonts w:ascii="Arial" w:eastAsia="Calibri" w:hAnsi="Arial" w:cs="Arial"/>
                <w:bCs/>
                <w:iCs/>
                <w:sz w:val="24"/>
                <w:szCs w:val="24"/>
              </w:rPr>
              <w:t>007</w:t>
            </w:r>
          </w:p>
        </w:tc>
        <w:tc>
          <w:tcPr>
            <w:tcW w:w="2254" w:type="dxa"/>
          </w:tcPr>
          <w:p w14:paraId="484B107D" w14:textId="75FD4492" w:rsidR="00A86317" w:rsidRPr="0003613D" w:rsidRDefault="00F30405">
            <w:pPr>
              <w:rPr>
                <w:rFonts w:ascii="Arial" w:eastAsia="Calibri" w:hAnsi="Arial" w:cs="Arial"/>
                <w:bCs/>
                <w:iCs/>
                <w:sz w:val="24"/>
                <w:szCs w:val="24"/>
              </w:rPr>
            </w:pPr>
            <w:r w:rsidRPr="0003613D">
              <w:rPr>
                <w:rFonts w:ascii="Arial" w:eastAsia="Calibri" w:hAnsi="Arial" w:cs="Arial"/>
                <w:bCs/>
                <w:iCs/>
                <w:sz w:val="24"/>
                <w:szCs w:val="24"/>
              </w:rPr>
              <w:t>5.3</w:t>
            </w:r>
            <w:r w:rsidR="00E565E1" w:rsidRPr="0003613D">
              <w:rPr>
                <w:rFonts w:ascii="Arial" w:eastAsia="Calibri" w:hAnsi="Arial" w:cs="Arial"/>
                <w:bCs/>
                <w:iCs/>
                <w:sz w:val="24"/>
                <w:szCs w:val="24"/>
              </w:rPr>
              <w:t>%</w:t>
            </w:r>
          </w:p>
        </w:tc>
      </w:tr>
      <w:tr w:rsidR="00A86317" w:rsidRPr="0003613D" w14:paraId="52243BA7" w14:textId="77777777" w:rsidTr="003472A3">
        <w:trPr>
          <w:jc w:val="center"/>
        </w:trPr>
        <w:tc>
          <w:tcPr>
            <w:tcW w:w="2254" w:type="dxa"/>
          </w:tcPr>
          <w:p w14:paraId="463319FA" w14:textId="5BD68B4B" w:rsidR="00A86317" w:rsidRPr="0003613D" w:rsidRDefault="00A86317">
            <w:pPr>
              <w:rPr>
                <w:rFonts w:ascii="Arial" w:eastAsia="Calibri" w:hAnsi="Arial" w:cs="Arial"/>
                <w:bCs/>
                <w:iCs/>
                <w:sz w:val="24"/>
                <w:szCs w:val="24"/>
              </w:rPr>
            </w:pPr>
            <w:r w:rsidRPr="0003613D">
              <w:rPr>
                <w:rFonts w:ascii="Arial" w:eastAsia="Calibri" w:hAnsi="Arial" w:cs="Arial"/>
                <w:bCs/>
                <w:iCs/>
                <w:sz w:val="24"/>
                <w:szCs w:val="24"/>
              </w:rPr>
              <w:t>Oldbury</w:t>
            </w:r>
          </w:p>
        </w:tc>
        <w:tc>
          <w:tcPr>
            <w:tcW w:w="2254" w:type="dxa"/>
          </w:tcPr>
          <w:p w14:paraId="3178771F" w14:textId="78374534" w:rsidR="00A86317" w:rsidRPr="0003613D" w:rsidRDefault="00C510D5">
            <w:pPr>
              <w:rPr>
                <w:rFonts w:ascii="Arial" w:eastAsia="Calibri" w:hAnsi="Arial" w:cs="Arial"/>
                <w:bCs/>
                <w:iCs/>
                <w:sz w:val="24"/>
                <w:szCs w:val="24"/>
              </w:rPr>
            </w:pPr>
            <w:r w:rsidRPr="0003613D">
              <w:rPr>
                <w:rFonts w:ascii="Arial" w:eastAsia="Calibri" w:hAnsi="Arial" w:cs="Arial"/>
                <w:bCs/>
                <w:iCs/>
                <w:sz w:val="24"/>
                <w:szCs w:val="24"/>
              </w:rPr>
              <w:t>4072</w:t>
            </w:r>
          </w:p>
        </w:tc>
        <w:tc>
          <w:tcPr>
            <w:tcW w:w="2254" w:type="dxa"/>
          </w:tcPr>
          <w:p w14:paraId="757EAEEF" w14:textId="68686CC3" w:rsidR="00A86317" w:rsidRPr="0003613D" w:rsidRDefault="00E565E1">
            <w:pPr>
              <w:rPr>
                <w:rFonts w:ascii="Arial" w:eastAsia="Calibri" w:hAnsi="Arial" w:cs="Arial"/>
                <w:bCs/>
                <w:iCs/>
                <w:sz w:val="24"/>
                <w:szCs w:val="24"/>
              </w:rPr>
            </w:pPr>
            <w:r w:rsidRPr="0003613D">
              <w:rPr>
                <w:rFonts w:ascii="Arial" w:eastAsia="Calibri" w:hAnsi="Arial" w:cs="Arial"/>
                <w:bCs/>
                <w:iCs/>
                <w:sz w:val="24"/>
                <w:szCs w:val="24"/>
              </w:rPr>
              <w:t>54</w:t>
            </w:r>
            <w:r w:rsidR="00EF724E" w:rsidRPr="0003613D">
              <w:rPr>
                <w:rFonts w:ascii="Arial" w:eastAsia="Calibri" w:hAnsi="Arial" w:cs="Arial"/>
                <w:bCs/>
                <w:iCs/>
                <w:sz w:val="24"/>
                <w:szCs w:val="24"/>
              </w:rPr>
              <w:t>,</w:t>
            </w:r>
            <w:r w:rsidRPr="0003613D">
              <w:rPr>
                <w:rFonts w:ascii="Arial" w:eastAsia="Calibri" w:hAnsi="Arial" w:cs="Arial"/>
                <w:bCs/>
                <w:iCs/>
                <w:sz w:val="24"/>
                <w:szCs w:val="24"/>
              </w:rPr>
              <w:t>929</w:t>
            </w:r>
          </w:p>
        </w:tc>
        <w:tc>
          <w:tcPr>
            <w:tcW w:w="2254" w:type="dxa"/>
          </w:tcPr>
          <w:p w14:paraId="1809FC64" w14:textId="044FADF2" w:rsidR="00A86317" w:rsidRPr="0003613D" w:rsidRDefault="00F30405">
            <w:pPr>
              <w:rPr>
                <w:rFonts w:ascii="Arial" w:eastAsia="Calibri" w:hAnsi="Arial" w:cs="Arial"/>
                <w:bCs/>
                <w:iCs/>
                <w:sz w:val="24"/>
                <w:szCs w:val="24"/>
              </w:rPr>
            </w:pPr>
            <w:r w:rsidRPr="0003613D">
              <w:rPr>
                <w:rFonts w:ascii="Arial" w:eastAsia="Calibri" w:hAnsi="Arial" w:cs="Arial"/>
                <w:bCs/>
                <w:iCs/>
                <w:sz w:val="24"/>
                <w:szCs w:val="24"/>
              </w:rPr>
              <w:t>7.4</w:t>
            </w:r>
            <w:r w:rsidR="00E565E1" w:rsidRPr="0003613D">
              <w:rPr>
                <w:rFonts w:ascii="Arial" w:eastAsia="Calibri" w:hAnsi="Arial" w:cs="Arial"/>
                <w:bCs/>
                <w:iCs/>
                <w:sz w:val="24"/>
                <w:szCs w:val="24"/>
              </w:rPr>
              <w:t>%</w:t>
            </w:r>
          </w:p>
        </w:tc>
      </w:tr>
      <w:tr w:rsidR="00A86317" w:rsidRPr="0003613D" w14:paraId="680A14E7" w14:textId="77777777" w:rsidTr="003472A3">
        <w:trPr>
          <w:jc w:val="center"/>
        </w:trPr>
        <w:tc>
          <w:tcPr>
            <w:tcW w:w="2254" w:type="dxa"/>
          </w:tcPr>
          <w:p w14:paraId="53115FC4" w14:textId="0A7FED0F" w:rsidR="00A86317" w:rsidRPr="0003613D" w:rsidRDefault="00A86317">
            <w:pPr>
              <w:rPr>
                <w:rFonts w:ascii="Arial" w:eastAsia="Calibri" w:hAnsi="Arial" w:cs="Arial"/>
                <w:bCs/>
                <w:iCs/>
                <w:sz w:val="24"/>
                <w:szCs w:val="24"/>
              </w:rPr>
            </w:pPr>
            <w:r w:rsidRPr="0003613D">
              <w:rPr>
                <w:rFonts w:ascii="Arial" w:eastAsia="Calibri" w:hAnsi="Arial" w:cs="Arial"/>
                <w:bCs/>
                <w:iCs/>
                <w:sz w:val="24"/>
                <w:szCs w:val="24"/>
              </w:rPr>
              <w:t>Rowley Regis</w:t>
            </w:r>
          </w:p>
        </w:tc>
        <w:tc>
          <w:tcPr>
            <w:tcW w:w="2254" w:type="dxa"/>
          </w:tcPr>
          <w:p w14:paraId="5C93C3D5" w14:textId="364209EA" w:rsidR="00A86317" w:rsidRPr="0003613D" w:rsidRDefault="00C510D5">
            <w:pPr>
              <w:rPr>
                <w:rFonts w:ascii="Arial" w:eastAsia="Calibri" w:hAnsi="Arial" w:cs="Arial"/>
                <w:bCs/>
                <w:iCs/>
                <w:sz w:val="24"/>
                <w:szCs w:val="24"/>
              </w:rPr>
            </w:pPr>
            <w:r w:rsidRPr="0003613D">
              <w:rPr>
                <w:rFonts w:ascii="Arial" w:eastAsia="Calibri" w:hAnsi="Arial" w:cs="Arial"/>
                <w:bCs/>
                <w:iCs/>
                <w:sz w:val="24"/>
                <w:szCs w:val="24"/>
              </w:rPr>
              <w:t>4895</w:t>
            </w:r>
          </w:p>
        </w:tc>
        <w:tc>
          <w:tcPr>
            <w:tcW w:w="2254" w:type="dxa"/>
          </w:tcPr>
          <w:p w14:paraId="2BCCB638" w14:textId="092163BD" w:rsidR="00A86317" w:rsidRPr="0003613D" w:rsidRDefault="00E565E1">
            <w:pPr>
              <w:rPr>
                <w:rFonts w:ascii="Arial" w:eastAsia="Calibri" w:hAnsi="Arial" w:cs="Arial"/>
                <w:bCs/>
                <w:iCs/>
                <w:sz w:val="24"/>
                <w:szCs w:val="24"/>
              </w:rPr>
            </w:pPr>
            <w:r w:rsidRPr="0003613D">
              <w:rPr>
                <w:rFonts w:ascii="Arial" w:eastAsia="Calibri" w:hAnsi="Arial" w:cs="Arial"/>
                <w:bCs/>
                <w:iCs/>
                <w:sz w:val="24"/>
                <w:szCs w:val="24"/>
              </w:rPr>
              <w:t>53</w:t>
            </w:r>
            <w:r w:rsidR="00EF724E" w:rsidRPr="0003613D">
              <w:rPr>
                <w:rFonts w:ascii="Arial" w:eastAsia="Calibri" w:hAnsi="Arial" w:cs="Arial"/>
                <w:bCs/>
                <w:iCs/>
                <w:sz w:val="24"/>
                <w:szCs w:val="24"/>
              </w:rPr>
              <w:t>,</w:t>
            </w:r>
            <w:r w:rsidRPr="0003613D">
              <w:rPr>
                <w:rFonts w:ascii="Arial" w:eastAsia="Calibri" w:hAnsi="Arial" w:cs="Arial"/>
                <w:bCs/>
                <w:iCs/>
                <w:sz w:val="24"/>
                <w:szCs w:val="24"/>
              </w:rPr>
              <w:t>772</w:t>
            </w:r>
          </w:p>
        </w:tc>
        <w:tc>
          <w:tcPr>
            <w:tcW w:w="2254" w:type="dxa"/>
          </w:tcPr>
          <w:p w14:paraId="67775523" w14:textId="295A613C" w:rsidR="00A86317" w:rsidRPr="0003613D" w:rsidRDefault="00F30405">
            <w:pPr>
              <w:rPr>
                <w:rFonts w:ascii="Arial" w:eastAsia="Calibri" w:hAnsi="Arial" w:cs="Arial"/>
                <w:bCs/>
                <w:iCs/>
                <w:sz w:val="24"/>
                <w:szCs w:val="24"/>
              </w:rPr>
            </w:pPr>
            <w:r w:rsidRPr="0003613D">
              <w:rPr>
                <w:rFonts w:ascii="Arial" w:eastAsia="Calibri" w:hAnsi="Arial" w:cs="Arial"/>
                <w:bCs/>
                <w:iCs/>
                <w:sz w:val="24"/>
                <w:szCs w:val="24"/>
              </w:rPr>
              <w:t>9.1</w:t>
            </w:r>
            <w:r w:rsidR="00E565E1" w:rsidRPr="0003613D">
              <w:rPr>
                <w:rFonts w:ascii="Arial" w:eastAsia="Calibri" w:hAnsi="Arial" w:cs="Arial"/>
                <w:bCs/>
                <w:iCs/>
                <w:sz w:val="24"/>
                <w:szCs w:val="24"/>
              </w:rPr>
              <w:t>%</w:t>
            </w:r>
          </w:p>
        </w:tc>
      </w:tr>
      <w:tr w:rsidR="00A86317" w:rsidRPr="0003613D" w14:paraId="682DAA50" w14:textId="77777777" w:rsidTr="003472A3">
        <w:trPr>
          <w:jc w:val="center"/>
        </w:trPr>
        <w:tc>
          <w:tcPr>
            <w:tcW w:w="2254" w:type="dxa"/>
          </w:tcPr>
          <w:p w14:paraId="65D0BF0D" w14:textId="6529F91D" w:rsidR="00A86317" w:rsidRPr="0003613D" w:rsidRDefault="00A86317">
            <w:pPr>
              <w:rPr>
                <w:rFonts w:ascii="Arial" w:eastAsia="Calibri" w:hAnsi="Arial" w:cs="Arial"/>
                <w:bCs/>
                <w:iCs/>
                <w:sz w:val="24"/>
                <w:szCs w:val="24"/>
              </w:rPr>
            </w:pPr>
            <w:r w:rsidRPr="0003613D">
              <w:rPr>
                <w:rFonts w:ascii="Arial" w:eastAsia="Calibri" w:hAnsi="Arial" w:cs="Arial"/>
                <w:bCs/>
                <w:iCs/>
                <w:sz w:val="24"/>
                <w:szCs w:val="24"/>
              </w:rPr>
              <w:t>Tipton</w:t>
            </w:r>
          </w:p>
        </w:tc>
        <w:tc>
          <w:tcPr>
            <w:tcW w:w="2254" w:type="dxa"/>
          </w:tcPr>
          <w:p w14:paraId="143E4D76" w14:textId="54CB90BC" w:rsidR="00A86317" w:rsidRPr="0003613D" w:rsidRDefault="00C510D5">
            <w:pPr>
              <w:rPr>
                <w:rFonts w:ascii="Arial" w:eastAsia="Calibri" w:hAnsi="Arial" w:cs="Arial"/>
                <w:bCs/>
                <w:iCs/>
                <w:sz w:val="24"/>
                <w:szCs w:val="24"/>
              </w:rPr>
            </w:pPr>
            <w:r w:rsidRPr="0003613D">
              <w:rPr>
                <w:rFonts w:ascii="Arial" w:eastAsia="Calibri" w:hAnsi="Arial" w:cs="Arial"/>
                <w:bCs/>
                <w:iCs/>
                <w:sz w:val="24"/>
                <w:szCs w:val="24"/>
              </w:rPr>
              <w:t>4951</w:t>
            </w:r>
          </w:p>
        </w:tc>
        <w:tc>
          <w:tcPr>
            <w:tcW w:w="2254" w:type="dxa"/>
          </w:tcPr>
          <w:p w14:paraId="352E6562" w14:textId="60FBF68A" w:rsidR="00A86317" w:rsidRPr="0003613D" w:rsidRDefault="00E565E1">
            <w:pPr>
              <w:rPr>
                <w:rFonts w:ascii="Arial" w:eastAsia="Calibri" w:hAnsi="Arial" w:cs="Arial"/>
                <w:bCs/>
                <w:iCs/>
                <w:sz w:val="24"/>
                <w:szCs w:val="24"/>
              </w:rPr>
            </w:pPr>
            <w:r w:rsidRPr="0003613D">
              <w:rPr>
                <w:rFonts w:ascii="Arial" w:eastAsia="Calibri" w:hAnsi="Arial" w:cs="Arial"/>
                <w:bCs/>
                <w:iCs/>
                <w:sz w:val="24"/>
                <w:szCs w:val="24"/>
              </w:rPr>
              <w:t>44</w:t>
            </w:r>
            <w:r w:rsidR="00EF724E" w:rsidRPr="0003613D">
              <w:rPr>
                <w:rFonts w:ascii="Arial" w:eastAsia="Calibri" w:hAnsi="Arial" w:cs="Arial"/>
                <w:bCs/>
                <w:iCs/>
                <w:sz w:val="24"/>
                <w:szCs w:val="24"/>
              </w:rPr>
              <w:t>,</w:t>
            </w:r>
            <w:r w:rsidRPr="0003613D">
              <w:rPr>
                <w:rFonts w:ascii="Arial" w:eastAsia="Calibri" w:hAnsi="Arial" w:cs="Arial"/>
                <w:bCs/>
                <w:iCs/>
                <w:sz w:val="24"/>
                <w:szCs w:val="24"/>
              </w:rPr>
              <w:t>125</w:t>
            </w:r>
          </w:p>
        </w:tc>
        <w:tc>
          <w:tcPr>
            <w:tcW w:w="2254" w:type="dxa"/>
          </w:tcPr>
          <w:p w14:paraId="4FF43F4F" w14:textId="66477042" w:rsidR="00A86317" w:rsidRPr="0003613D" w:rsidRDefault="00F30405">
            <w:pPr>
              <w:rPr>
                <w:rFonts w:ascii="Arial" w:eastAsia="Calibri" w:hAnsi="Arial" w:cs="Arial"/>
                <w:bCs/>
                <w:iCs/>
                <w:sz w:val="24"/>
                <w:szCs w:val="24"/>
              </w:rPr>
            </w:pPr>
            <w:r w:rsidRPr="0003613D">
              <w:rPr>
                <w:rFonts w:ascii="Arial" w:eastAsia="Calibri" w:hAnsi="Arial" w:cs="Arial"/>
                <w:bCs/>
                <w:iCs/>
                <w:sz w:val="24"/>
                <w:szCs w:val="24"/>
              </w:rPr>
              <w:t>11.2</w:t>
            </w:r>
            <w:r w:rsidR="00E565E1" w:rsidRPr="0003613D">
              <w:rPr>
                <w:rFonts w:ascii="Arial" w:eastAsia="Calibri" w:hAnsi="Arial" w:cs="Arial"/>
                <w:bCs/>
                <w:iCs/>
                <w:sz w:val="24"/>
                <w:szCs w:val="24"/>
              </w:rPr>
              <w:t>%</w:t>
            </w:r>
          </w:p>
        </w:tc>
      </w:tr>
      <w:tr w:rsidR="00A86317" w:rsidRPr="0003613D" w14:paraId="2D90CDFE" w14:textId="77777777" w:rsidTr="003472A3">
        <w:trPr>
          <w:jc w:val="center"/>
        </w:trPr>
        <w:tc>
          <w:tcPr>
            <w:tcW w:w="2254" w:type="dxa"/>
          </w:tcPr>
          <w:p w14:paraId="756CACAF" w14:textId="1C7CA575" w:rsidR="00A86317" w:rsidRPr="0003613D" w:rsidRDefault="00A86317">
            <w:pPr>
              <w:rPr>
                <w:rFonts w:ascii="Arial" w:eastAsia="Calibri" w:hAnsi="Arial" w:cs="Arial"/>
                <w:bCs/>
                <w:iCs/>
                <w:sz w:val="24"/>
                <w:szCs w:val="24"/>
              </w:rPr>
            </w:pPr>
            <w:r w:rsidRPr="0003613D">
              <w:rPr>
                <w:rFonts w:ascii="Arial" w:eastAsia="Calibri" w:hAnsi="Arial" w:cs="Arial"/>
                <w:bCs/>
                <w:iCs/>
                <w:sz w:val="24"/>
                <w:szCs w:val="24"/>
              </w:rPr>
              <w:t>West Bromwich</w:t>
            </w:r>
          </w:p>
        </w:tc>
        <w:tc>
          <w:tcPr>
            <w:tcW w:w="2254" w:type="dxa"/>
          </w:tcPr>
          <w:p w14:paraId="6529AB49" w14:textId="6E00DC46" w:rsidR="00A86317" w:rsidRPr="0003613D" w:rsidRDefault="00C510D5">
            <w:pPr>
              <w:rPr>
                <w:rFonts w:ascii="Arial" w:eastAsia="Calibri" w:hAnsi="Arial" w:cs="Arial"/>
                <w:bCs/>
                <w:iCs/>
                <w:sz w:val="24"/>
                <w:szCs w:val="24"/>
              </w:rPr>
            </w:pPr>
            <w:r w:rsidRPr="0003613D">
              <w:rPr>
                <w:rFonts w:ascii="Arial" w:eastAsia="Calibri" w:hAnsi="Arial" w:cs="Arial"/>
                <w:bCs/>
                <w:iCs/>
                <w:sz w:val="24"/>
                <w:szCs w:val="24"/>
              </w:rPr>
              <w:t>7100</w:t>
            </w:r>
          </w:p>
        </w:tc>
        <w:tc>
          <w:tcPr>
            <w:tcW w:w="2254" w:type="dxa"/>
          </w:tcPr>
          <w:p w14:paraId="0A9CF726" w14:textId="3D2E04C5" w:rsidR="00A86317" w:rsidRPr="0003613D" w:rsidRDefault="00E565E1">
            <w:pPr>
              <w:rPr>
                <w:rFonts w:ascii="Arial" w:eastAsia="Calibri" w:hAnsi="Arial" w:cs="Arial"/>
                <w:bCs/>
                <w:iCs/>
                <w:sz w:val="24"/>
                <w:szCs w:val="24"/>
              </w:rPr>
            </w:pPr>
            <w:r w:rsidRPr="0003613D">
              <w:rPr>
                <w:rFonts w:ascii="Arial" w:eastAsia="Calibri" w:hAnsi="Arial" w:cs="Arial"/>
                <w:bCs/>
                <w:iCs/>
                <w:sz w:val="24"/>
                <w:szCs w:val="24"/>
              </w:rPr>
              <w:t>83</w:t>
            </w:r>
            <w:r w:rsidR="00EF724E" w:rsidRPr="0003613D">
              <w:rPr>
                <w:rFonts w:ascii="Arial" w:eastAsia="Calibri" w:hAnsi="Arial" w:cs="Arial"/>
                <w:bCs/>
                <w:iCs/>
                <w:sz w:val="24"/>
                <w:szCs w:val="24"/>
              </w:rPr>
              <w:t>,</w:t>
            </w:r>
            <w:r w:rsidRPr="0003613D">
              <w:rPr>
                <w:rFonts w:ascii="Arial" w:eastAsia="Calibri" w:hAnsi="Arial" w:cs="Arial"/>
                <w:bCs/>
                <w:iCs/>
                <w:sz w:val="24"/>
                <w:szCs w:val="24"/>
              </w:rPr>
              <w:t>634</w:t>
            </w:r>
          </w:p>
        </w:tc>
        <w:tc>
          <w:tcPr>
            <w:tcW w:w="2254" w:type="dxa"/>
          </w:tcPr>
          <w:p w14:paraId="42C2284C" w14:textId="3F61C056" w:rsidR="00A86317" w:rsidRPr="0003613D" w:rsidRDefault="00F30405">
            <w:pPr>
              <w:rPr>
                <w:rFonts w:ascii="Arial" w:eastAsia="Calibri" w:hAnsi="Arial" w:cs="Arial"/>
                <w:bCs/>
                <w:iCs/>
                <w:sz w:val="24"/>
                <w:szCs w:val="24"/>
              </w:rPr>
            </w:pPr>
            <w:r w:rsidRPr="0003613D">
              <w:rPr>
                <w:rFonts w:ascii="Arial" w:eastAsia="Calibri" w:hAnsi="Arial" w:cs="Arial"/>
                <w:bCs/>
                <w:iCs/>
                <w:sz w:val="24"/>
                <w:szCs w:val="24"/>
              </w:rPr>
              <w:t>8.5</w:t>
            </w:r>
            <w:r w:rsidR="00E565E1" w:rsidRPr="0003613D">
              <w:rPr>
                <w:rFonts w:ascii="Arial" w:eastAsia="Calibri" w:hAnsi="Arial" w:cs="Arial"/>
                <w:bCs/>
                <w:iCs/>
                <w:sz w:val="24"/>
                <w:szCs w:val="24"/>
              </w:rPr>
              <w:t>%</w:t>
            </w:r>
          </w:p>
        </w:tc>
      </w:tr>
    </w:tbl>
    <w:p w14:paraId="54BF38C0" w14:textId="77777777" w:rsidR="00EC409D" w:rsidRPr="0003613D" w:rsidRDefault="00EC409D">
      <w:pPr>
        <w:rPr>
          <w:rFonts w:ascii="Arial" w:hAnsi="Arial" w:cs="Arial"/>
          <w:b/>
          <w:bCs/>
          <w:sz w:val="24"/>
          <w:szCs w:val="24"/>
          <w:u w:val="single"/>
        </w:rPr>
      </w:pPr>
    </w:p>
    <w:p w14:paraId="15912BF8" w14:textId="3E725A57" w:rsidR="00E565E1" w:rsidRPr="0003613D" w:rsidRDefault="001721BF">
      <w:pPr>
        <w:rPr>
          <w:rFonts w:ascii="Arial" w:hAnsi="Arial" w:cs="Arial"/>
          <w:sz w:val="24"/>
          <w:szCs w:val="24"/>
        </w:rPr>
      </w:pPr>
      <w:r w:rsidRPr="0003613D">
        <w:rPr>
          <w:rFonts w:ascii="Arial" w:hAnsi="Arial" w:cs="Arial"/>
          <w:sz w:val="24"/>
          <w:szCs w:val="24"/>
        </w:rPr>
        <w:t xml:space="preserve">Wednesbury has the </w:t>
      </w:r>
      <w:r w:rsidR="00E77C99" w:rsidRPr="0003613D">
        <w:rPr>
          <w:rFonts w:ascii="Arial" w:hAnsi="Arial" w:cs="Arial"/>
          <w:sz w:val="24"/>
          <w:szCs w:val="24"/>
        </w:rPr>
        <w:t xml:space="preserve">lowest </w:t>
      </w:r>
      <w:r w:rsidRPr="0003613D">
        <w:rPr>
          <w:rFonts w:ascii="Arial" w:hAnsi="Arial" w:cs="Arial"/>
          <w:sz w:val="24"/>
          <w:szCs w:val="24"/>
        </w:rPr>
        <w:t>number of social housing properties</w:t>
      </w:r>
      <w:r w:rsidR="004941B8" w:rsidRPr="0003613D">
        <w:rPr>
          <w:rFonts w:ascii="Arial" w:hAnsi="Arial" w:cs="Arial"/>
          <w:sz w:val="24"/>
          <w:szCs w:val="24"/>
        </w:rPr>
        <w:t xml:space="preserve"> </w:t>
      </w:r>
      <w:r w:rsidR="004A7D70" w:rsidRPr="0003613D">
        <w:rPr>
          <w:rFonts w:ascii="Arial" w:hAnsi="Arial" w:cs="Arial"/>
          <w:sz w:val="24"/>
          <w:szCs w:val="24"/>
        </w:rPr>
        <w:t>however</w:t>
      </w:r>
      <w:r w:rsidR="00E565E1" w:rsidRPr="0003613D">
        <w:rPr>
          <w:rFonts w:ascii="Arial" w:hAnsi="Arial" w:cs="Arial"/>
          <w:sz w:val="24"/>
          <w:szCs w:val="24"/>
        </w:rPr>
        <w:t xml:space="preserve"> Smethwick has the </w:t>
      </w:r>
      <w:r w:rsidR="007164FB" w:rsidRPr="0003613D">
        <w:rPr>
          <w:rFonts w:ascii="Arial" w:hAnsi="Arial" w:cs="Arial"/>
          <w:sz w:val="24"/>
          <w:szCs w:val="24"/>
        </w:rPr>
        <w:t>smallest</w:t>
      </w:r>
      <w:r w:rsidR="00E565E1" w:rsidRPr="0003613D">
        <w:rPr>
          <w:rFonts w:ascii="Arial" w:hAnsi="Arial" w:cs="Arial"/>
          <w:sz w:val="24"/>
          <w:szCs w:val="24"/>
        </w:rPr>
        <w:t xml:space="preserve"> percentage of </w:t>
      </w:r>
      <w:r w:rsidR="00DC5A43" w:rsidRPr="0003613D">
        <w:rPr>
          <w:rFonts w:ascii="Arial" w:hAnsi="Arial" w:cs="Arial"/>
          <w:sz w:val="24"/>
          <w:szCs w:val="24"/>
        </w:rPr>
        <w:t>social housing</w:t>
      </w:r>
      <w:r w:rsidR="00E565E1" w:rsidRPr="0003613D">
        <w:rPr>
          <w:rFonts w:ascii="Arial" w:hAnsi="Arial" w:cs="Arial"/>
          <w:sz w:val="24"/>
          <w:szCs w:val="24"/>
        </w:rPr>
        <w:t xml:space="preserve"> when measured </w:t>
      </w:r>
      <w:r w:rsidR="007164FB" w:rsidRPr="0003613D">
        <w:rPr>
          <w:rFonts w:ascii="Arial" w:hAnsi="Arial" w:cs="Arial"/>
          <w:sz w:val="24"/>
          <w:szCs w:val="24"/>
        </w:rPr>
        <w:t>against</w:t>
      </w:r>
      <w:r w:rsidR="00E565E1" w:rsidRPr="0003613D">
        <w:rPr>
          <w:rFonts w:ascii="Arial" w:hAnsi="Arial" w:cs="Arial"/>
          <w:sz w:val="24"/>
          <w:szCs w:val="24"/>
        </w:rPr>
        <w:t xml:space="preserve"> the population size</w:t>
      </w:r>
      <w:r w:rsidR="007164FB" w:rsidRPr="0003613D">
        <w:rPr>
          <w:rFonts w:ascii="Arial" w:hAnsi="Arial" w:cs="Arial"/>
          <w:sz w:val="24"/>
          <w:szCs w:val="24"/>
        </w:rPr>
        <w:t xml:space="preserve"> of </w:t>
      </w:r>
      <w:r w:rsidR="004941B8" w:rsidRPr="0003613D">
        <w:rPr>
          <w:rFonts w:ascii="Arial" w:hAnsi="Arial" w:cs="Arial"/>
          <w:sz w:val="24"/>
          <w:szCs w:val="24"/>
        </w:rPr>
        <w:t xml:space="preserve">the </w:t>
      </w:r>
      <w:r w:rsidR="007164FB" w:rsidRPr="0003613D">
        <w:rPr>
          <w:rFonts w:ascii="Arial" w:hAnsi="Arial" w:cs="Arial"/>
          <w:sz w:val="24"/>
          <w:szCs w:val="24"/>
        </w:rPr>
        <w:t xml:space="preserve">town. </w:t>
      </w:r>
    </w:p>
    <w:p w14:paraId="760078E5" w14:textId="63BB9100" w:rsidR="007164FB" w:rsidRPr="0003613D" w:rsidRDefault="007164FB">
      <w:pPr>
        <w:rPr>
          <w:rFonts w:ascii="Arial" w:hAnsi="Arial" w:cs="Arial"/>
          <w:sz w:val="24"/>
          <w:szCs w:val="24"/>
        </w:rPr>
      </w:pPr>
      <w:r w:rsidRPr="0003613D">
        <w:rPr>
          <w:rFonts w:ascii="Arial" w:hAnsi="Arial" w:cs="Arial"/>
          <w:sz w:val="24"/>
          <w:szCs w:val="24"/>
        </w:rPr>
        <w:t>2</w:t>
      </w:r>
      <w:r w:rsidR="001721BF" w:rsidRPr="0003613D">
        <w:rPr>
          <w:rFonts w:ascii="Arial" w:hAnsi="Arial" w:cs="Arial"/>
          <w:sz w:val="24"/>
          <w:szCs w:val="24"/>
        </w:rPr>
        <w:t>6</w:t>
      </w:r>
      <w:r w:rsidRPr="0003613D">
        <w:rPr>
          <w:rFonts w:ascii="Arial" w:hAnsi="Arial" w:cs="Arial"/>
          <w:sz w:val="24"/>
          <w:szCs w:val="24"/>
        </w:rPr>
        <w:t xml:space="preserve">% of the council’s social housing stock is within West Bromwich, the highest percentage of any town. However, </w:t>
      </w:r>
      <w:r w:rsidR="004A7D70" w:rsidRPr="0003613D">
        <w:rPr>
          <w:rFonts w:ascii="Arial" w:hAnsi="Arial" w:cs="Arial"/>
          <w:sz w:val="24"/>
          <w:szCs w:val="24"/>
        </w:rPr>
        <w:t xml:space="preserve">for the relative </w:t>
      </w:r>
      <w:r w:rsidRPr="0003613D">
        <w:rPr>
          <w:rFonts w:ascii="Arial" w:hAnsi="Arial" w:cs="Arial"/>
          <w:sz w:val="24"/>
          <w:szCs w:val="24"/>
        </w:rPr>
        <w:t xml:space="preserve">population size, Tipton has the highest </w:t>
      </w:r>
      <w:r w:rsidR="00DC5A43" w:rsidRPr="0003613D">
        <w:rPr>
          <w:rFonts w:ascii="Arial" w:hAnsi="Arial" w:cs="Arial"/>
          <w:sz w:val="24"/>
          <w:szCs w:val="24"/>
        </w:rPr>
        <w:t xml:space="preserve">overall percentage of </w:t>
      </w:r>
      <w:r w:rsidRPr="0003613D">
        <w:rPr>
          <w:rFonts w:ascii="Arial" w:hAnsi="Arial" w:cs="Arial"/>
          <w:sz w:val="24"/>
          <w:szCs w:val="24"/>
        </w:rPr>
        <w:t>social housing properties.</w:t>
      </w:r>
    </w:p>
    <w:p w14:paraId="29C2D8D2" w14:textId="1AB627CD" w:rsidR="00650963" w:rsidRPr="0003613D" w:rsidRDefault="00650963">
      <w:pPr>
        <w:rPr>
          <w:rFonts w:ascii="Arial" w:hAnsi="Arial" w:cs="Arial"/>
          <w:b/>
          <w:bCs/>
          <w:sz w:val="24"/>
          <w:szCs w:val="24"/>
          <w:u w:val="single"/>
        </w:rPr>
      </w:pPr>
      <w:r w:rsidRPr="0003613D">
        <w:rPr>
          <w:rFonts w:ascii="Arial" w:hAnsi="Arial" w:cs="Arial"/>
          <w:b/>
          <w:bCs/>
          <w:sz w:val="24"/>
          <w:szCs w:val="24"/>
          <w:u w:val="single"/>
        </w:rPr>
        <w:t>Housing Association</w:t>
      </w:r>
      <w:r w:rsidR="00CD2601" w:rsidRPr="0003613D">
        <w:rPr>
          <w:rFonts w:ascii="Arial" w:hAnsi="Arial" w:cs="Arial"/>
          <w:b/>
          <w:bCs/>
          <w:sz w:val="24"/>
          <w:szCs w:val="24"/>
          <w:u w:val="single"/>
        </w:rPr>
        <w:t xml:space="preserve"> Stock in Sandwell</w:t>
      </w:r>
    </w:p>
    <w:p w14:paraId="39057AB4" w14:textId="77777777" w:rsidR="00EF17F5" w:rsidRPr="0003613D" w:rsidRDefault="00EF17F5" w:rsidP="00EF17F5">
      <w:pPr>
        <w:rPr>
          <w:rFonts w:ascii="Arial" w:hAnsi="Arial" w:cs="Arial"/>
          <w:sz w:val="24"/>
          <w:szCs w:val="24"/>
        </w:rPr>
      </w:pPr>
      <w:r w:rsidRPr="0003613D">
        <w:rPr>
          <w:rFonts w:ascii="Arial" w:hAnsi="Arial" w:cs="Arial"/>
          <w:sz w:val="24"/>
          <w:szCs w:val="24"/>
        </w:rPr>
        <w:t xml:space="preserve">Housing associations provide an important but relatively modest share of Sandwell’s social housing. They own and manage 5,769 homes, representing around 17–18% </w:t>
      </w:r>
      <w:r w:rsidRPr="0003613D">
        <w:rPr>
          <w:rFonts w:ascii="Arial" w:hAnsi="Arial" w:cs="Arial"/>
          <w:sz w:val="24"/>
          <w:szCs w:val="24"/>
        </w:rPr>
        <w:lastRenderedPageBreak/>
        <w:t>of all social housing in the borough. This is well below the national pattern, where housing associations typically hold around 40% of social rented stock, and reflects Sandwell’s continued reliance on a large Council-owned housing base.</w:t>
      </w:r>
    </w:p>
    <w:p w14:paraId="22413065" w14:textId="77777777" w:rsidR="00EF17F5" w:rsidRPr="0003613D" w:rsidRDefault="00EF17F5" w:rsidP="00EF17F5">
      <w:pPr>
        <w:rPr>
          <w:rFonts w:ascii="Arial" w:hAnsi="Arial" w:cs="Arial"/>
          <w:sz w:val="24"/>
          <w:szCs w:val="24"/>
        </w:rPr>
      </w:pPr>
      <w:r w:rsidRPr="0003613D">
        <w:rPr>
          <w:rFonts w:ascii="Arial" w:hAnsi="Arial" w:cs="Arial"/>
          <w:sz w:val="24"/>
          <w:szCs w:val="24"/>
        </w:rPr>
        <w:t>Housing association properties are heavily weighted towards smaller homes: around two-thirds are one- or two-bedroom units. This means they play a key role in meeting the needs of single people, couples, and smaller households—groups that make up a substantial proportion of local housing demand. However, there is very limited provision of larger family accommodation, with only around 5% of HA homes offering four or more bedrooms. As a result, housing associations make only a small contribution to addressing the needs of larger families, who continue to rely primarily on Council-owned stock.</w:t>
      </w:r>
    </w:p>
    <w:p w14:paraId="1FD1285B" w14:textId="684ACCE0" w:rsidR="009E6C1D" w:rsidRPr="0003613D" w:rsidRDefault="00EF17F5">
      <w:pPr>
        <w:rPr>
          <w:rFonts w:ascii="Arial" w:hAnsi="Arial" w:cs="Arial"/>
          <w:sz w:val="24"/>
          <w:szCs w:val="24"/>
        </w:rPr>
      </w:pPr>
      <w:r w:rsidRPr="0003613D">
        <w:rPr>
          <w:rFonts w:ascii="Arial" w:hAnsi="Arial" w:cs="Arial"/>
          <w:sz w:val="24"/>
          <w:szCs w:val="24"/>
        </w:rPr>
        <w:t>Although the overall scale of HA provision is smaller, their homes are fully integrated into the Council’s choice-based lettings system, meaning they directly support access to social housing for applicants on the register. Overall, housing associations provide an important supplementary role—particularly for smaller households—while the Council remains the dominant provider and central to meeting family housing needs.</w:t>
      </w:r>
    </w:p>
    <w:tbl>
      <w:tblPr>
        <w:tblStyle w:val="TableGrid1"/>
        <w:tblW w:w="0" w:type="auto"/>
        <w:jc w:val="center"/>
        <w:tblLook w:val="04A0" w:firstRow="1" w:lastRow="0" w:firstColumn="1" w:lastColumn="0" w:noHBand="0" w:noVBand="1"/>
      </w:tblPr>
      <w:tblGrid>
        <w:gridCol w:w="2805"/>
        <w:gridCol w:w="2805"/>
        <w:gridCol w:w="2805"/>
      </w:tblGrid>
      <w:tr w:rsidR="00F0581E" w:rsidRPr="0003613D" w14:paraId="5049A107" w14:textId="77777777" w:rsidTr="003472A3">
        <w:trPr>
          <w:trHeight w:val="350"/>
          <w:jc w:val="center"/>
        </w:trPr>
        <w:tc>
          <w:tcPr>
            <w:tcW w:w="2805" w:type="dxa"/>
          </w:tcPr>
          <w:p w14:paraId="1BBAE047" w14:textId="77777777" w:rsidR="00F0581E" w:rsidRPr="0003613D" w:rsidRDefault="00F0581E" w:rsidP="00AC3A9F">
            <w:pPr>
              <w:spacing w:line="278" w:lineRule="auto"/>
              <w:rPr>
                <w:rFonts w:ascii="Arial" w:eastAsia="Aptos" w:hAnsi="Arial" w:cs="Arial"/>
                <w:b/>
                <w:bCs/>
              </w:rPr>
            </w:pPr>
            <w:bookmarkStart w:id="3" w:name="_Hlk214624916"/>
            <w:r w:rsidRPr="0003613D">
              <w:rPr>
                <w:rFonts w:ascii="Arial" w:eastAsia="Aptos" w:hAnsi="Arial" w:cs="Arial"/>
                <w:b/>
                <w:bCs/>
              </w:rPr>
              <w:t>Unit Size</w:t>
            </w:r>
          </w:p>
        </w:tc>
        <w:tc>
          <w:tcPr>
            <w:tcW w:w="2805" w:type="dxa"/>
          </w:tcPr>
          <w:p w14:paraId="408AA0CC" w14:textId="71F04147" w:rsidR="00F0581E" w:rsidRPr="0003613D" w:rsidRDefault="0074656E" w:rsidP="00AC3A9F">
            <w:pPr>
              <w:spacing w:line="278" w:lineRule="auto"/>
              <w:rPr>
                <w:rFonts w:ascii="Arial" w:eastAsia="Aptos" w:hAnsi="Arial" w:cs="Arial"/>
                <w:b/>
                <w:bCs/>
              </w:rPr>
            </w:pPr>
            <w:r w:rsidRPr="0003613D">
              <w:rPr>
                <w:rFonts w:ascii="Arial" w:eastAsia="Aptos" w:hAnsi="Arial" w:cs="Arial"/>
                <w:b/>
                <w:bCs/>
              </w:rPr>
              <w:t>Number of Units</w:t>
            </w:r>
          </w:p>
        </w:tc>
        <w:tc>
          <w:tcPr>
            <w:tcW w:w="2805" w:type="dxa"/>
          </w:tcPr>
          <w:p w14:paraId="2147886E" w14:textId="30CC8D5C" w:rsidR="00F0581E" w:rsidRPr="0003613D" w:rsidRDefault="0074656E" w:rsidP="00AC3A9F">
            <w:pPr>
              <w:spacing w:line="278" w:lineRule="auto"/>
              <w:rPr>
                <w:rFonts w:ascii="Arial" w:eastAsia="Aptos" w:hAnsi="Arial" w:cs="Arial"/>
                <w:b/>
                <w:bCs/>
              </w:rPr>
            </w:pPr>
            <w:r w:rsidRPr="0003613D">
              <w:rPr>
                <w:rFonts w:ascii="Arial" w:eastAsia="Aptos" w:hAnsi="Arial" w:cs="Arial"/>
                <w:b/>
                <w:bCs/>
              </w:rPr>
              <w:t>Proportion</w:t>
            </w:r>
          </w:p>
        </w:tc>
      </w:tr>
      <w:tr w:rsidR="00F0581E" w:rsidRPr="0003613D" w14:paraId="459DE5F4" w14:textId="77777777" w:rsidTr="003472A3">
        <w:trPr>
          <w:trHeight w:val="336"/>
          <w:jc w:val="center"/>
        </w:trPr>
        <w:tc>
          <w:tcPr>
            <w:tcW w:w="2805" w:type="dxa"/>
          </w:tcPr>
          <w:p w14:paraId="33B364CF" w14:textId="77777777" w:rsidR="00F0581E" w:rsidRPr="0003613D" w:rsidRDefault="00F0581E" w:rsidP="00AC3A9F">
            <w:pPr>
              <w:spacing w:line="278" w:lineRule="auto"/>
              <w:rPr>
                <w:rFonts w:ascii="Arial" w:eastAsia="Aptos" w:hAnsi="Arial" w:cs="Arial"/>
              </w:rPr>
            </w:pPr>
            <w:r w:rsidRPr="0003613D">
              <w:rPr>
                <w:rFonts w:ascii="Arial" w:eastAsia="Aptos" w:hAnsi="Arial" w:cs="Arial"/>
              </w:rPr>
              <w:t>1 Bedroom</w:t>
            </w:r>
          </w:p>
        </w:tc>
        <w:tc>
          <w:tcPr>
            <w:tcW w:w="2805" w:type="dxa"/>
          </w:tcPr>
          <w:p w14:paraId="3EC2B05E" w14:textId="77777777" w:rsidR="00F0581E" w:rsidRPr="0003613D" w:rsidRDefault="00F0581E" w:rsidP="00AC3A9F">
            <w:pPr>
              <w:spacing w:line="278" w:lineRule="auto"/>
              <w:rPr>
                <w:rFonts w:ascii="Arial" w:eastAsia="Aptos" w:hAnsi="Arial" w:cs="Arial"/>
              </w:rPr>
            </w:pPr>
            <w:r w:rsidRPr="0003613D">
              <w:rPr>
                <w:rFonts w:ascii="Arial" w:eastAsia="Aptos" w:hAnsi="Arial" w:cs="Arial"/>
              </w:rPr>
              <w:t>1,414</w:t>
            </w:r>
          </w:p>
        </w:tc>
        <w:tc>
          <w:tcPr>
            <w:tcW w:w="2805" w:type="dxa"/>
          </w:tcPr>
          <w:p w14:paraId="4DF4DBB7" w14:textId="77777777" w:rsidR="00F0581E" w:rsidRPr="0003613D" w:rsidRDefault="00F0581E" w:rsidP="00AC3A9F">
            <w:pPr>
              <w:spacing w:line="278" w:lineRule="auto"/>
              <w:rPr>
                <w:rFonts w:ascii="Arial" w:eastAsia="Aptos" w:hAnsi="Arial" w:cs="Arial"/>
              </w:rPr>
            </w:pPr>
            <w:r w:rsidRPr="0003613D">
              <w:rPr>
                <w:rFonts w:ascii="Arial" w:eastAsia="Aptos" w:hAnsi="Arial" w:cs="Arial"/>
              </w:rPr>
              <w:t>24.5%</w:t>
            </w:r>
          </w:p>
        </w:tc>
      </w:tr>
      <w:tr w:rsidR="00F0581E" w:rsidRPr="0003613D" w14:paraId="1D281F8C" w14:textId="77777777" w:rsidTr="003472A3">
        <w:trPr>
          <w:trHeight w:val="350"/>
          <w:jc w:val="center"/>
        </w:trPr>
        <w:tc>
          <w:tcPr>
            <w:tcW w:w="2805" w:type="dxa"/>
          </w:tcPr>
          <w:p w14:paraId="558B9FC0" w14:textId="77777777" w:rsidR="00F0581E" w:rsidRPr="0003613D" w:rsidRDefault="00F0581E" w:rsidP="00AC3A9F">
            <w:pPr>
              <w:spacing w:line="278" w:lineRule="auto"/>
              <w:rPr>
                <w:rFonts w:ascii="Arial" w:eastAsia="Aptos" w:hAnsi="Arial" w:cs="Arial"/>
              </w:rPr>
            </w:pPr>
            <w:r w:rsidRPr="0003613D">
              <w:rPr>
                <w:rFonts w:ascii="Arial" w:eastAsia="Aptos" w:hAnsi="Arial" w:cs="Arial"/>
              </w:rPr>
              <w:t>2 Bedroom</w:t>
            </w:r>
          </w:p>
        </w:tc>
        <w:tc>
          <w:tcPr>
            <w:tcW w:w="2805" w:type="dxa"/>
          </w:tcPr>
          <w:p w14:paraId="39BE3890" w14:textId="77777777" w:rsidR="00F0581E" w:rsidRPr="0003613D" w:rsidRDefault="00F0581E" w:rsidP="00AC3A9F">
            <w:pPr>
              <w:spacing w:line="278" w:lineRule="auto"/>
              <w:rPr>
                <w:rFonts w:ascii="Arial" w:eastAsia="Aptos" w:hAnsi="Arial" w:cs="Arial"/>
              </w:rPr>
            </w:pPr>
            <w:r w:rsidRPr="0003613D">
              <w:rPr>
                <w:rFonts w:ascii="Arial" w:eastAsia="Aptos" w:hAnsi="Arial" w:cs="Arial"/>
              </w:rPr>
              <w:t>2,368</w:t>
            </w:r>
          </w:p>
        </w:tc>
        <w:tc>
          <w:tcPr>
            <w:tcW w:w="2805" w:type="dxa"/>
          </w:tcPr>
          <w:p w14:paraId="518CAF26" w14:textId="77777777" w:rsidR="00F0581E" w:rsidRPr="0003613D" w:rsidRDefault="00F0581E" w:rsidP="00AC3A9F">
            <w:pPr>
              <w:spacing w:line="278" w:lineRule="auto"/>
              <w:rPr>
                <w:rFonts w:ascii="Arial" w:eastAsia="Aptos" w:hAnsi="Arial" w:cs="Arial"/>
              </w:rPr>
            </w:pPr>
            <w:r w:rsidRPr="0003613D">
              <w:rPr>
                <w:rFonts w:ascii="Arial" w:eastAsia="Aptos" w:hAnsi="Arial" w:cs="Arial"/>
              </w:rPr>
              <w:t>41.0%</w:t>
            </w:r>
          </w:p>
        </w:tc>
      </w:tr>
      <w:tr w:rsidR="00F0581E" w:rsidRPr="0003613D" w14:paraId="4A561837" w14:textId="77777777" w:rsidTr="003472A3">
        <w:trPr>
          <w:trHeight w:val="336"/>
          <w:jc w:val="center"/>
        </w:trPr>
        <w:tc>
          <w:tcPr>
            <w:tcW w:w="2805" w:type="dxa"/>
          </w:tcPr>
          <w:p w14:paraId="274EF010" w14:textId="77777777" w:rsidR="00F0581E" w:rsidRPr="0003613D" w:rsidRDefault="00F0581E" w:rsidP="00AC3A9F">
            <w:pPr>
              <w:spacing w:line="278" w:lineRule="auto"/>
              <w:rPr>
                <w:rFonts w:ascii="Arial" w:eastAsia="Aptos" w:hAnsi="Arial" w:cs="Arial"/>
              </w:rPr>
            </w:pPr>
            <w:r w:rsidRPr="0003613D">
              <w:rPr>
                <w:rFonts w:ascii="Arial" w:eastAsia="Aptos" w:hAnsi="Arial" w:cs="Arial"/>
              </w:rPr>
              <w:t>3 Bedroom</w:t>
            </w:r>
          </w:p>
        </w:tc>
        <w:tc>
          <w:tcPr>
            <w:tcW w:w="2805" w:type="dxa"/>
          </w:tcPr>
          <w:p w14:paraId="0113CED6" w14:textId="77777777" w:rsidR="00F0581E" w:rsidRPr="0003613D" w:rsidRDefault="00F0581E" w:rsidP="00AC3A9F">
            <w:pPr>
              <w:spacing w:line="278" w:lineRule="auto"/>
              <w:rPr>
                <w:rFonts w:ascii="Arial" w:eastAsia="Aptos" w:hAnsi="Arial" w:cs="Arial"/>
              </w:rPr>
            </w:pPr>
            <w:r w:rsidRPr="0003613D">
              <w:rPr>
                <w:rFonts w:ascii="Arial" w:eastAsia="Aptos" w:hAnsi="Arial" w:cs="Arial"/>
              </w:rPr>
              <w:t>1,660</w:t>
            </w:r>
          </w:p>
        </w:tc>
        <w:tc>
          <w:tcPr>
            <w:tcW w:w="2805" w:type="dxa"/>
          </w:tcPr>
          <w:p w14:paraId="6FF2A2A2" w14:textId="77777777" w:rsidR="00F0581E" w:rsidRPr="0003613D" w:rsidRDefault="00F0581E" w:rsidP="00AC3A9F">
            <w:pPr>
              <w:spacing w:line="278" w:lineRule="auto"/>
              <w:rPr>
                <w:rFonts w:ascii="Arial" w:eastAsia="Aptos" w:hAnsi="Arial" w:cs="Arial"/>
              </w:rPr>
            </w:pPr>
            <w:r w:rsidRPr="0003613D">
              <w:rPr>
                <w:rFonts w:ascii="Arial" w:eastAsia="Aptos" w:hAnsi="Arial" w:cs="Arial"/>
              </w:rPr>
              <w:t>28.8%</w:t>
            </w:r>
          </w:p>
        </w:tc>
      </w:tr>
      <w:tr w:rsidR="00F0581E" w:rsidRPr="0003613D" w14:paraId="57B792E2" w14:textId="77777777" w:rsidTr="003472A3">
        <w:trPr>
          <w:trHeight w:val="350"/>
          <w:jc w:val="center"/>
        </w:trPr>
        <w:tc>
          <w:tcPr>
            <w:tcW w:w="2805" w:type="dxa"/>
          </w:tcPr>
          <w:p w14:paraId="63EBC2A1" w14:textId="77777777" w:rsidR="00F0581E" w:rsidRPr="0003613D" w:rsidRDefault="00F0581E" w:rsidP="00AC3A9F">
            <w:pPr>
              <w:spacing w:line="278" w:lineRule="auto"/>
              <w:rPr>
                <w:rFonts w:ascii="Arial" w:eastAsia="Aptos" w:hAnsi="Arial" w:cs="Arial"/>
              </w:rPr>
            </w:pPr>
            <w:r w:rsidRPr="0003613D">
              <w:rPr>
                <w:rFonts w:ascii="Arial" w:eastAsia="Aptos" w:hAnsi="Arial" w:cs="Arial"/>
              </w:rPr>
              <w:t>4 Bedroom</w:t>
            </w:r>
          </w:p>
        </w:tc>
        <w:tc>
          <w:tcPr>
            <w:tcW w:w="2805" w:type="dxa"/>
          </w:tcPr>
          <w:p w14:paraId="61C33703" w14:textId="77777777" w:rsidR="00F0581E" w:rsidRPr="0003613D" w:rsidRDefault="00F0581E" w:rsidP="00AC3A9F">
            <w:pPr>
              <w:spacing w:line="278" w:lineRule="auto"/>
              <w:rPr>
                <w:rFonts w:ascii="Arial" w:eastAsia="Aptos" w:hAnsi="Arial" w:cs="Arial"/>
              </w:rPr>
            </w:pPr>
            <w:r w:rsidRPr="0003613D">
              <w:rPr>
                <w:rFonts w:ascii="Arial" w:eastAsia="Aptos" w:hAnsi="Arial" w:cs="Arial"/>
              </w:rPr>
              <w:t>294</w:t>
            </w:r>
          </w:p>
        </w:tc>
        <w:tc>
          <w:tcPr>
            <w:tcW w:w="2805" w:type="dxa"/>
          </w:tcPr>
          <w:p w14:paraId="19226634" w14:textId="77777777" w:rsidR="00F0581E" w:rsidRPr="0003613D" w:rsidRDefault="00F0581E" w:rsidP="00AC3A9F">
            <w:pPr>
              <w:spacing w:line="278" w:lineRule="auto"/>
              <w:rPr>
                <w:rFonts w:ascii="Arial" w:eastAsia="Aptos" w:hAnsi="Arial" w:cs="Arial"/>
              </w:rPr>
            </w:pPr>
            <w:r w:rsidRPr="0003613D">
              <w:rPr>
                <w:rFonts w:ascii="Arial" w:eastAsia="Aptos" w:hAnsi="Arial" w:cs="Arial"/>
              </w:rPr>
              <w:t>5.1%</w:t>
            </w:r>
          </w:p>
        </w:tc>
      </w:tr>
      <w:tr w:rsidR="00F0581E" w:rsidRPr="0003613D" w14:paraId="07AF6ADE" w14:textId="77777777" w:rsidTr="003472A3">
        <w:trPr>
          <w:trHeight w:val="336"/>
          <w:jc w:val="center"/>
        </w:trPr>
        <w:tc>
          <w:tcPr>
            <w:tcW w:w="2805" w:type="dxa"/>
          </w:tcPr>
          <w:p w14:paraId="388AD892" w14:textId="77777777" w:rsidR="00F0581E" w:rsidRPr="0003613D" w:rsidRDefault="00F0581E" w:rsidP="00AC3A9F">
            <w:pPr>
              <w:spacing w:line="278" w:lineRule="auto"/>
              <w:rPr>
                <w:rFonts w:ascii="Arial" w:eastAsia="Aptos" w:hAnsi="Arial" w:cs="Arial"/>
              </w:rPr>
            </w:pPr>
            <w:r w:rsidRPr="0003613D">
              <w:rPr>
                <w:rFonts w:ascii="Arial" w:eastAsia="Aptos" w:hAnsi="Arial" w:cs="Arial"/>
              </w:rPr>
              <w:t>5+ Bedroom</w:t>
            </w:r>
          </w:p>
        </w:tc>
        <w:tc>
          <w:tcPr>
            <w:tcW w:w="2805" w:type="dxa"/>
          </w:tcPr>
          <w:p w14:paraId="6210EA8A" w14:textId="77777777" w:rsidR="00F0581E" w:rsidRPr="0003613D" w:rsidRDefault="00F0581E" w:rsidP="00AC3A9F">
            <w:pPr>
              <w:spacing w:line="278" w:lineRule="auto"/>
              <w:rPr>
                <w:rFonts w:ascii="Arial" w:eastAsia="Aptos" w:hAnsi="Arial" w:cs="Arial"/>
              </w:rPr>
            </w:pPr>
            <w:r w:rsidRPr="0003613D">
              <w:rPr>
                <w:rFonts w:ascii="Arial" w:eastAsia="Aptos" w:hAnsi="Arial" w:cs="Arial"/>
              </w:rPr>
              <w:t>33</w:t>
            </w:r>
          </w:p>
        </w:tc>
        <w:tc>
          <w:tcPr>
            <w:tcW w:w="2805" w:type="dxa"/>
          </w:tcPr>
          <w:p w14:paraId="3E02ACE4" w14:textId="77777777" w:rsidR="00F0581E" w:rsidRPr="0003613D" w:rsidRDefault="00F0581E" w:rsidP="00AC3A9F">
            <w:pPr>
              <w:spacing w:line="278" w:lineRule="auto"/>
              <w:rPr>
                <w:rFonts w:ascii="Arial" w:eastAsia="Aptos" w:hAnsi="Arial" w:cs="Arial"/>
              </w:rPr>
            </w:pPr>
            <w:r w:rsidRPr="0003613D">
              <w:rPr>
                <w:rFonts w:ascii="Arial" w:eastAsia="Aptos" w:hAnsi="Arial" w:cs="Arial"/>
              </w:rPr>
              <w:t>0.6%</w:t>
            </w:r>
          </w:p>
        </w:tc>
      </w:tr>
      <w:tr w:rsidR="00F0581E" w:rsidRPr="0003613D" w14:paraId="7DDF699C" w14:textId="77777777" w:rsidTr="003472A3">
        <w:trPr>
          <w:trHeight w:val="336"/>
          <w:jc w:val="center"/>
        </w:trPr>
        <w:tc>
          <w:tcPr>
            <w:tcW w:w="2805" w:type="dxa"/>
          </w:tcPr>
          <w:p w14:paraId="1A4CAE7F" w14:textId="77777777" w:rsidR="00F0581E" w:rsidRPr="0003613D" w:rsidRDefault="00F0581E" w:rsidP="00AC3A9F">
            <w:pPr>
              <w:spacing w:line="278" w:lineRule="auto"/>
              <w:rPr>
                <w:rFonts w:ascii="Arial" w:eastAsia="Aptos" w:hAnsi="Arial" w:cs="Arial"/>
                <w:b/>
                <w:bCs/>
              </w:rPr>
            </w:pPr>
            <w:r w:rsidRPr="0003613D">
              <w:rPr>
                <w:rFonts w:ascii="Arial" w:eastAsia="Aptos" w:hAnsi="Arial" w:cs="Arial"/>
                <w:b/>
                <w:bCs/>
              </w:rPr>
              <w:t>Total</w:t>
            </w:r>
          </w:p>
        </w:tc>
        <w:tc>
          <w:tcPr>
            <w:tcW w:w="2805" w:type="dxa"/>
          </w:tcPr>
          <w:p w14:paraId="4C60FDED" w14:textId="77777777" w:rsidR="00F0581E" w:rsidRPr="0003613D" w:rsidRDefault="00F0581E" w:rsidP="00AC3A9F">
            <w:pPr>
              <w:spacing w:line="278" w:lineRule="auto"/>
              <w:rPr>
                <w:rFonts w:ascii="Arial" w:eastAsia="Aptos" w:hAnsi="Arial" w:cs="Arial"/>
                <w:b/>
                <w:bCs/>
              </w:rPr>
            </w:pPr>
            <w:r w:rsidRPr="0003613D">
              <w:rPr>
                <w:rFonts w:ascii="Arial" w:eastAsia="Aptos" w:hAnsi="Arial" w:cs="Arial"/>
                <w:b/>
                <w:bCs/>
              </w:rPr>
              <w:t>5,769</w:t>
            </w:r>
          </w:p>
        </w:tc>
        <w:tc>
          <w:tcPr>
            <w:tcW w:w="2805" w:type="dxa"/>
          </w:tcPr>
          <w:p w14:paraId="3FFA3C13" w14:textId="77777777" w:rsidR="00F0581E" w:rsidRPr="0003613D" w:rsidRDefault="00F0581E" w:rsidP="00AC3A9F">
            <w:pPr>
              <w:spacing w:line="278" w:lineRule="auto"/>
              <w:rPr>
                <w:rFonts w:ascii="Arial" w:eastAsia="Aptos" w:hAnsi="Arial" w:cs="Arial"/>
              </w:rPr>
            </w:pPr>
            <w:r w:rsidRPr="0003613D">
              <w:rPr>
                <w:rFonts w:ascii="Arial" w:eastAsia="Aptos" w:hAnsi="Arial" w:cs="Arial"/>
              </w:rPr>
              <w:t>100.0%</w:t>
            </w:r>
          </w:p>
        </w:tc>
      </w:tr>
      <w:bookmarkEnd w:id="3"/>
    </w:tbl>
    <w:p w14:paraId="7C088BEB" w14:textId="77777777" w:rsidR="00F0581E" w:rsidRPr="0003613D" w:rsidRDefault="00F0581E">
      <w:pPr>
        <w:rPr>
          <w:rFonts w:ascii="Arial" w:hAnsi="Arial" w:cs="Arial"/>
          <w:sz w:val="24"/>
          <w:szCs w:val="24"/>
        </w:rPr>
      </w:pPr>
    </w:p>
    <w:p w14:paraId="217EDE60" w14:textId="5710BE21" w:rsidR="00560693" w:rsidRPr="0003613D" w:rsidRDefault="00560693" w:rsidP="00560693">
      <w:pPr>
        <w:rPr>
          <w:rFonts w:ascii="Arial" w:hAnsi="Arial" w:cs="Arial"/>
          <w:b/>
          <w:bCs/>
          <w:sz w:val="24"/>
          <w:szCs w:val="24"/>
        </w:rPr>
      </w:pPr>
      <w:r w:rsidRPr="0003613D">
        <w:rPr>
          <w:rFonts w:ascii="Arial" w:hAnsi="Arial" w:cs="Arial"/>
          <w:b/>
          <w:bCs/>
          <w:sz w:val="24"/>
          <w:szCs w:val="24"/>
        </w:rPr>
        <w:t xml:space="preserve">Housing Supply and </w:t>
      </w:r>
      <w:r w:rsidR="00D4660A">
        <w:rPr>
          <w:rFonts w:ascii="Arial" w:hAnsi="Arial" w:cs="Arial"/>
          <w:b/>
          <w:bCs/>
          <w:sz w:val="24"/>
          <w:szCs w:val="24"/>
        </w:rPr>
        <w:t>Loss</w:t>
      </w:r>
      <w:r w:rsidRPr="0003613D">
        <w:rPr>
          <w:rFonts w:ascii="Arial" w:hAnsi="Arial" w:cs="Arial"/>
          <w:b/>
          <w:bCs/>
          <w:sz w:val="24"/>
          <w:szCs w:val="24"/>
        </w:rPr>
        <w:t xml:space="preserve"> Impact (2022/23–2024/25)</w:t>
      </w:r>
    </w:p>
    <w:p w14:paraId="1B25BF20" w14:textId="77777777" w:rsidR="00560693" w:rsidRPr="0003613D" w:rsidRDefault="00560693" w:rsidP="00560693">
      <w:pPr>
        <w:rPr>
          <w:rFonts w:ascii="Arial" w:hAnsi="Arial" w:cs="Arial"/>
          <w:sz w:val="24"/>
          <w:szCs w:val="24"/>
          <w:u w:val="single"/>
        </w:rPr>
      </w:pPr>
      <w:r w:rsidRPr="0003613D">
        <w:rPr>
          <w:rFonts w:ascii="Arial" w:hAnsi="Arial" w:cs="Arial"/>
          <w:sz w:val="24"/>
          <w:szCs w:val="24"/>
          <w:u w:val="single"/>
        </w:rPr>
        <w:t>1. New Supply Through Development and Buy-Backs</w:t>
      </w:r>
    </w:p>
    <w:p w14:paraId="1221F596" w14:textId="1E21CBC4" w:rsidR="00560693" w:rsidRPr="0003613D" w:rsidRDefault="00560693" w:rsidP="00560693">
      <w:pPr>
        <w:rPr>
          <w:rFonts w:ascii="Arial" w:hAnsi="Arial" w:cs="Arial"/>
          <w:sz w:val="24"/>
          <w:szCs w:val="24"/>
        </w:rPr>
      </w:pPr>
      <w:r w:rsidRPr="0003613D">
        <w:rPr>
          <w:rFonts w:ascii="Arial" w:hAnsi="Arial" w:cs="Arial"/>
          <w:sz w:val="24"/>
          <w:szCs w:val="24"/>
        </w:rPr>
        <w:t>Between 2022/23 and 2024/25, both Sandwell Council and local Housing Associations contributed to increasing affordable housing supply through new development and buy-back programmes. Buy-backs specifically targeted homes previously sold under Right to Buy (RTB)</w:t>
      </w:r>
      <w:r w:rsidR="00D4660A">
        <w:rPr>
          <w:rFonts w:ascii="Arial" w:hAnsi="Arial" w:cs="Arial"/>
          <w:sz w:val="24"/>
          <w:szCs w:val="24"/>
        </w:rPr>
        <w:t xml:space="preserve"> and other similar schemes</w:t>
      </w:r>
      <w:r w:rsidRPr="0003613D">
        <w:rPr>
          <w:rFonts w:ascii="Arial" w:hAnsi="Arial" w:cs="Arial"/>
          <w:sz w:val="24"/>
          <w:szCs w:val="24"/>
        </w:rPr>
        <w:t>, helping to recover part of the stock lost.</w:t>
      </w:r>
    </w:p>
    <w:p w14:paraId="3BD72F7E" w14:textId="77777777" w:rsidR="00560693" w:rsidRPr="0003613D" w:rsidRDefault="00560693" w:rsidP="00560693">
      <w:pPr>
        <w:rPr>
          <w:rFonts w:ascii="Arial" w:hAnsi="Arial" w:cs="Arial"/>
          <w:sz w:val="24"/>
          <w:szCs w:val="24"/>
        </w:rPr>
      </w:pPr>
      <w:r w:rsidRPr="0003613D">
        <w:rPr>
          <w:rFonts w:ascii="Arial" w:hAnsi="Arial" w:cs="Arial"/>
          <w:sz w:val="24"/>
          <w:szCs w:val="24"/>
        </w:rPr>
        <w:t>During this period:</w:t>
      </w:r>
    </w:p>
    <w:p w14:paraId="4945D0DC" w14:textId="77777777" w:rsidR="00560693" w:rsidRPr="0003613D" w:rsidRDefault="00560693" w:rsidP="00560693">
      <w:pPr>
        <w:pStyle w:val="ListParagraph"/>
        <w:numPr>
          <w:ilvl w:val="0"/>
          <w:numId w:val="34"/>
        </w:numPr>
        <w:rPr>
          <w:rFonts w:ascii="Arial" w:hAnsi="Arial" w:cs="Arial"/>
          <w:sz w:val="24"/>
          <w:szCs w:val="24"/>
        </w:rPr>
      </w:pPr>
      <w:r w:rsidRPr="0003613D">
        <w:rPr>
          <w:rFonts w:ascii="Arial" w:hAnsi="Arial" w:cs="Arial"/>
          <w:b/>
          <w:bCs/>
          <w:sz w:val="24"/>
          <w:szCs w:val="24"/>
        </w:rPr>
        <w:t>Council</w:t>
      </w:r>
      <w:r w:rsidRPr="0003613D">
        <w:rPr>
          <w:rFonts w:ascii="Arial" w:hAnsi="Arial" w:cs="Arial"/>
          <w:sz w:val="24"/>
          <w:szCs w:val="24"/>
        </w:rPr>
        <w:t xml:space="preserve"> delivered </w:t>
      </w:r>
      <w:r w:rsidRPr="0003613D">
        <w:rPr>
          <w:rFonts w:ascii="Arial" w:hAnsi="Arial" w:cs="Arial"/>
          <w:b/>
          <w:bCs/>
          <w:sz w:val="24"/>
          <w:szCs w:val="24"/>
        </w:rPr>
        <w:t>76 new-build homes</w:t>
      </w:r>
      <w:r w:rsidRPr="0003613D">
        <w:rPr>
          <w:rFonts w:ascii="Arial" w:hAnsi="Arial" w:cs="Arial"/>
          <w:sz w:val="24"/>
          <w:szCs w:val="24"/>
        </w:rPr>
        <w:t xml:space="preserve"> and completed </w:t>
      </w:r>
      <w:r w:rsidRPr="0003613D">
        <w:rPr>
          <w:rFonts w:ascii="Arial" w:hAnsi="Arial" w:cs="Arial"/>
          <w:b/>
          <w:bCs/>
          <w:sz w:val="24"/>
          <w:szCs w:val="24"/>
        </w:rPr>
        <w:t>54 buy-backs</w:t>
      </w:r>
      <w:r w:rsidRPr="0003613D">
        <w:rPr>
          <w:rFonts w:ascii="Arial" w:hAnsi="Arial" w:cs="Arial"/>
          <w:sz w:val="24"/>
          <w:szCs w:val="24"/>
        </w:rPr>
        <w:t xml:space="preserve">, adding </w:t>
      </w:r>
      <w:r w:rsidRPr="0003613D">
        <w:rPr>
          <w:rFonts w:ascii="Arial" w:hAnsi="Arial" w:cs="Arial"/>
          <w:b/>
          <w:bCs/>
          <w:sz w:val="24"/>
          <w:szCs w:val="24"/>
        </w:rPr>
        <w:t>130 homes</w:t>
      </w:r>
      <w:r w:rsidRPr="0003613D">
        <w:rPr>
          <w:rFonts w:ascii="Arial" w:hAnsi="Arial" w:cs="Arial"/>
          <w:sz w:val="24"/>
          <w:szCs w:val="24"/>
        </w:rPr>
        <w:t xml:space="preserve"> in total.</w:t>
      </w:r>
    </w:p>
    <w:p w14:paraId="166A6AD5" w14:textId="77777777" w:rsidR="00560693" w:rsidRPr="0003613D" w:rsidRDefault="00560693" w:rsidP="00560693">
      <w:pPr>
        <w:pStyle w:val="ListParagraph"/>
        <w:numPr>
          <w:ilvl w:val="0"/>
          <w:numId w:val="34"/>
        </w:numPr>
        <w:rPr>
          <w:rFonts w:ascii="Arial" w:hAnsi="Arial" w:cs="Arial"/>
          <w:sz w:val="24"/>
          <w:szCs w:val="24"/>
        </w:rPr>
      </w:pPr>
      <w:r w:rsidRPr="0003613D">
        <w:rPr>
          <w:rFonts w:ascii="Arial" w:hAnsi="Arial" w:cs="Arial"/>
          <w:b/>
          <w:bCs/>
          <w:sz w:val="24"/>
          <w:szCs w:val="24"/>
        </w:rPr>
        <w:t>Housing Associations</w:t>
      </w:r>
      <w:r w:rsidRPr="0003613D">
        <w:rPr>
          <w:rFonts w:ascii="Arial" w:hAnsi="Arial" w:cs="Arial"/>
          <w:sz w:val="24"/>
          <w:szCs w:val="24"/>
        </w:rPr>
        <w:t xml:space="preserve"> added </w:t>
      </w:r>
      <w:r w:rsidRPr="0003613D">
        <w:rPr>
          <w:rFonts w:ascii="Arial" w:hAnsi="Arial" w:cs="Arial"/>
          <w:b/>
          <w:bCs/>
          <w:sz w:val="24"/>
          <w:szCs w:val="24"/>
        </w:rPr>
        <w:t>320 new-build homes</w:t>
      </w:r>
      <w:r w:rsidRPr="0003613D">
        <w:rPr>
          <w:rFonts w:ascii="Arial" w:hAnsi="Arial" w:cs="Arial"/>
          <w:sz w:val="24"/>
          <w:szCs w:val="24"/>
        </w:rPr>
        <w:t xml:space="preserve"> and completed </w:t>
      </w:r>
      <w:r w:rsidRPr="0003613D">
        <w:rPr>
          <w:rFonts w:ascii="Arial" w:hAnsi="Arial" w:cs="Arial"/>
          <w:b/>
          <w:bCs/>
          <w:sz w:val="24"/>
          <w:szCs w:val="24"/>
        </w:rPr>
        <w:t>11 buy-backs</w:t>
      </w:r>
      <w:r w:rsidRPr="0003613D">
        <w:rPr>
          <w:rFonts w:ascii="Arial" w:hAnsi="Arial" w:cs="Arial"/>
          <w:sz w:val="24"/>
          <w:szCs w:val="24"/>
        </w:rPr>
        <w:t xml:space="preserve">, adding </w:t>
      </w:r>
      <w:r w:rsidRPr="0003613D">
        <w:rPr>
          <w:rFonts w:ascii="Arial" w:hAnsi="Arial" w:cs="Arial"/>
          <w:b/>
          <w:bCs/>
          <w:sz w:val="24"/>
          <w:szCs w:val="24"/>
        </w:rPr>
        <w:t>331 homes</w:t>
      </w:r>
      <w:r w:rsidRPr="0003613D">
        <w:rPr>
          <w:rFonts w:ascii="Arial" w:hAnsi="Arial" w:cs="Arial"/>
          <w:sz w:val="24"/>
          <w:szCs w:val="24"/>
        </w:rPr>
        <w:t xml:space="preserve"> to the stock.</w:t>
      </w:r>
    </w:p>
    <w:p w14:paraId="584D52C0" w14:textId="22B67F59" w:rsidR="00560693" w:rsidRPr="0003613D" w:rsidRDefault="00560693" w:rsidP="00560693">
      <w:pPr>
        <w:rPr>
          <w:rFonts w:ascii="Arial" w:hAnsi="Arial" w:cs="Arial"/>
          <w:sz w:val="24"/>
          <w:szCs w:val="24"/>
        </w:rPr>
      </w:pPr>
      <w:r w:rsidRPr="0003613D">
        <w:rPr>
          <w:rFonts w:ascii="Arial" w:hAnsi="Arial" w:cs="Arial"/>
          <w:sz w:val="24"/>
          <w:szCs w:val="24"/>
        </w:rPr>
        <w:t xml:space="preserve">Buy-backs represent a direct replacement of homes previously lost through </w:t>
      </w:r>
      <w:r w:rsidR="00F463B4">
        <w:rPr>
          <w:rFonts w:ascii="Arial" w:hAnsi="Arial" w:cs="Arial"/>
          <w:sz w:val="24"/>
          <w:szCs w:val="24"/>
        </w:rPr>
        <w:t>sales</w:t>
      </w:r>
      <w:r w:rsidRPr="0003613D">
        <w:rPr>
          <w:rFonts w:ascii="Arial" w:hAnsi="Arial" w:cs="Arial"/>
          <w:sz w:val="24"/>
          <w:szCs w:val="24"/>
        </w:rPr>
        <w:t xml:space="preserve">, helping to offset the reduction in stock and maintain overall supply. Housing </w:t>
      </w:r>
      <w:r w:rsidRPr="0003613D">
        <w:rPr>
          <w:rFonts w:ascii="Arial" w:hAnsi="Arial" w:cs="Arial"/>
          <w:sz w:val="24"/>
          <w:szCs w:val="24"/>
        </w:rPr>
        <w:lastRenderedPageBreak/>
        <w:t>Associations’ strong new-build activity further expanded the borough’s affordable housing capacity.</w:t>
      </w:r>
    </w:p>
    <w:tbl>
      <w:tblPr>
        <w:tblStyle w:val="TableGrid1"/>
        <w:tblW w:w="0" w:type="auto"/>
        <w:jc w:val="center"/>
        <w:tblLook w:val="04A0" w:firstRow="1" w:lastRow="0" w:firstColumn="1" w:lastColumn="0" w:noHBand="0" w:noVBand="1"/>
      </w:tblPr>
      <w:tblGrid>
        <w:gridCol w:w="2728"/>
        <w:gridCol w:w="1510"/>
        <w:gridCol w:w="1431"/>
        <w:gridCol w:w="1576"/>
      </w:tblGrid>
      <w:tr w:rsidR="00560693" w:rsidRPr="0003613D" w14:paraId="1BBE1B40" w14:textId="77777777" w:rsidTr="001C48A2">
        <w:trPr>
          <w:jc w:val="center"/>
        </w:trPr>
        <w:tc>
          <w:tcPr>
            <w:tcW w:w="0" w:type="auto"/>
            <w:hideMark/>
          </w:tcPr>
          <w:p w14:paraId="296C64F2" w14:textId="77777777" w:rsidR="00560693" w:rsidRPr="0003613D" w:rsidRDefault="00560693" w:rsidP="00560693">
            <w:pPr>
              <w:spacing w:after="160" w:line="259" w:lineRule="auto"/>
              <w:rPr>
                <w:rFonts w:ascii="Arial" w:hAnsi="Arial" w:cs="Arial"/>
                <w:b/>
                <w:bCs/>
              </w:rPr>
            </w:pPr>
            <w:r w:rsidRPr="0003613D">
              <w:rPr>
                <w:rFonts w:ascii="Arial" w:hAnsi="Arial" w:cs="Arial"/>
                <w:b/>
                <w:bCs/>
              </w:rPr>
              <w:t>Provider</w:t>
            </w:r>
          </w:p>
        </w:tc>
        <w:tc>
          <w:tcPr>
            <w:tcW w:w="0" w:type="auto"/>
            <w:hideMark/>
          </w:tcPr>
          <w:p w14:paraId="3E695F8C" w14:textId="77777777" w:rsidR="00560693" w:rsidRPr="0003613D" w:rsidRDefault="00560693" w:rsidP="00560693">
            <w:pPr>
              <w:spacing w:after="160" w:line="259" w:lineRule="auto"/>
              <w:rPr>
                <w:rFonts w:ascii="Arial" w:hAnsi="Arial" w:cs="Arial"/>
                <w:b/>
                <w:bCs/>
              </w:rPr>
            </w:pPr>
            <w:r w:rsidRPr="0003613D">
              <w:rPr>
                <w:rFonts w:ascii="Arial" w:hAnsi="Arial" w:cs="Arial"/>
                <w:b/>
                <w:bCs/>
              </w:rPr>
              <w:t>New Builds</w:t>
            </w:r>
          </w:p>
        </w:tc>
        <w:tc>
          <w:tcPr>
            <w:tcW w:w="0" w:type="auto"/>
            <w:hideMark/>
          </w:tcPr>
          <w:p w14:paraId="6B834A35" w14:textId="5F755333" w:rsidR="00560693" w:rsidRPr="0003613D" w:rsidRDefault="001C48A2" w:rsidP="00560693">
            <w:pPr>
              <w:spacing w:after="160" w:line="259" w:lineRule="auto"/>
              <w:rPr>
                <w:rFonts w:ascii="Arial" w:hAnsi="Arial" w:cs="Arial"/>
                <w:b/>
                <w:bCs/>
              </w:rPr>
            </w:pPr>
            <w:r>
              <w:rPr>
                <w:rFonts w:ascii="Arial" w:hAnsi="Arial" w:cs="Arial"/>
                <w:b/>
                <w:bCs/>
              </w:rPr>
              <w:t>Purchases</w:t>
            </w:r>
          </w:p>
        </w:tc>
        <w:tc>
          <w:tcPr>
            <w:tcW w:w="0" w:type="auto"/>
            <w:hideMark/>
          </w:tcPr>
          <w:p w14:paraId="26C2D6FB" w14:textId="77777777" w:rsidR="00560693" w:rsidRPr="0003613D" w:rsidRDefault="00560693" w:rsidP="00560693">
            <w:pPr>
              <w:spacing w:after="160" w:line="259" w:lineRule="auto"/>
              <w:rPr>
                <w:rFonts w:ascii="Arial" w:hAnsi="Arial" w:cs="Arial"/>
                <w:b/>
                <w:bCs/>
              </w:rPr>
            </w:pPr>
            <w:r w:rsidRPr="0003613D">
              <w:rPr>
                <w:rFonts w:ascii="Arial" w:hAnsi="Arial" w:cs="Arial"/>
                <w:b/>
                <w:bCs/>
              </w:rPr>
              <w:t>Total Added</w:t>
            </w:r>
          </w:p>
        </w:tc>
      </w:tr>
      <w:tr w:rsidR="00560693" w:rsidRPr="0003613D" w14:paraId="020D8BBF" w14:textId="77777777" w:rsidTr="001C48A2">
        <w:trPr>
          <w:jc w:val="center"/>
        </w:trPr>
        <w:tc>
          <w:tcPr>
            <w:tcW w:w="0" w:type="auto"/>
            <w:hideMark/>
          </w:tcPr>
          <w:p w14:paraId="67282556" w14:textId="77777777" w:rsidR="00560693" w:rsidRPr="0003613D" w:rsidRDefault="00560693" w:rsidP="00560693">
            <w:pPr>
              <w:spacing w:after="160" w:line="259" w:lineRule="auto"/>
              <w:rPr>
                <w:rFonts w:ascii="Arial" w:hAnsi="Arial" w:cs="Arial"/>
              </w:rPr>
            </w:pPr>
            <w:r w:rsidRPr="0003613D">
              <w:rPr>
                <w:rFonts w:ascii="Arial" w:hAnsi="Arial" w:cs="Arial"/>
                <w:b/>
                <w:bCs/>
              </w:rPr>
              <w:t>Council</w:t>
            </w:r>
          </w:p>
        </w:tc>
        <w:tc>
          <w:tcPr>
            <w:tcW w:w="0" w:type="auto"/>
            <w:hideMark/>
          </w:tcPr>
          <w:p w14:paraId="0A2D5233" w14:textId="77777777" w:rsidR="00560693" w:rsidRPr="0003613D" w:rsidRDefault="00560693" w:rsidP="00560693">
            <w:pPr>
              <w:spacing w:after="160" w:line="259" w:lineRule="auto"/>
              <w:rPr>
                <w:rFonts w:ascii="Arial" w:hAnsi="Arial" w:cs="Arial"/>
              </w:rPr>
            </w:pPr>
            <w:r w:rsidRPr="0003613D">
              <w:rPr>
                <w:rFonts w:ascii="Arial" w:hAnsi="Arial" w:cs="Arial"/>
              </w:rPr>
              <w:t>76</w:t>
            </w:r>
          </w:p>
        </w:tc>
        <w:tc>
          <w:tcPr>
            <w:tcW w:w="0" w:type="auto"/>
            <w:hideMark/>
          </w:tcPr>
          <w:p w14:paraId="07B72EF8" w14:textId="77777777" w:rsidR="00560693" w:rsidRPr="0003613D" w:rsidRDefault="00560693" w:rsidP="00560693">
            <w:pPr>
              <w:spacing w:after="160" w:line="259" w:lineRule="auto"/>
              <w:rPr>
                <w:rFonts w:ascii="Arial" w:hAnsi="Arial" w:cs="Arial"/>
              </w:rPr>
            </w:pPr>
            <w:r w:rsidRPr="0003613D">
              <w:rPr>
                <w:rFonts w:ascii="Arial" w:hAnsi="Arial" w:cs="Arial"/>
              </w:rPr>
              <w:t>54</w:t>
            </w:r>
          </w:p>
        </w:tc>
        <w:tc>
          <w:tcPr>
            <w:tcW w:w="0" w:type="auto"/>
            <w:hideMark/>
          </w:tcPr>
          <w:p w14:paraId="19919BAA" w14:textId="77777777" w:rsidR="00560693" w:rsidRPr="0003613D" w:rsidRDefault="00560693" w:rsidP="00560693">
            <w:pPr>
              <w:spacing w:after="160" w:line="259" w:lineRule="auto"/>
              <w:rPr>
                <w:rFonts w:ascii="Arial" w:hAnsi="Arial" w:cs="Arial"/>
              </w:rPr>
            </w:pPr>
            <w:r w:rsidRPr="0003613D">
              <w:rPr>
                <w:rFonts w:ascii="Arial" w:hAnsi="Arial" w:cs="Arial"/>
              </w:rPr>
              <w:t>130</w:t>
            </w:r>
          </w:p>
        </w:tc>
      </w:tr>
      <w:tr w:rsidR="00560693" w:rsidRPr="0003613D" w14:paraId="2102DE5D" w14:textId="77777777" w:rsidTr="001C48A2">
        <w:trPr>
          <w:jc w:val="center"/>
        </w:trPr>
        <w:tc>
          <w:tcPr>
            <w:tcW w:w="0" w:type="auto"/>
            <w:hideMark/>
          </w:tcPr>
          <w:p w14:paraId="5CB6E0B2" w14:textId="77777777" w:rsidR="00560693" w:rsidRPr="0003613D" w:rsidRDefault="00560693" w:rsidP="00560693">
            <w:pPr>
              <w:spacing w:after="160" w:line="259" w:lineRule="auto"/>
              <w:rPr>
                <w:rFonts w:ascii="Arial" w:hAnsi="Arial" w:cs="Arial"/>
              </w:rPr>
            </w:pPr>
            <w:r w:rsidRPr="0003613D">
              <w:rPr>
                <w:rFonts w:ascii="Arial" w:hAnsi="Arial" w:cs="Arial"/>
                <w:b/>
                <w:bCs/>
              </w:rPr>
              <w:t>Housing Associations</w:t>
            </w:r>
          </w:p>
        </w:tc>
        <w:tc>
          <w:tcPr>
            <w:tcW w:w="0" w:type="auto"/>
            <w:hideMark/>
          </w:tcPr>
          <w:p w14:paraId="6ED7035A" w14:textId="77777777" w:rsidR="00560693" w:rsidRPr="0003613D" w:rsidRDefault="00560693" w:rsidP="00560693">
            <w:pPr>
              <w:spacing w:after="160" w:line="259" w:lineRule="auto"/>
              <w:rPr>
                <w:rFonts w:ascii="Arial" w:hAnsi="Arial" w:cs="Arial"/>
              </w:rPr>
            </w:pPr>
            <w:r w:rsidRPr="0003613D">
              <w:rPr>
                <w:rFonts w:ascii="Arial" w:hAnsi="Arial" w:cs="Arial"/>
              </w:rPr>
              <w:t>320</w:t>
            </w:r>
          </w:p>
        </w:tc>
        <w:tc>
          <w:tcPr>
            <w:tcW w:w="0" w:type="auto"/>
            <w:hideMark/>
          </w:tcPr>
          <w:p w14:paraId="49A879BF" w14:textId="77777777" w:rsidR="00560693" w:rsidRPr="0003613D" w:rsidRDefault="00560693" w:rsidP="00560693">
            <w:pPr>
              <w:spacing w:after="160" w:line="259" w:lineRule="auto"/>
              <w:rPr>
                <w:rFonts w:ascii="Arial" w:hAnsi="Arial" w:cs="Arial"/>
              </w:rPr>
            </w:pPr>
            <w:r w:rsidRPr="0003613D">
              <w:rPr>
                <w:rFonts w:ascii="Arial" w:hAnsi="Arial" w:cs="Arial"/>
              </w:rPr>
              <w:t>11</w:t>
            </w:r>
          </w:p>
        </w:tc>
        <w:tc>
          <w:tcPr>
            <w:tcW w:w="0" w:type="auto"/>
            <w:hideMark/>
          </w:tcPr>
          <w:p w14:paraId="5F537D82" w14:textId="77777777" w:rsidR="00560693" w:rsidRPr="0003613D" w:rsidRDefault="00560693" w:rsidP="00560693">
            <w:pPr>
              <w:spacing w:after="160" w:line="259" w:lineRule="auto"/>
              <w:rPr>
                <w:rFonts w:ascii="Arial" w:hAnsi="Arial" w:cs="Arial"/>
              </w:rPr>
            </w:pPr>
            <w:r w:rsidRPr="0003613D">
              <w:rPr>
                <w:rFonts w:ascii="Arial" w:hAnsi="Arial" w:cs="Arial"/>
              </w:rPr>
              <w:t>331</w:t>
            </w:r>
          </w:p>
        </w:tc>
      </w:tr>
      <w:tr w:rsidR="00560693" w:rsidRPr="0003613D" w14:paraId="55330B6B" w14:textId="77777777" w:rsidTr="001C48A2">
        <w:trPr>
          <w:jc w:val="center"/>
        </w:trPr>
        <w:tc>
          <w:tcPr>
            <w:tcW w:w="0" w:type="auto"/>
            <w:hideMark/>
          </w:tcPr>
          <w:p w14:paraId="06194C1D" w14:textId="77777777" w:rsidR="00560693" w:rsidRPr="0003613D" w:rsidRDefault="00560693" w:rsidP="00560693">
            <w:pPr>
              <w:spacing w:after="160" w:line="259" w:lineRule="auto"/>
              <w:rPr>
                <w:rFonts w:ascii="Arial" w:hAnsi="Arial" w:cs="Arial"/>
              </w:rPr>
            </w:pPr>
            <w:r w:rsidRPr="0003613D">
              <w:rPr>
                <w:rFonts w:ascii="Arial" w:hAnsi="Arial" w:cs="Arial"/>
                <w:b/>
                <w:bCs/>
              </w:rPr>
              <w:t>Total</w:t>
            </w:r>
          </w:p>
        </w:tc>
        <w:tc>
          <w:tcPr>
            <w:tcW w:w="0" w:type="auto"/>
            <w:hideMark/>
          </w:tcPr>
          <w:p w14:paraId="13899C1A" w14:textId="77777777" w:rsidR="00560693" w:rsidRPr="0003613D" w:rsidRDefault="00560693" w:rsidP="00560693">
            <w:pPr>
              <w:spacing w:after="160" w:line="259" w:lineRule="auto"/>
              <w:rPr>
                <w:rFonts w:ascii="Arial" w:hAnsi="Arial" w:cs="Arial"/>
              </w:rPr>
            </w:pPr>
            <w:r w:rsidRPr="0003613D">
              <w:rPr>
                <w:rFonts w:ascii="Arial" w:hAnsi="Arial" w:cs="Arial"/>
              </w:rPr>
              <w:t>396</w:t>
            </w:r>
          </w:p>
        </w:tc>
        <w:tc>
          <w:tcPr>
            <w:tcW w:w="0" w:type="auto"/>
            <w:hideMark/>
          </w:tcPr>
          <w:p w14:paraId="21364154" w14:textId="77777777" w:rsidR="00560693" w:rsidRPr="0003613D" w:rsidRDefault="00560693" w:rsidP="00560693">
            <w:pPr>
              <w:spacing w:after="160" w:line="259" w:lineRule="auto"/>
              <w:rPr>
                <w:rFonts w:ascii="Arial" w:hAnsi="Arial" w:cs="Arial"/>
              </w:rPr>
            </w:pPr>
            <w:r w:rsidRPr="0003613D">
              <w:rPr>
                <w:rFonts w:ascii="Arial" w:hAnsi="Arial" w:cs="Arial"/>
              </w:rPr>
              <w:t>65</w:t>
            </w:r>
          </w:p>
        </w:tc>
        <w:tc>
          <w:tcPr>
            <w:tcW w:w="0" w:type="auto"/>
            <w:hideMark/>
          </w:tcPr>
          <w:p w14:paraId="3974E99D" w14:textId="77777777" w:rsidR="00560693" w:rsidRPr="0003613D" w:rsidRDefault="00560693" w:rsidP="00560693">
            <w:pPr>
              <w:spacing w:after="160" w:line="259" w:lineRule="auto"/>
              <w:rPr>
                <w:rFonts w:ascii="Arial" w:hAnsi="Arial" w:cs="Arial"/>
              </w:rPr>
            </w:pPr>
            <w:r w:rsidRPr="0003613D">
              <w:rPr>
                <w:rFonts w:ascii="Arial" w:hAnsi="Arial" w:cs="Arial"/>
              </w:rPr>
              <w:t>461</w:t>
            </w:r>
          </w:p>
        </w:tc>
      </w:tr>
    </w:tbl>
    <w:p w14:paraId="2249EA7B" w14:textId="73F01EDC" w:rsidR="00560693" w:rsidRPr="0003613D" w:rsidRDefault="00560693" w:rsidP="00560693">
      <w:pPr>
        <w:rPr>
          <w:rFonts w:ascii="Arial" w:hAnsi="Arial" w:cs="Arial"/>
          <w:sz w:val="24"/>
          <w:szCs w:val="24"/>
        </w:rPr>
      </w:pPr>
    </w:p>
    <w:p w14:paraId="08B525A9" w14:textId="62A5D218" w:rsidR="00560693" w:rsidRPr="0003613D" w:rsidRDefault="00560693" w:rsidP="00560693">
      <w:pPr>
        <w:rPr>
          <w:rFonts w:ascii="Arial" w:hAnsi="Arial" w:cs="Arial"/>
          <w:sz w:val="24"/>
          <w:szCs w:val="24"/>
          <w:u w:val="single"/>
        </w:rPr>
      </w:pPr>
      <w:r w:rsidRPr="0003613D">
        <w:rPr>
          <w:rFonts w:ascii="Arial" w:hAnsi="Arial" w:cs="Arial"/>
          <w:sz w:val="24"/>
          <w:szCs w:val="24"/>
          <w:u w:val="single"/>
        </w:rPr>
        <w:t xml:space="preserve">2. </w:t>
      </w:r>
      <w:r w:rsidR="00322FFC">
        <w:rPr>
          <w:rFonts w:ascii="Arial" w:hAnsi="Arial" w:cs="Arial"/>
          <w:sz w:val="24"/>
          <w:szCs w:val="24"/>
          <w:u w:val="single"/>
        </w:rPr>
        <w:t>Sales</w:t>
      </w:r>
      <w:r w:rsidRPr="0003613D">
        <w:rPr>
          <w:rFonts w:ascii="Arial" w:hAnsi="Arial" w:cs="Arial"/>
          <w:sz w:val="24"/>
          <w:szCs w:val="24"/>
          <w:u w:val="single"/>
        </w:rPr>
        <w:t xml:space="preserve"> Activity and Stock Losses</w:t>
      </w:r>
    </w:p>
    <w:p w14:paraId="287287FB" w14:textId="1B9FFE15" w:rsidR="00560693" w:rsidRPr="0003613D" w:rsidRDefault="003F123F" w:rsidP="00560693">
      <w:pPr>
        <w:rPr>
          <w:rFonts w:ascii="Arial" w:hAnsi="Arial" w:cs="Arial"/>
          <w:sz w:val="24"/>
          <w:szCs w:val="24"/>
        </w:rPr>
      </w:pPr>
      <w:r>
        <w:rPr>
          <w:rFonts w:ascii="Arial" w:hAnsi="Arial" w:cs="Arial"/>
          <w:sz w:val="24"/>
          <w:szCs w:val="24"/>
        </w:rPr>
        <w:t>Homes sold via Right to Buy</w:t>
      </w:r>
      <w:r w:rsidR="003E3099">
        <w:rPr>
          <w:rFonts w:ascii="Arial" w:hAnsi="Arial" w:cs="Arial"/>
          <w:sz w:val="24"/>
          <w:szCs w:val="24"/>
        </w:rPr>
        <w:t xml:space="preserve">, Right to </w:t>
      </w:r>
      <w:r>
        <w:rPr>
          <w:rFonts w:ascii="Arial" w:hAnsi="Arial" w:cs="Arial"/>
          <w:sz w:val="24"/>
          <w:szCs w:val="24"/>
        </w:rPr>
        <w:t>Acquire</w:t>
      </w:r>
      <w:r w:rsidR="003E3099">
        <w:rPr>
          <w:rFonts w:ascii="Arial" w:hAnsi="Arial" w:cs="Arial"/>
          <w:sz w:val="24"/>
          <w:szCs w:val="24"/>
        </w:rPr>
        <w:t xml:space="preserve"> and other schemes</w:t>
      </w:r>
      <w:r>
        <w:rPr>
          <w:rFonts w:ascii="Arial" w:hAnsi="Arial" w:cs="Arial"/>
          <w:sz w:val="24"/>
          <w:szCs w:val="24"/>
        </w:rPr>
        <w:t xml:space="preserve"> </w:t>
      </w:r>
      <w:r w:rsidR="00560693" w:rsidRPr="0003613D">
        <w:rPr>
          <w:rFonts w:ascii="Arial" w:hAnsi="Arial" w:cs="Arial"/>
          <w:sz w:val="24"/>
          <w:szCs w:val="24"/>
        </w:rPr>
        <w:t>continued to result in net stock losses across both Council and Housing Association properties:</w:t>
      </w:r>
    </w:p>
    <w:p w14:paraId="4CD77BE1" w14:textId="44AF54EF" w:rsidR="00560693" w:rsidRPr="0003613D" w:rsidRDefault="00560693" w:rsidP="00560693">
      <w:pPr>
        <w:pStyle w:val="ListParagraph"/>
        <w:numPr>
          <w:ilvl w:val="0"/>
          <w:numId w:val="33"/>
        </w:numPr>
        <w:rPr>
          <w:rFonts w:ascii="Arial" w:hAnsi="Arial" w:cs="Arial"/>
          <w:sz w:val="24"/>
          <w:szCs w:val="24"/>
        </w:rPr>
      </w:pPr>
      <w:r w:rsidRPr="0003613D">
        <w:rPr>
          <w:rFonts w:ascii="Arial" w:hAnsi="Arial" w:cs="Arial"/>
          <w:b/>
          <w:bCs/>
          <w:sz w:val="24"/>
          <w:szCs w:val="24"/>
        </w:rPr>
        <w:t xml:space="preserve">Council </w:t>
      </w:r>
      <w:r w:rsidR="00322FFC">
        <w:rPr>
          <w:rFonts w:ascii="Arial" w:hAnsi="Arial" w:cs="Arial"/>
          <w:b/>
          <w:bCs/>
          <w:sz w:val="24"/>
          <w:szCs w:val="24"/>
        </w:rPr>
        <w:t>property</w:t>
      </w:r>
      <w:r w:rsidRPr="0003613D">
        <w:rPr>
          <w:rFonts w:ascii="Arial" w:hAnsi="Arial" w:cs="Arial"/>
          <w:b/>
          <w:bCs/>
          <w:sz w:val="24"/>
          <w:szCs w:val="24"/>
        </w:rPr>
        <w:t xml:space="preserve"> activity</w:t>
      </w:r>
      <w:r w:rsidRPr="0003613D">
        <w:rPr>
          <w:rFonts w:ascii="Arial" w:hAnsi="Arial" w:cs="Arial"/>
          <w:sz w:val="24"/>
          <w:szCs w:val="24"/>
        </w:rPr>
        <w:t xml:space="preserve">: Between 2022/23 and 2024/25, </w:t>
      </w:r>
      <w:r w:rsidRPr="0003613D">
        <w:rPr>
          <w:rFonts w:ascii="Arial" w:hAnsi="Arial" w:cs="Arial"/>
          <w:b/>
          <w:bCs/>
          <w:sz w:val="24"/>
          <w:szCs w:val="24"/>
        </w:rPr>
        <w:t>2,916 applications</w:t>
      </w:r>
      <w:r w:rsidRPr="0003613D">
        <w:rPr>
          <w:rFonts w:ascii="Arial" w:hAnsi="Arial" w:cs="Arial"/>
          <w:sz w:val="24"/>
          <w:szCs w:val="24"/>
        </w:rPr>
        <w:t xml:space="preserve"> were received, with </w:t>
      </w:r>
      <w:r w:rsidRPr="0003613D">
        <w:rPr>
          <w:rFonts w:ascii="Arial" w:hAnsi="Arial" w:cs="Arial"/>
          <w:b/>
          <w:bCs/>
          <w:sz w:val="24"/>
          <w:szCs w:val="24"/>
        </w:rPr>
        <w:t>624 sales</w:t>
      </w:r>
      <w:r w:rsidRPr="0003613D">
        <w:rPr>
          <w:rFonts w:ascii="Arial" w:hAnsi="Arial" w:cs="Arial"/>
          <w:sz w:val="24"/>
          <w:szCs w:val="24"/>
        </w:rPr>
        <w:t xml:space="preserve"> completed. Sales fell from 274 in 2022/23 to 174 in 2024/25, reflecting affordability pressures and policy changes, including reductions in RTB discounts.</w:t>
      </w:r>
    </w:p>
    <w:p w14:paraId="13F4268E" w14:textId="40C5E8AB" w:rsidR="00560693" w:rsidRPr="0003613D" w:rsidRDefault="00560693" w:rsidP="00560693">
      <w:pPr>
        <w:pStyle w:val="ListParagraph"/>
        <w:numPr>
          <w:ilvl w:val="0"/>
          <w:numId w:val="33"/>
        </w:numPr>
        <w:rPr>
          <w:rFonts w:ascii="Arial" w:hAnsi="Arial" w:cs="Arial"/>
          <w:sz w:val="24"/>
          <w:szCs w:val="24"/>
        </w:rPr>
      </w:pPr>
      <w:r w:rsidRPr="0003613D">
        <w:rPr>
          <w:rFonts w:ascii="Arial" w:hAnsi="Arial" w:cs="Arial"/>
          <w:b/>
          <w:bCs/>
          <w:sz w:val="24"/>
          <w:szCs w:val="24"/>
        </w:rPr>
        <w:t xml:space="preserve">Housing Associations </w:t>
      </w:r>
      <w:r w:rsidR="00322FFC">
        <w:rPr>
          <w:rFonts w:ascii="Arial" w:hAnsi="Arial" w:cs="Arial"/>
          <w:b/>
          <w:bCs/>
          <w:sz w:val="24"/>
          <w:szCs w:val="24"/>
        </w:rPr>
        <w:t>sales</w:t>
      </w:r>
      <w:r w:rsidRPr="0003613D">
        <w:rPr>
          <w:rFonts w:ascii="Arial" w:hAnsi="Arial" w:cs="Arial"/>
          <w:b/>
          <w:bCs/>
          <w:sz w:val="24"/>
          <w:szCs w:val="24"/>
        </w:rPr>
        <w:t xml:space="preserve"> activity</w:t>
      </w:r>
      <w:r w:rsidRPr="0003613D">
        <w:rPr>
          <w:rFonts w:ascii="Arial" w:hAnsi="Arial" w:cs="Arial"/>
          <w:sz w:val="24"/>
          <w:szCs w:val="24"/>
        </w:rPr>
        <w:t xml:space="preserve">: Over the same period, associations received </w:t>
      </w:r>
      <w:r w:rsidRPr="0003613D">
        <w:rPr>
          <w:rFonts w:ascii="Arial" w:hAnsi="Arial" w:cs="Arial"/>
          <w:b/>
          <w:bCs/>
          <w:sz w:val="24"/>
          <w:szCs w:val="24"/>
        </w:rPr>
        <w:t>606 applications</w:t>
      </w:r>
      <w:r w:rsidRPr="0003613D">
        <w:rPr>
          <w:rFonts w:ascii="Arial" w:hAnsi="Arial" w:cs="Arial"/>
          <w:sz w:val="24"/>
          <w:szCs w:val="24"/>
        </w:rPr>
        <w:t xml:space="preserve"> and completed </w:t>
      </w:r>
      <w:r w:rsidRPr="0003613D">
        <w:rPr>
          <w:rFonts w:ascii="Arial" w:hAnsi="Arial" w:cs="Arial"/>
          <w:b/>
          <w:bCs/>
          <w:sz w:val="24"/>
          <w:szCs w:val="24"/>
        </w:rPr>
        <w:t>130 sales</w:t>
      </w:r>
      <w:r w:rsidRPr="0003613D">
        <w:rPr>
          <w:rFonts w:ascii="Arial" w:hAnsi="Arial" w:cs="Arial"/>
          <w:sz w:val="24"/>
          <w:szCs w:val="24"/>
        </w:rPr>
        <w:t>, mirroring the trend of fewer completions despite rising applications.</w:t>
      </w:r>
    </w:p>
    <w:tbl>
      <w:tblPr>
        <w:tblStyle w:val="TableGrid1"/>
        <w:tblW w:w="0" w:type="auto"/>
        <w:tblInd w:w="1333" w:type="dxa"/>
        <w:tblLook w:val="04A0" w:firstRow="1" w:lastRow="0" w:firstColumn="1" w:lastColumn="0" w:noHBand="0" w:noVBand="1"/>
      </w:tblPr>
      <w:tblGrid>
        <w:gridCol w:w="2728"/>
        <w:gridCol w:w="2795"/>
        <w:gridCol w:w="844"/>
      </w:tblGrid>
      <w:tr w:rsidR="00560693" w:rsidRPr="0003613D" w14:paraId="6D6D0A99" w14:textId="77777777" w:rsidTr="000F12C0">
        <w:tc>
          <w:tcPr>
            <w:tcW w:w="0" w:type="auto"/>
            <w:hideMark/>
          </w:tcPr>
          <w:p w14:paraId="1877C518" w14:textId="77777777" w:rsidR="00560693" w:rsidRPr="0003613D" w:rsidRDefault="00560693" w:rsidP="00560693">
            <w:pPr>
              <w:spacing w:after="160" w:line="259" w:lineRule="auto"/>
              <w:rPr>
                <w:rFonts w:ascii="Arial" w:hAnsi="Arial" w:cs="Arial"/>
                <w:b/>
                <w:bCs/>
              </w:rPr>
            </w:pPr>
            <w:r w:rsidRPr="0003613D">
              <w:rPr>
                <w:rFonts w:ascii="Arial" w:hAnsi="Arial" w:cs="Arial"/>
                <w:b/>
                <w:bCs/>
              </w:rPr>
              <w:t>Provider</w:t>
            </w:r>
          </w:p>
        </w:tc>
        <w:tc>
          <w:tcPr>
            <w:tcW w:w="0" w:type="auto"/>
            <w:hideMark/>
          </w:tcPr>
          <w:p w14:paraId="45D0FA57" w14:textId="39860A2C" w:rsidR="00560693" w:rsidRPr="0003613D" w:rsidRDefault="00322FFC" w:rsidP="00560693">
            <w:pPr>
              <w:spacing w:after="160" w:line="259" w:lineRule="auto"/>
              <w:rPr>
                <w:rFonts w:ascii="Arial" w:hAnsi="Arial" w:cs="Arial"/>
                <w:b/>
                <w:bCs/>
              </w:rPr>
            </w:pPr>
            <w:r>
              <w:rPr>
                <w:rFonts w:ascii="Arial" w:hAnsi="Arial" w:cs="Arial"/>
                <w:b/>
                <w:bCs/>
              </w:rPr>
              <w:t>Purchase</w:t>
            </w:r>
            <w:r w:rsidR="00560693" w:rsidRPr="0003613D">
              <w:rPr>
                <w:rFonts w:ascii="Arial" w:hAnsi="Arial" w:cs="Arial"/>
                <w:b/>
                <w:bCs/>
              </w:rPr>
              <w:t xml:space="preserve"> Applications</w:t>
            </w:r>
          </w:p>
        </w:tc>
        <w:tc>
          <w:tcPr>
            <w:tcW w:w="0" w:type="auto"/>
            <w:hideMark/>
          </w:tcPr>
          <w:p w14:paraId="7D20C686" w14:textId="33CAFD62" w:rsidR="00560693" w:rsidRPr="0003613D" w:rsidRDefault="00560693" w:rsidP="00560693">
            <w:pPr>
              <w:spacing w:after="160" w:line="259" w:lineRule="auto"/>
              <w:rPr>
                <w:rFonts w:ascii="Arial" w:hAnsi="Arial" w:cs="Arial"/>
                <w:b/>
                <w:bCs/>
              </w:rPr>
            </w:pPr>
            <w:r w:rsidRPr="0003613D">
              <w:rPr>
                <w:rFonts w:ascii="Arial" w:hAnsi="Arial" w:cs="Arial"/>
                <w:b/>
                <w:bCs/>
              </w:rPr>
              <w:t>Sales</w:t>
            </w:r>
          </w:p>
        </w:tc>
      </w:tr>
      <w:tr w:rsidR="00560693" w:rsidRPr="0003613D" w14:paraId="6F524881" w14:textId="77777777" w:rsidTr="000F12C0">
        <w:tc>
          <w:tcPr>
            <w:tcW w:w="0" w:type="auto"/>
            <w:hideMark/>
          </w:tcPr>
          <w:p w14:paraId="0B3C7C9B" w14:textId="77777777" w:rsidR="00560693" w:rsidRPr="0003613D" w:rsidRDefault="00560693" w:rsidP="00560693">
            <w:pPr>
              <w:spacing w:after="160" w:line="259" w:lineRule="auto"/>
              <w:rPr>
                <w:rFonts w:ascii="Arial" w:hAnsi="Arial" w:cs="Arial"/>
              </w:rPr>
            </w:pPr>
            <w:r w:rsidRPr="0003613D">
              <w:rPr>
                <w:rFonts w:ascii="Arial" w:hAnsi="Arial" w:cs="Arial"/>
                <w:b/>
                <w:bCs/>
              </w:rPr>
              <w:t>Council</w:t>
            </w:r>
          </w:p>
        </w:tc>
        <w:tc>
          <w:tcPr>
            <w:tcW w:w="0" w:type="auto"/>
            <w:hideMark/>
          </w:tcPr>
          <w:p w14:paraId="2A8504E0" w14:textId="77777777" w:rsidR="00560693" w:rsidRPr="0003613D" w:rsidRDefault="00560693" w:rsidP="00560693">
            <w:pPr>
              <w:spacing w:after="160" w:line="259" w:lineRule="auto"/>
              <w:rPr>
                <w:rFonts w:ascii="Arial" w:hAnsi="Arial" w:cs="Arial"/>
              </w:rPr>
            </w:pPr>
            <w:r w:rsidRPr="0003613D">
              <w:rPr>
                <w:rFonts w:ascii="Arial" w:hAnsi="Arial" w:cs="Arial"/>
              </w:rPr>
              <w:t>2,916</w:t>
            </w:r>
          </w:p>
        </w:tc>
        <w:tc>
          <w:tcPr>
            <w:tcW w:w="0" w:type="auto"/>
            <w:hideMark/>
          </w:tcPr>
          <w:p w14:paraId="4C18D28D" w14:textId="77777777" w:rsidR="00560693" w:rsidRPr="0003613D" w:rsidRDefault="00560693" w:rsidP="00560693">
            <w:pPr>
              <w:spacing w:after="160" w:line="259" w:lineRule="auto"/>
              <w:rPr>
                <w:rFonts w:ascii="Arial" w:hAnsi="Arial" w:cs="Arial"/>
              </w:rPr>
            </w:pPr>
            <w:r w:rsidRPr="0003613D">
              <w:rPr>
                <w:rFonts w:ascii="Arial" w:hAnsi="Arial" w:cs="Arial"/>
              </w:rPr>
              <w:t>624</w:t>
            </w:r>
          </w:p>
        </w:tc>
      </w:tr>
      <w:tr w:rsidR="00560693" w:rsidRPr="0003613D" w14:paraId="772ED3BB" w14:textId="77777777" w:rsidTr="000F12C0">
        <w:tc>
          <w:tcPr>
            <w:tcW w:w="0" w:type="auto"/>
            <w:hideMark/>
          </w:tcPr>
          <w:p w14:paraId="42B48289" w14:textId="77777777" w:rsidR="00560693" w:rsidRPr="0003613D" w:rsidRDefault="00560693" w:rsidP="00560693">
            <w:pPr>
              <w:spacing w:after="160" w:line="259" w:lineRule="auto"/>
              <w:rPr>
                <w:rFonts w:ascii="Arial" w:hAnsi="Arial" w:cs="Arial"/>
              </w:rPr>
            </w:pPr>
            <w:r w:rsidRPr="0003613D">
              <w:rPr>
                <w:rFonts w:ascii="Arial" w:hAnsi="Arial" w:cs="Arial"/>
                <w:b/>
                <w:bCs/>
              </w:rPr>
              <w:t>Housing Associations</w:t>
            </w:r>
          </w:p>
        </w:tc>
        <w:tc>
          <w:tcPr>
            <w:tcW w:w="0" w:type="auto"/>
            <w:hideMark/>
          </w:tcPr>
          <w:p w14:paraId="22009D69" w14:textId="77777777" w:rsidR="00560693" w:rsidRPr="0003613D" w:rsidRDefault="00560693" w:rsidP="00560693">
            <w:pPr>
              <w:spacing w:after="160" w:line="259" w:lineRule="auto"/>
              <w:rPr>
                <w:rFonts w:ascii="Arial" w:hAnsi="Arial" w:cs="Arial"/>
              </w:rPr>
            </w:pPr>
            <w:r w:rsidRPr="0003613D">
              <w:rPr>
                <w:rFonts w:ascii="Arial" w:hAnsi="Arial" w:cs="Arial"/>
              </w:rPr>
              <w:t>606</w:t>
            </w:r>
          </w:p>
        </w:tc>
        <w:tc>
          <w:tcPr>
            <w:tcW w:w="0" w:type="auto"/>
            <w:hideMark/>
          </w:tcPr>
          <w:p w14:paraId="0CA37E3E" w14:textId="77777777" w:rsidR="00560693" w:rsidRPr="0003613D" w:rsidRDefault="00560693" w:rsidP="00560693">
            <w:pPr>
              <w:spacing w:after="160" w:line="259" w:lineRule="auto"/>
              <w:rPr>
                <w:rFonts w:ascii="Arial" w:hAnsi="Arial" w:cs="Arial"/>
              </w:rPr>
            </w:pPr>
            <w:r w:rsidRPr="0003613D">
              <w:rPr>
                <w:rFonts w:ascii="Arial" w:hAnsi="Arial" w:cs="Arial"/>
              </w:rPr>
              <w:t>130</w:t>
            </w:r>
          </w:p>
        </w:tc>
      </w:tr>
      <w:tr w:rsidR="00560693" w:rsidRPr="0003613D" w14:paraId="2E4EFE30" w14:textId="77777777" w:rsidTr="000F12C0">
        <w:tc>
          <w:tcPr>
            <w:tcW w:w="0" w:type="auto"/>
            <w:hideMark/>
          </w:tcPr>
          <w:p w14:paraId="5A7DAA83" w14:textId="77777777" w:rsidR="00560693" w:rsidRPr="0003613D" w:rsidRDefault="00560693" w:rsidP="00560693">
            <w:pPr>
              <w:spacing w:after="160" w:line="259" w:lineRule="auto"/>
              <w:rPr>
                <w:rFonts w:ascii="Arial" w:hAnsi="Arial" w:cs="Arial"/>
              </w:rPr>
            </w:pPr>
            <w:r w:rsidRPr="0003613D">
              <w:rPr>
                <w:rFonts w:ascii="Arial" w:hAnsi="Arial" w:cs="Arial"/>
                <w:b/>
                <w:bCs/>
              </w:rPr>
              <w:t>Total</w:t>
            </w:r>
          </w:p>
        </w:tc>
        <w:tc>
          <w:tcPr>
            <w:tcW w:w="0" w:type="auto"/>
            <w:hideMark/>
          </w:tcPr>
          <w:p w14:paraId="22034DEA" w14:textId="77777777" w:rsidR="00560693" w:rsidRPr="0003613D" w:rsidRDefault="00560693" w:rsidP="00560693">
            <w:pPr>
              <w:spacing w:after="160" w:line="259" w:lineRule="auto"/>
              <w:rPr>
                <w:rFonts w:ascii="Arial" w:hAnsi="Arial" w:cs="Arial"/>
              </w:rPr>
            </w:pPr>
            <w:r w:rsidRPr="0003613D">
              <w:rPr>
                <w:rFonts w:ascii="Arial" w:hAnsi="Arial" w:cs="Arial"/>
              </w:rPr>
              <w:t>3,522</w:t>
            </w:r>
          </w:p>
        </w:tc>
        <w:tc>
          <w:tcPr>
            <w:tcW w:w="0" w:type="auto"/>
            <w:hideMark/>
          </w:tcPr>
          <w:p w14:paraId="73D0DA2E" w14:textId="77777777" w:rsidR="00560693" w:rsidRPr="0003613D" w:rsidRDefault="00560693" w:rsidP="00560693">
            <w:pPr>
              <w:spacing w:after="160" w:line="259" w:lineRule="auto"/>
              <w:rPr>
                <w:rFonts w:ascii="Arial" w:hAnsi="Arial" w:cs="Arial"/>
              </w:rPr>
            </w:pPr>
            <w:r w:rsidRPr="0003613D">
              <w:rPr>
                <w:rFonts w:ascii="Arial" w:hAnsi="Arial" w:cs="Arial"/>
              </w:rPr>
              <w:t>754</w:t>
            </w:r>
          </w:p>
        </w:tc>
      </w:tr>
    </w:tbl>
    <w:p w14:paraId="65B44FA7" w14:textId="77777777" w:rsidR="000F12C0" w:rsidRPr="0003613D" w:rsidRDefault="000F12C0" w:rsidP="00560693">
      <w:pPr>
        <w:rPr>
          <w:rFonts w:ascii="Arial" w:hAnsi="Arial" w:cs="Arial"/>
          <w:sz w:val="24"/>
          <w:szCs w:val="24"/>
        </w:rPr>
      </w:pPr>
    </w:p>
    <w:p w14:paraId="19ACAC8E" w14:textId="2D8E3599" w:rsidR="00560693" w:rsidRPr="0003613D" w:rsidRDefault="00560693" w:rsidP="00560693">
      <w:pPr>
        <w:rPr>
          <w:rFonts w:ascii="Arial" w:hAnsi="Arial" w:cs="Arial"/>
          <w:sz w:val="24"/>
          <w:szCs w:val="24"/>
        </w:rPr>
      </w:pPr>
      <w:r w:rsidRPr="0003613D">
        <w:rPr>
          <w:rFonts w:ascii="Arial" w:hAnsi="Arial" w:cs="Arial"/>
          <w:sz w:val="24"/>
          <w:szCs w:val="24"/>
        </w:rPr>
        <w:t>The</w:t>
      </w:r>
      <w:r w:rsidR="00322FFC">
        <w:rPr>
          <w:rFonts w:ascii="Arial" w:hAnsi="Arial" w:cs="Arial"/>
          <w:sz w:val="24"/>
          <w:szCs w:val="24"/>
        </w:rPr>
        <w:t xml:space="preserve">se </w:t>
      </w:r>
      <w:r w:rsidRPr="0003613D">
        <w:rPr>
          <w:rFonts w:ascii="Arial" w:hAnsi="Arial" w:cs="Arial"/>
          <w:sz w:val="24"/>
          <w:szCs w:val="24"/>
        </w:rPr>
        <w:t>sales represent permanent reductions in affordable housing stock unless replaced through development or buy-backs.</w:t>
      </w:r>
    </w:p>
    <w:p w14:paraId="10648527" w14:textId="77777777" w:rsidR="00560693" w:rsidRPr="0003613D" w:rsidRDefault="00560693" w:rsidP="00560693">
      <w:pPr>
        <w:rPr>
          <w:rFonts w:ascii="Arial" w:hAnsi="Arial" w:cs="Arial"/>
          <w:sz w:val="24"/>
          <w:szCs w:val="24"/>
          <w:u w:val="single"/>
        </w:rPr>
      </w:pPr>
      <w:r w:rsidRPr="0003613D">
        <w:rPr>
          <w:rFonts w:ascii="Arial" w:hAnsi="Arial" w:cs="Arial"/>
          <w:sz w:val="24"/>
          <w:szCs w:val="24"/>
          <w:u w:val="single"/>
        </w:rPr>
        <w:t>3. Combined Impact: Stock Gains and Losses</w:t>
      </w:r>
    </w:p>
    <w:p w14:paraId="7B54DA2B" w14:textId="22DA8E4B" w:rsidR="00560693" w:rsidRPr="0003613D" w:rsidRDefault="00560693" w:rsidP="00560693">
      <w:pPr>
        <w:rPr>
          <w:rFonts w:ascii="Arial" w:hAnsi="Arial" w:cs="Arial"/>
          <w:sz w:val="24"/>
          <w:szCs w:val="24"/>
        </w:rPr>
      </w:pPr>
      <w:r w:rsidRPr="0003613D">
        <w:rPr>
          <w:rFonts w:ascii="Arial" w:hAnsi="Arial" w:cs="Arial"/>
          <w:sz w:val="24"/>
          <w:szCs w:val="24"/>
        </w:rPr>
        <w:t>Comparing new supply and buy-backs with losses highlights the net change in stock and underscores the challenge of maintaining affordable housing levels:</w:t>
      </w:r>
    </w:p>
    <w:p w14:paraId="01429BE3" w14:textId="1B8D9D5C" w:rsidR="00560693" w:rsidRPr="0003613D" w:rsidRDefault="00560693" w:rsidP="00560693">
      <w:pPr>
        <w:pStyle w:val="ListParagraph"/>
        <w:numPr>
          <w:ilvl w:val="0"/>
          <w:numId w:val="32"/>
        </w:numPr>
        <w:rPr>
          <w:rFonts w:ascii="Arial" w:hAnsi="Arial" w:cs="Arial"/>
          <w:sz w:val="24"/>
          <w:szCs w:val="24"/>
        </w:rPr>
      </w:pPr>
      <w:r w:rsidRPr="0003613D">
        <w:rPr>
          <w:rFonts w:ascii="Arial" w:hAnsi="Arial" w:cs="Arial"/>
          <w:sz w:val="24"/>
          <w:szCs w:val="24"/>
        </w:rPr>
        <w:t xml:space="preserve">Total </w:t>
      </w:r>
      <w:r w:rsidR="00F463B4">
        <w:rPr>
          <w:rFonts w:ascii="Arial" w:hAnsi="Arial" w:cs="Arial"/>
          <w:sz w:val="24"/>
          <w:szCs w:val="24"/>
        </w:rPr>
        <w:t>stock</w:t>
      </w:r>
      <w:r w:rsidRPr="0003613D">
        <w:rPr>
          <w:rFonts w:ascii="Arial" w:hAnsi="Arial" w:cs="Arial"/>
          <w:sz w:val="24"/>
          <w:szCs w:val="24"/>
        </w:rPr>
        <w:t xml:space="preserve"> losses (Council + Housing Associations): 754 homes</w:t>
      </w:r>
    </w:p>
    <w:p w14:paraId="7362F51B" w14:textId="77777777" w:rsidR="00560693" w:rsidRPr="0003613D" w:rsidRDefault="00560693" w:rsidP="00560693">
      <w:pPr>
        <w:pStyle w:val="ListParagraph"/>
        <w:numPr>
          <w:ilvl w:val="0"/>
          <w:numId w:val="32"/>
        </w:numPr>
        <w:rPr>
          <w:rFonts w:ascii="Arial" w:hAnsi="Arial" w:cs="Arial"/>
          <w:sz w:val="24"/>
          <w:szCs w:val="24"/>
        </w:rPr>
      </w:pPr>
      <w:r w:rsidRPr="0003613D">
        <w:rPr>
          <w:rFonts w:ascii="Arial" w:hAnsi="Arial" w:cs="Arial"/>
          <w:sz w:val="24"/>
          <w:szCs w:val="24"/>
        </w:rPr>
        <w:t>Total replacements through new builds and buy-backs: 461 homes</w:t>
      </w:r>
    </w:p>
    <w:p w14:paraId="3661FC01" w14:textId="77777777" w:rsidR="00560693" w:rsidRPr="0003613D" w:rsidRDefault="00560693" w:rsidP="00560693">
      <w:pPr>
        <w:pStyle w:val="ListParagraph"/>
        <w:numPr>
          <w:ilvl w:val="0"/>
          <w:numId w:val="32"/>
        </w:numPr>
        <w:rPr>
          <w:rFonts w:ascii="Arial" w:hAnsi="Arial" w:cs="Arial"/>
          <w:sz w:val="24"/>
          <w:szCs w:val="24"/>
        </w:rPr>
      </w:pPr>
      <w:r w:rsidRPr="0003613D">
        <w:rPr>
          <w:rFonts w:ascii="Arial" w:hAnsi="Arial" w:cs="Arial"/>
          <w:sz w:val="24"/>
          <w:szCs w:val="24"/>
        </w:rPr>
        <w:t>Overall replacement rate: 61.1%</w:t>
      </w:r>
    </w:p>
    <w:p w14:paraId="3783FB40" w14:textId="35918BBE" w:rsidR="00560693" w:rsidRPr="0003613D" w:rsidRDefault="00560693" w:rsidP="00560693">
      <w:pPr>
        <w:rPr>
          <w:rFonts w:ascii="Arial" w:hAnsi="Arial" w:cs="Arial"/>
          <w:sz w:val="24"/>
          <w:szCs w:val="24"/>
        </w:rPr>
      </w:pPr>
      <w:r w:rsidRPr="0003613D">
        <w:rPr>
          <w:rFonts w:ascii="Arial" w:hAnsi="Arial" w:cs="Arial"/>
          <w:sz w:val="24"/>
          <w:szCs w:val="24"/>
        </w:rPr>
        <w:t>While Housing Associations successfully replaced more than 100% of their losses through new supply and buy-backs (254%), the Council replaced only 20.8% of homes sold via RTB. This demonstrates a strong strategic role for Housing Associations in sustaining stock, but also underscores the need for accelerated council-led development and acquisitions to address gaps in supply.</w:t>
      </w:r>
    </w:p>
    <w:tbl>
      <w:tblPr>
        <w:tblStyle w:val="TableGrid1"/>
        <w:tblW w:w="0" w:type="auto"/>
        <w:tblLook w:val="04A0" w:firstRow="1" w:lastRow="0" w:firstColumn="1" w:lastColumn="0" w:noHBand="0" w:noVBand="1"/>
      </w:tblPr>
      <w:tblGrid>
        <w:gridCol w:w="1931"/>
        <w:gridCol w:w="844"/>
        <w:gridCol w:w="1072"/>
        <w:gridCol w:w="1040"/>
        <w:gridCol w:w="1096"/>
        <w:gridCol w:w="1195"/>
        <w:gridCol w:w="1838"/>
      </w:tblGrid>
      <w:tr w:rsidR="0000213C" w:rsidRPr="0003613D" w14:paraId="21985FA8" w14:textId="77777777" w:rsidTr="0000213C">
        <w:tc>
          <w:tcPr>
            <w:tcW w:w="0" w:type="auto"/>
            <w:hideMark/>
          </w:tcPr>
          <w:p w14:paraId="4EB3AB65" w14:textId="77777777" w:rsidR="0000213C" w:rsidRPr="0003613D" w:rsidRDefault="0000213C" w:rsidP="0000213C">
            <w:pPr>
              <w:spacing w:after="160" w:line="259" w:lineRule="auto"/>
              <w:rPr>
                <w:rFonts w:ascii="Arial" w:hAnsi="Arial" w:cs="Arial"/>
                <w:b/>
                <w:bCs/>
              </w:rPr>
            </w:pPr>
            <w:r w:rsidRPr="0003613D">
              <w:rPr>
                <w:rFonts w:ascii="Arial" w:hAnsi="Arial" w:cs="Arial"/>
                <w:b/>
                <w:bCs/>
              </w:rPr>
              <w:lastRenderedPageBreak/>
              <w:t>Provider</w:t>
            </w:r>
          </w:p>
        </w:tc>
        <w:tc>
          <w:tcPr>
            <w:tcW w:w="0" w:type="auto"/>
            <w:hideMark/>
          </w:tcPr>
          <w:p w14:paraId="5DC32EA3" w14:textId="2BAAD037" w:rsidR="0000213C" w:rsidRPr="0003613D" w:rsidRDefault="0000213C" w:rsidP="0000213C">
            <w:pPr>
              <w:spacing w:after="160" w:line="259" w:lineRule="auto"/>
              <w:rPr>
                <w:rFonts w:ascii="Arial" w:hAnsi="Arial" w:cs="Arial"/>
                <w:b/>
                <w:bCs/>
              </w:rPr>
            </w:pPr>
            <w:r w:rsidRPr="0003613D">
              <w:rPr>
                <w:rFonts w:ascii="Arial" w:hAnsi="Arial" w:cs="Arial"/>
                <w:b/>
                <w:bCs/>
              </w:rPr>
              <w:t>Sales</w:t>
            </w:r>
          </w:p>
        </w:tc>
        <w:tc>
          <w:tcPr>
            <w:tcW w:w="0" w:type="auto"/>
            <w:hideMark/>
          </w:tcPr>
          <w:p w14:paraId="23E1011A" w14:textId="77777777" w:rsidR="0000213C" w:rsidRPr="0003613D" w:rsidRDefault="0000213C" w:rsidP="0000213C">
            <w:pPr>
              <w:spacing w:after="160" w:line="259" w:lineRule="auto"/>
              <w:rPr>
                <w:rFonts w:ascii="Arial" w:hAnsi="Arial" w:cs="Arial"/>
                <w:b/>
                <w:bCs/>
              </w:rPr>
            </w:pPr>
            <w:r w:rsidRPr="0003613D">
              <w:rPr>
                <w:rFonts w:ascii="Arial" w:hAnsi="Arial" w:cs="Arial"/>
                <w:b/>
                <w:bCs/>
              </w:rPr>
              <w:t>New Builds</w:t>
            </w:r>
          </w:p>
        </w:tc>
        <w:tc>
          <w:tcPr>
            <w:tcW w:w="0" w:type="auto"/>
            <w:hideMark/>
          </w:tcPr>
          <w:p w14:paraId="09F40CC7" w14:textId="77777777" w:rsidR="0000213C" w:rsidRPr="0003613D" w:rsidRDefault="0000213C" w:rsidP="0000213C">
            <w:pPr>
              <w:spacing w:after="160" w:line="259" w:lineRule="auto"/>
              <w:rPr>
                <w:rFonts w:ascii="Arial" w:hAnsi="Arial" w:cs="Arial"/>
                <w:b/>
                <w:bCs/>
              </w:rPr>
            </w:pPr>
            <w:r w:rsidRPr="0003613D">
              <w:rPr>
                <w:rFonts w:ascii="Arial" w:hAnsi="Arial" w:cs="Arial"/>
                <w:b/>
                <w:bCs/>
              </w:rPr>
              <w:t>Buy-Backs</w:t>
            </w:r>
          </w:p>
        </w:tc>
        <w:tc>
          <w:tcPr>
            <w:tcW w:w="0" w:type="auto"/>
            <w:hideMark/>
          </w:tcPr>
          <w:p w14:paraId="729AE8F6" w14:textId="77777777" w:rsidR="0000213C" w:rsidRPr="0003613D" w:rsidRDefault="0000213C" w:rsidP="0000213C">
            <w:pPr>
              <w:spacing w:after="160" w:line="259" w:lineRule="auto"/>
              <w:rPr>
                <w:rFonts w:ascii="Arial" w:hAnsi="Arial" w:cs="Arial"/>
                <w:b/>
                <w:bCs/>
              </w:rPr>
            </w:pPr>
            <w:r w:rsidRPr="0003613D">
              <w:rPr>
                <w:rFonts w:ascii="Arial" w:hAnsi="Arial" w:cs="Arial"/>
                <w:b/>
                <w:bCs/>
              </w:rPr>
              <w:t>Total Added</w:t>
            </w:r>
          </w:p>
        </w:tc>
        <w:tc>
          <w:tcPr>
            <w:tcW w:w="0" w:type="auto"/>
            <w:hideMark/>
          </w:tcPr>
          <w:p w14:paraId="3BE807D3" w14:textId="77777777" w:rsidR="0000213C" w:rsidRPr="0003613D" w:rsidRDefault="0000213C" w:rsidP="0000213C">
            <w:pPr>
              <w:spacing w:after="160" w:line="259" w:lineRule="auto"/>
              <w:rPr>
                <w:rFonts w:ascii="Arial" w:hAnsi="Arial" w:cs="Arial"/>
                <w:b/>
                <w:bCs/>
              </w:rPr>
            </w:pPr>
            <w:r w:rsidRPr="0003613D">
              <w:rPr>
                <w:rFonts w:ascii="Arial" w:hAnsi="Arial" w:cs="Arial"/>
                <w:b/>
                <w:bCs/>
              </w:rPr>
              <w:t>Net Change</w:t>
            </w:r>
          </w:p>
        </w:tc>
        <w:tc>
          <w:tcPr>
            <w:tcW w:w="0" w:type="auto"/>
            <w:hideMark/>
          </w:tcPr>
          <w:p w14:paraId="4F80F734" w14:textId="77777777" w:rsidR="0000213C" w:rsidRPr="0003613D" w:rsidRDefault="0000213C" w:rsidP="0000213C">
            <w:pPr>
              <w:spacing w:after="160" w:line="259" w:lineRule="auto"/>
              <w:rPr>
                <w:rFonts w:ascii="Arial" w:hAnsi="Arial" w:cs="Arial"/>
                <w:b/>
                <w:bCs/>
              </w:rPr>
            </w:pPr>
            <w:r w:rsidRPr="0003613D">
              <w:rPr>
                <w:rFonts w:ascii="Arial" w:hAnsi="Arial" w:cs="Arial"/>
                <w:b/>
                <w:bCs/>
              </w:rPr>
              <w:t>Replacement Rate</w:t>
            </w:r>
          </w:p>
        </w:tc>
      </w:tr>
      <w:tr w:rsidR="0000213C" w:rsidRPr="0003613D" w14:paraId="744ADB3B" w14:textId="77777777" w:rsidTr="0000213C">
        <w:tc>
          <w:tcPr>
            <w:tcW w:w="0" w:type="auto"/>
            <w:hideMark/>
          </w:tcPr>
          <w:p w14:paraId="6D9A7ABB" w14:textId="77777777" w:rsidR="0000213C" w:rsidRPr="0003613D" w:rsidRDefault="0000213C" w:rsidP="0000213C">
            <w:pPr>
              <w:spacing w:after="160" w:line="259" w:lineRule="auto"/>
              <w:rPr>
                <w:rFonts w:ascii="Arial" w:hAnsi="Arial" w:cs="Arial"/>
                <w:b/>
                <w:bCs/>
              </w:rPr>
            </w:pPr>
            <w:r w:rsidRPr="0003613D">
              <w:rPr>
                <w:rFonts w:ascii="Arial" w:hAnsi="Arial" w:cs="Arial"/>
                <w:b/>
                <w:bCs/>
              </w:rPr>
              <w:t>Council</w:t>
            </w:r>
          </w:p>
        </w:tc>
        <w:tc>
          <w:tcPr>
            <w:tcW w:w="0" w:type="auto"/>
            <w:hideMark/>
          </w:tcPr>
          <w:p w14:paraId="5A635BCE" w14:textId="77777777" w:rsidR="0000213C" w:rsidRPr="0003613D" w:rsidRDefault="0000213C" w:rsidP="0000213C">
            <w:pPr>
              <w:spacing w:after="160" w:line="259" w:lineRule="auto"/>
              <w:rPr>
                <w:rFonts w:ascii="Arial" w:hAnsi="Arial" w:cs="Arial"/>
              </w:rPr>
            </w:pPr>
            <w:r w:rsidRPr="0003613D">
              <w:rPr>
                <w:rFonts w:ascii="Arial" w:hAnsi="Arial" w:cs="Arial"/>
              </w:rPr>
              <w:t>624</w:t>
            </w:r>
          </w:p>
        </w:tc>
        <w:tc>
          <w:tcPr>
            <w:tcW w:w="0" w:type="auto"/>
            <w:hideMark/>
          </w:tcPr>
          <w:p w14:paraId="30C5E20D" w14:textId="77777777" w:rsidR="0000213C" w:rsidRPr="0003613D" w:rsidRDefault="0000213C" w:rsidP="0000213C">
            <w:pPr>
              <w:spacing w:after="160" w:line="259" w:lineRule="auto"/>
              <w:rPr>
                <w:rFonts w:ascii="Arial" w:hAnsi="Arial" w:cs="Arial"/>
              </w:rPr>
            </w:pPr>
            <w:r w:rsidRPr="0003613D">
              <w:rPr>
                <w:rFonts w:ascii="Arial" w:hAnsi="Arial" w:cs="Arial"/>
              </w:rPr>
              <w:t>76</w:t>
            </w:r>
          </w:p>
        </w:tc>
        <w:tc>
          <w:tcPr>
            <w:tcW w:w="0" w:type="auto"/>
            <w:hideMark/>
          </w:tcPr>
          <w:p w14:paraId="327DDBFF" w14:textId="77777777" w:rsidR="0000213C" w:rsidRPr="0003613D" w:rsidRDefault="0000213C" w:rsidP="0000213C">
            <w:pPr>
              <w:spacing w:after="160" w:line="259" w:lineRule="auto"/>
              <w:rPr>
                <w:rFonts w:ascii="Arial" w:hAnsi="Arial" w:cs="Arial"/>
              </w:rPr>
            </w:pPr>
            <w:r w:rsidRPr="0003613D">
              <w:rPr>
                <w:rFonts w:ascii="Arial" w:hAnsi="Arial" w:cs="Arial"/>
              </w:rPr>
              <w:t>54</w:t>
            </w:r>
          </w:p>
        </w:tc>
        <w:tc>
          <w:tcPr>
            <w:tcW w:w="0" w:type="auto"/>
            <w:hideMark/>
          </w:tcPr>
          <w:p w14:paraId="216DA639" w14:textId="77777777" w:rsidR="0000213C" w:rsidRPr="0003613D" w:rsidRDefault="0000213C" w:rsidP="0000213C">
            <w:pPr>
              <w:spacing w:after="160" w:line="259" w:lineRule="auto"/>
              <w:rPr>
                <w:rFonts w:ascii="Arial" w:hAnsi="Arial" w:cs="Arial"/>
              </w:rPr>
            </w:pPr>
            <w:r w:rsidRPr="0003613D">
              <w:rPr>
                <w:rFonts w:ascii="Arial" w:hAnsi="Arial" w:cs="Arial"/>
              </w:rPr>
              <w:t>130</w:t>
            </w:r>
          </w:p>
        </w:tc>
        <w:tc>
          <w:tcPr>
            <w:tcW w:w="0" w:type="auto"/>
            <w:hideMark/>
          </w:tcPr>
          <w:p w14:paraId="068E915B" w14:textId="77777777" w:rsidR="0000213C" w:rsidRPr="0003613D" w:rsidRDefault="0000213C" w:rsidP="0000213C">
            <w:pPr>
              <w:spacing w:after="160" w:line="259" w:lineRule="auto"/>
              <w:rPr>
                <w:rFonts w:ascii="Arial" w:hAnsi="Arial" w:cs="Arial"/>
              </w:rPr>
            </w:pPr>
            <w:r w:rsidRPr="0003613D">
              <w:rPr>
                <w:rFonts w:ascii="Arial" w:hAnsi="Arial" w:cs="Arial"/>
              </w:rPr>
              <w:t>-494</w:t>
            </w:r>
          </w:p>
        </w:tc>
        <w:tc>
          <w:tcPr>
            <w:tcW w:w="0" w:type="auto"/>
            <w:hideMark/>
          </w:tcPr>
          <w:p w14:paraId="266B0FD3" w14:textId="77777777" w:rsidR="0000213C" w:rsidRPr="0003613D" w:rsidRDefault="0000213C" w:rsidP="0000213C">
            <w:pPr>
              <w:spacing w:after="160" w:line="259" w:lineRule="auto"/>
              <w:rPr>
                <w:rFonts w:ascii="Arial" w:hAnsi="Arial" w:cs="Arial"/>
              </w:rPr>
            </w:pPr>
            <w:r w:rsidRPr="0003613D">
              <w:rPr>
                <w:rFonts w:ascii="Arial" w:hAnsi="Arial" w:cs="Arial"/>
              </w:rPr>
              <w:t>20.8%</w:t>
            </w:r>
          </w:p>
        </w:tc>
      </w:tr>
      <w:tr w:rsidR="0000213C" w:rsidRPr="0003613D" w14:paraId="0565679A" w14:textId="77777777" w:rsidTr="0000213C">
        <w:tc>
          <w:tcPr>
            <w:tcW w:w="0" w:type="auto"/>
            <w:hideMark/>
          </w:tcPr>
          <w:p w14:paraId="76C94E82" w14:textId="77777777" w:rsidR="0000213C" w:rsidRPr="0003613D" w:rsidRDefault="0000213C" w:rsidP="0000213C">
            <w:pPr>
              <w:spacing w:after="160" w:line="259" w:lineRule="auto"/>
              <w:rPr>
                <w:rFonts w:ascii="Arial" w:hAnsi="Arial" w:cs="Arial"/>
                <w:b/>
                <w:bCs/>
              </w:rPr>
            </w:pPr>
            <w:r w:rsidRPr="0003613D">
              <w:rPr>
                <w:rFonts w:ascii="Arial" w:hAnsi="Arial" w:cs="Arial"/>
                <w:b/>
                <w:bCs/>
              </w:rPr>
              <w:t>Housing Associations</w:t>
            </w:r>
          </w:p>
        </w:tc>
        <w:tc>
          <w:tcPr>
            <w:tcW w:w="0" w:type="auto"/>
            <w:hideMark/>
          </w:tcPr>
          <w:p w14:paraId="23D5B69B" w14:textId="77777777" w:rsidR="0000213C" w:rsidRPr="0003613D" w:rsidRDefault="0000213C" w:rsidP="0000213C">
            <w:pPr>
              <w:spacing w:after="160" w:line="259" w:lineRule="auto"/>
              <w:rPr>
                <w:rFonts w:ascii="Arial" w:hAnsi="Arial" w:cs="Arial"/>
              </w:rPr>
            </w:pPr>
            <w:r w:rsidRPr="0003613D">
              <w:rPr>
                <w:rFonts w:ascii="Arial" w:hAnsi="Arial" w:cs="Arial"/>
              </w:rPr>
              <w:t>130</w:t>
            </w:r>
          </w:p>
        </w:tc>
        <w:tc>
          <w:tcPr>
            <w:tcW w:w="0" w:type="auto"/>
            <w:hideMark/>
          </w:tcPr>
          <w:p w14:paraId="58CB2901" w14:textId="77777777" w:rsidR="0000213C" w:rsidRPr="0003613D" w:rsidRDefault="0000213C" w:rsidP="0000213C">
            <w:pPr>
              <w:spacing w:after="160" w:line="259" w:lineRule="auto"/>
              <w:rPr>
                <w:rFonts w:ascii="Arial" w:hAnsi="Arial" w:cs="Arial"/>
              </w:rPr>
            </w:pPr>
            <w:r w:rsidRPr="0003613D">
              <w:rPr>
                <w:rFonts w:ascii="Arial" w:hAnsi="Arial" w:cs="Arial"/>
              </w:rPr>
              <w:t>320</w:t>
            </w:r>
          </w:p>
        </w:tc>
        <w:tc>
          <w:tcPr>
            <w:tcW w:w="0" w:type="auto"/>
            <w:hideMark/>
          </w:tcPr>
          <w:p w14:paraId="04F0FD42" w14:textId="77777777" w:rsidR="0000213C" w:rsidRPr="0003613D" w:rsidRDefault="0000213C" w:rsidP="0000213C">
            <w:pPr>
              <w:spacing w:after="160" w:line="259" w:lineRule="auto"/>
              <w:rPr>
                <w:rFonts w:ascii="Arial" w:hAnsi="Arial" w:cs="Arial"/>
              </w:rPr>
            </w:pPr>
            <w:r w:rsidRPr="0003613D">
              <w:rPr>
                <w:rFonts w:ascii="Arial" w:hAnsi="Arial" w:cs="Arial"/>
              </w:rPr>
              <w:t>11</w:t>
            </w:r>
          </w:p>
        </w:tc>
        <w:tc>
          <w:tcPr>
            <w:tcW w:w="0" w:type="auto"/>
            <w:hideMark/>
          </w:tcPr>
          <w:p w14:paraId="2C30840D" w14:textId="77777777" w:rsidR="0000213C" w:rsidRPr="0003613D" w:rsidRDefault="0000213C" w:rsidP="0000213C">
            <w:pPr>
              <w:spacing w:after="160" w:line="259" w:lineRule="auto"/>
              <w:rPr>
                <w:rFonts w:ascii="Arial" w:hAnsi="Arial" w:cs="Arial"/>
              </w:rPr>
            </w:pPr>
            <w:r w:rsidRPr="0003613D">
              <w:rPr>
                <w:rFonts w:ascii="Arial" w:hAnsi="Arial" w:cs="Arial"/>
              </w:rPr>
              <w:t>331</w:t>
            </w:r>
          </w:p>
        </w:tc>
        <w:tc>
          <w:tcPr>
            <w:tcW w:w="0" w:type="auto"/>
            <w:hideMark/>
          </w:tcPr>
          <w:p w14:paraId="5C46AD9A" w14:textId="77777777" w:rsidR="0000213C" w:rsidRPr="0003613D" w:rsidRDefault="0000213C" w:rsidP="0000213C">
            <w:pPr>
              <w:spacing w:after="160" w:line="259" w:lineRule="auto"/>
              <w:rPr>
                <w:rFonts w:ascii="Arial" w:hAnsi="Arial" w:cs="Arial"/>
              </w:rPr>
            </w:pPr>
            <w:r w:rsidRPr="0003613D">
              <w:rPr>
                <w:rFonts w:ascii="Arial" w:hAnsi="Arial" w:cs="Arial"/>
              </w:rPr>
              <w:t>+201</w:t>
            </w:r>
          </w:p>
        </w:tc>
        <w:tc>
          <w:tcPr>
            <w:tcW w:w="0" w:type="auto"/>
            <w:hideMark/>
          </w:tcPr>
          <w:p w14:paraId="1E7EE6B5" w14:textId="77777777" w:rsidR="0000213C" w:rsidRPr="0003613D" w:rsidRDefault="0000213C" w:rsidP="0000213C">
            <w:pPr>
              <w:spacing w:after="160" w:line="259" w:lineRule="auto"/>
              <w:rPr>
                <w:rFonts w:ascii="Arial" w:hAnsi="Arial" w:cs="Arial"/>
              </w:rPr>
            </w:pPr>
            <w:r w:rsidRPr="0003613D">
              <w:rPr>
                <w:rFonts w:ascii="Arial" w:hAnsi="Arial" w:cs="Arial"/>
              </w:rPr>
              <w:t>254%</w:t>
            </w:r>
          </w:p>
        </w:tc>
      </w:tr>
      <w:tr w:rsidR="0000213C" w:rsidRPr="0003613D" w14:paraId="6631FF6B" w14:textId="77777777" w:rsidTr="0000213C">
        <w:tc>
          <w:tcPr>
            <w:tcW w:w="0" w:type="auto"/>
            <w:hideMark/>
          </w:tcPr>
          <w:p w14:paraId="1E443B1D" w14:textId="77777777" w:rsidR="0000213C" w:rsidRPr="0003613D" w:rsidRDefault="0000213C" w:rsidP="0000213C">
            <w:pPr>
              <w:spacing w:after="160" w:line="259" w:lineRule="auto"/>
              <w:rPr>
                <w:rFonts w:ascii="Arial" w:hAnsi="Arial" w:cs="Arial"/>
                <w:b/>
                <w:bCs/>
              </w:rPr>
            </w:pPr>
            <w:r w:rsidRPr="0003613D">
              <w:rPr>
                <w:rFonts w:ascii="Arial" w:hAnsi="Arial" w:cs="Arial"/>
                <w:b/>
                <w:bCs/>
              </w:rPr>
              <w:t>Total</w:t>
            </w:r>
          </w:p>
        </w:tc>
        <w:tc>
          <w:tcPr>
            <w:tcW w:w="0" w:type="auto"/>
            <w:hideMark/>
          </w:tcPr>
          <w:p w14:paraId="3A9C9BE8" w14:textId="77777777" w:rsidR="0000213C" w:rsidRPr="0003613D" w:rsidRDefault="0000213C" w:rsidP="0000213C">
            <w:pPr>
              <w:spacing w:after="160" w:line="259" w:lineRule="auto"/>
              <w:rPr>
                <w:rFonts w:ascii="Arial" w:hAnsi="Arial" w:cs="Arial"/>
              </w:rPr>
            </w:pPr>
            <w:r w:rsidRPr="0003613D">
              <w:rPr>
                <w:rFonts w:ascii="Arial" w:hAnsi="Arial" w:cs="Arial"/>
              </w:rPr>
              <w:t>754</w:t>
            </w:r>
          </w:p>
        </w:tc>
        <w:tc>
          <w:tcPr>
            <w:tcW w:w="0" w:type="auto"/>
            <w:hideMark/>
          </w:tcPr>
          <w:p w14:paraId="2515DAFD" w14:textId="77777777" w:rsidR="0000213C" w:rsidRPr="0003613D" w:rsidRDefault="0000213C" w:rsidP="0000213C">
            <w:pPr>
              <w:spacing w:after="160" w:line="259" w:lineRule="auto"/>
              <w:rPr>
                <w:rFonts w:ascii="Arial" w:hAnsi="Arial" w:cs="Arial"/>
              </w:rPr>
            </w:pPr>
            <w:r w:rsidRPr="0003613D">
              <w:rPr>
                <w:rFonts w:ascii="Arial" w:hAnsi="Arial" w:cs="Arial"/>
              </w:rPr>
              <w:t>396</w:t>
            </w:r>
          </w:p>
        </w:tc>
        <w:tc>
          <w:tcPr>
            <w:tcW w:w="0" w:type="auto"/>
            <w:hideMark/>
          </w:tcPr>
          <w:p w14:paraId="527EEF3B" w14:textId="77777777" w:rsidR="0000213C" w:rsidRPr="0003613D" w:rsidRDefault="0000213C" w:rsidP="0000213C">
            <w:pPr>
              <w:spacing w:after="160" w:line="259" w:lineRule="auto"/>
              <w:rPr>
                <w:rFonts w:ascii="Arial" w:hAnsi="Arial" w:cs="Arial"/>
              </w:rPr>
            </w:pPr>
            <w:r w:rsidRPr="0003613D">
              <w:rPr>
                <w:rFonts w:ascii="Arial" w:hAnsi="Arial" w:cs="Arial"/>
              </w:rPr>
              <w:t>65</w:t>
            </w:r>
          </w:p>
        </w:tc>
        <w:tc>
          <w:tcPr>
            <w:tcW w:w="0" w:type="auto"/>
            <w:hideMark/>
          </w:tcPr>
          <w:p w14:paraId="6AAC83AC" w14:textId="77777777" w:rsidR="0000213C" w:rsidRPr="0003613D" w:rsidRDefault="0000213C" w:rsidP="0000213C">
            <w:pPr>
              <w:spacing w:after="160" w:line="259" w:lineRule="auto"/>
              <w:rPr>
                <w:rFonts w:ascii="Arial" w:hAnsi="Arial" w:cs="Arial"/>
              </w:rPr>
            </w:pPr>
            <w:r w:rsidRPr="0003613D">
              <w:rPr>
                <w:rFonts w:ascii="Arial" w:hAnsi="Arial" w:cs="Arial"/>
              </w:rPr>
              <w:t>461</w:t>
            </w:r>
          </w:p>
        </w:tc>
        <w:tc>
          <w:tcPr>
            <w:tcW w:w="0" w:type="auto"/>
            <w:hideMark/>
          </w:tcPr>
          <w:p w14:paraId="77444422" w14:textId="77777777" w:rsidR="0000213C" w:rsidRPr="0003613D" w:rsidRDefault="0000213C" w:rsidP="0000213C">
            <w:pPr>
              <w:spacing w:after="160" w:line="259" w:lineRule="auto"/>
              <w:rPr>
                <w:rFonts w:ascii="Arial" w:hAnsi="Arial" w:cs="Arial"/>
              </w:rPr>
            </w:pPr>
            <w:r w:rsidRPr="0003613D">
              <w:rPr>
                <w:rFonts w:ascii="Arial" w:hAnsi="Arial" w:cs="Arial"/>
              </w:rPr>
              <w:t>-293</w:t>
            </w:r>
          </w:p>
        </w:tc>
        <w:tc>
          <w:tcPr>
            <w:tcW w:w="0" w:type="auto"/>
            <w:hideMark/>
          </w:tcPr>
          <w:p w14:paraId="10F6C6B6" w14:textId="77777777" w:rsidR="0000213C" w:rsidRPr="0003613D" w:rsidRDefault="0000213C" w:rsidP="0000213C">
            <w:pPr>
              <w:spacing w:after="160" w:line="259" w:lineRule="auto"/>
              <w:rPr>
                <w:rFonts w:ascii="Arial" w:hAnsi="Arial" w:cs="Arial"/>
              </w:rPr>
            </w:pPr>
            <w:r w:rsidRPr="0003613D">
              <w:rPr>
                <w:rFonts w:ascii="Arial" w:hAnsi="Arial" w:cs="Arial"/>
              </w:rPr>
              <w:t>61.1%</w:t>
            </w:r>
          </w:p>
        </w:tc>
      </w:tr>
    </w:tbl>
    <w:p w14:paraId="40A71803" w14:textId="77777777" w:rsidR="0000213C" w:rsidRPr="0003613D" w:rsidRDefault="0000213C" w:rsidP="00560693">
      <w:pPr>
        <w:rPr>
          <w:rFonts w:ascii="Arial" w:hAnsi="Arial" w:cs="Arial"/>
          <w:b/>
          <w:bCs/>
          <w:sz w:val="24"/>
          <w:szCs w:val="24"/>
        </w:rPr>
      </w:pPr>
    </w:p>
    <w:p w14:paraId="2B731915" w14:textId="52E85E89" w:rsidR="00560693" w:rsidRPr="0003613D" w:rsidRDefault="00560693" w:rsidP="00560693">
      <w:pPr>
        <w:rPr>
          <w:rFonts w:ascii="Arial" w:hAnsi="Arial" w:cs="Arial"/>
          <w:sz w:val="24"/>
          <w:szCs w:val="24"/>
        </w:rPr>
      </w:pPr>
      <w:r w:rsidRPr="0003613D">
        <w:rPr>
          <w:rFonts w:ascii="Arial" w:hAnsi="Arial" w:cs="Arial"/>
          <w:b/>
          <w:bCs/>
          <w:sz w:val="24"/>
          <w:szCs w:val="24"/>
        </w:rPr>
        <w:t>Summary:</w:t>
      </w:r>
    </w:p>
    <w:p w14:paraId="7995F6B8" w14:textId="53029FCD" w:rsidR="00560693" w:rsidRPr="0003613D" w:rsidRDefault="00560693" w:rsidP="00560693">
      <w:pPr>
        <w:pStyle w:val="ListParagraph"/>
        <w:numPr>
          <w:ilvl w:val="0"/>
          <w:numId w:val="31"/>
        </w:numPr>
        <w:rPr>
          <w:rFonts w:ascii="Arial" w:hAnsi="Arial" w:cs="Arial"/>
          <w:sz w:val="24"/>
          <w:szCs w:val="24"/>
        </w:rPr>
      </w:pPr>
      <w:r w:rsidRPr="0003613D">
        <w:rPr>
          <w:rFonts w:ascii="Arial" w:hAnsi="Arial" w:cs="Arial"/>
          <w:sz w:val="24"/>
          <w:szCs w:val="24"/>
        </w:rPr>
        <w:t>Buy-backs and new-build developments have partially mitigated the loss of stock, particularly where Housing Associations are active.</w:t>
      </w:r>
    </w:p>
    <w:p w14:paraId="0926E49D" w14:textId="77777777" w:rsidR="00560693" w:rsidRPr="0003613D" w:rsidRDefault="00560693" w:rsidP="00560693">
      <w:pPr>
        <w:pStyle w:val="ListParagraph"/>
        <w:numPr>
          <w:ilvl w:val="0"/>
          <w:numId w:val="31"/>
        </w:numPr>
        <w:rPr>
          <w:rFonts w:ascii="Arial" w:hAnsi="Arial" w:cs="Arial"/>
          <w:sz w:val="24"/>
          <w:szCs w:val="24"/>
        </w:rPr>
      </w:pPr>
      <w:r w:rsidRPr="0003613D">
        <w:rPr>
          <w:rFonts w:ascii="Arial" w:hAnsi="Arial" w:cs="Arial"/>
          <w:sz w:val="24"/>
          <w:szCs w:val="24"/>
        </w:rPr>
        <w:t>The Council’s replacement of sold homes remains low, highlighting the need for additional investment in new development and acquisitions.</w:t>
      </w:r>
    </w:p>
    <w:p w14:paraId="692C0D8A" w14:textId="26B962CD" w:rsidR="006872D7" w:rsidRPr="0003613D" w:rsidRDefault="00560693" w:rsidP="009E6C1D">
      <w:pPr>
        <w:pStyle w:val="ListParagraph"/>
        <w:numPr>
          <w:ilvl w:val="0"/>
          <w:numId w:val="31"/>
        </w:numPr>
        <w:rPr>
          <w:rFonts w:ascii="Arial" w:hAnsi="Arial" w:cs="Arial"/>
          <w:sz w:val="24"/>
          <w:szCs w:val="24"/>
        </w:rPr>
      </w:pPr>
      <w:r w:rsidRPr="0003613D">
        <w:rPr>
          <w:rFonts w:ascii="Arial" w:hAnsi="Arial" w:cs="Arial"/>
          <w:sz w:val="24"/>
          <w:szCs w:val="24"/>
        </w:rPr>
        <w:t>Overall, while Housing Associations offset losses, there remains a net reduction in affordable housing stock across the borough.</w:t>
      </w:r>
    </w:p>
    <w:p w14:paraId="3F5249B4" w14:textId="77777777" w:rsidR="00296347" w:rsidRPr="0003613D" w:rsidRDefault="00296347" w:rsidP="00296347">
      <w:pPr>
        <w:rPr>
          <w:rFonts w:ascii="Arial" w:eastAsia="Aptos" w:hAnsi="Arial" w:cs="Arial"/>
          <w:b/>
          <w:bCs/>
          <w:iCs/>
          <w:color w:val="0070C0"/>
          <w:sz w:val="32"/>
          <w:szCs w:val="32"/>
          <w:u w:val="single"/>
        </w:rPr>
      </w:pPr>
      <w:r w:rsidRPr="0003613D">
        <w:rPr>
          <w:rFonts w:ascii="Arial" w:eastAsia="Aptos" w:hAnsi="Arial" w:cs="Arial"/>
          <w:b/>
          <w:bCs/>
          <w:iCs/>
          <w:color w:val="0070C0"/>
          <w:sz w:val="32"/>
          <w:szCs w:val="32"/>
          <w:u w:val="single"/>
        </w:rPr>
        <w:t xml:space="preserve">Housing Needs for Sandwell’s General Population </w:t>
      </w:r>
    </w:p>
    <w:p w14:paraId="52E254DB" w14:textId="77777777" w:rsidR="00296347" w:rsidRPr="0003613D" w:rsidRDefault="00296347" w:rsidP="00296347">
      <w:pPr>
        <w:rPr>
          <w:rFonts w:ascii="Arial" w:eastAsia="Calibri" w:hAnsi="Arial" w:cs="Arial"/>
          <w:b/>
          <w:sz w:val="24"/>
          <w:szCs w:val="24"/>
          <w:lang w:eastAsia="en-GB"/>
        </w:rPr>
      </w:pPr>
      <w:r w:rsidRPr="0003613D">
        <w:rPr>
          <w:rFonts w:ascii="Arial" w:eastAsia="Calibri" w:hAnsi="Arial" w:cs="Arial"/>
          <w:b/>
          <w:sz w:val="24"/>
          <w:szCs w:val="24"/>
          <w:lang w:eastAsia="en-GB"/>
        </w:rPr>
        <w:t xml:space="preserve">Housing Register Overview </w:t>
      </w:r>
    </w:p>
    <w:p w14:paraId="4FDE46ED" w14:textId="77777777" w:rsidR="00296347" w:rsidRPr="0003613D" w:rsidRDefault="00296347" w:rsidP="00296347">
      <w:pPr>
        <w:rPr>
          <w:rFonts w:ascii="Arial" w:eastAsia="Calibri" w:hAnsi="Arial" w:cs="Arial"/>
          <w:sz w:val="24"/>
          <w:szCs w:val="24"/>
        </w:rPr>
      </w:pPr>
      <w:r w:rsidRPr="0003613D">
        <w:rPr>
          <w:rFonts w:ascii="Arial" w:eastAsia="Calibri" w:hAnsi="Arial" w:cs="Arial"/>
          <w:sz w:val="24"/>
          <w:szCs w:val="24"/>
        </w:rPr>
        <w:t xml:space="preserve">In July 2020 Sandwell Council introduced a new Housing Allocations Policy that adjusted the residency test required to join the housing register. The new Housing Allocations Policy reduced the amount of time that an applicant must have lived in Sandwell, in order to qualify for the housing register, from 5 years to 2 years. This is likely to have contributed to the growth of the housing register from around 7,600 households in May 2020 to 10,591 in August 2022 (the publication date of the previous Housing Needs Assessment). </w:t>
      </w:r>
    </w:p>
    <w:p w14:paraId="1D53C51F" w14:textId="0F319492" w:rsidR="00296347" w:rsidRPr="0003613D" w:rsidRDefault="00296347" w:rsidP="00296347">
      <w:pPr>
        <w:rPr>
          <w:rFonts w:ascii="Arial" w:eastAsia="Calibri" w:hAnsi="Arial" w:cs="Arial"/>
          <w:bCs/>
          <w:sz w:val="24"/>
          <w:szCs w:val="24"/>
          <w:lang w:eastAsia="en-GB"/>
        </w:rPr>
      </w:pPr>
      <w:r w:rsidRPr="0003613D">
        <w:rPr>
          <w:rFonts w:ascii="Arial" w:eastAsia="Calibri" w:hAnsi="Arial" w:cs="Arial"/>
          <w:bCs/>
          <w:sz w:val="24"/>
          <w:szCs w:val="24"/>
          <w:lang w:eastAsia="en-GB"/>
        </w:rPr>
        <w:t>Since publication of the previous Housing Needs Assessment, the number of households on the register has significantly increased, almost doubling from 10,591 in August 2022 to 2</w:t>
      </w:r>
      <w:r w:rsidR="00323F14" w:rsidRPr="0003613D">
        <w:rPr>
          <w:rFonts w:ascii="Arial" w:eastAsia="Calibri" w:hAnsi="Arial" w:cs="Arial"/>
          <w:bCs/>
          <w:sz w:val="24"/>
          <w:szCs w:val="24"/>
          <w:lang w:eastAsia="en-GB"/>
        </w:rPr>
        <w:t>3</w:t>
      </w:r>
      <w:r w:rsidRPr="0003613D">
        <w:rPr>
          <w:rFonts w:ascii="Arial" w:eastAsia="Calibri" w:hAnsi="Arial" w:cs="Arial"/>
          <w:bCs/>
          <w:sz w:val="24"/>
          <w:szCs w:val="24"/>
          <w:lang w:eastAsia="en-GB"/>
        </w:rPr>
        <w:t>,</w:t>
      </w:r>
      <w:r w:rsidR="00323F14" w:rsidRPr="0003613D">
        <w:rPr>
          <w:rFonts w:ascii="Arial" w:eastAsia="Calibri" w:hAnsi="Arial" w:cs="Arial"/>
          <w:bCs/>
          <w:sz w:val="24"/>
          <w:szCs w:val="24"/>
          <w:lang w:eastAsia="en-GB"/>
        </w:rPr>
        <w:t>370</w:t>
      </w:r>
      <w:r w:rsidRPr="0003613D">
        <w:rPr>
          <w:rFonts w:ascii="Arial" w:eastAsia="Calibri" w:hAnsi="Arial" w:cs="Arial"/>
          <w:bCs/>
          <w:sz w:val="24"/>
          <w:szCs w:val="24"/>
          <w:lang w:eastAsia="en-GB"/>
        </w:rPr>
        <w:t xml:space="preserve"> in March 2025. </w:t>
      </w:r>
    </w:p>
    <w:p w14:paraId="31BDF3A1" w14:textId="66065A99" w:rsidR="00296347" w:rsidRPr="0003613D" w:rsidRDefault="00296347" w:rsidP="00296347">
      <w:pPr>
        <w:rPr>
          <w:rFonts w:ascii="Arial" w:eastAsia="Calibri" w:hAnsi="Arial" w:cs="Arial"/>
          <w:bCs/>
          <w:sz w:val="24"/>
          <w:szCs w:val="24"/>
          <w:lang w:eastAsia="en-GB"/>
        </w:rPr>
      </w:pPr>
      <w:r w:rsidRPr="0003613D">
        <w:rPr>
          <w:rFonts w:ascii="Arial" w:eastAsia="Calibri" w:hAnsi="Arial" w:cs="Arial"/>
          <w:bCs/>
          <w:sz w:val="24"/>
          <w:szCs w:val="24"/>
          <w:lang w:eastAsia="en-GB"/>
        </w:rPr>
        <w:t>Of these 2</w:t>
      </w:r>
      <w:r w:rsidR="00323F14" w:rsidRPr="0003613D">
        <w:rPr>
          <w:rFonts w:ascii="Arial" w:eastAsia="Calibri" w:hAnsi="Arial" w:cs="Arial"/>
          <w:bCs/>
          <w:sz w:val="24"/>
          <w:szCs w:val="24"/>
          <w:lang w:eastAsia="en-GB"/>
        </w:rPr>
        <w:t>3</w:t>
      </w:r>
      <w:r w:rsidRPr="0003613D">
        <w:rPr>
          <w:rFonts w:ascii="Arial" w:eastAsia="Calibri" w:hAnsi="Arial" w:cs="Arial"/>
          <w:bCs/>
          <w:sz w:val="24"/>
          <w:szCs w:val="24"/>
          <w:lang w:eastAsia="en-GB"/>
        </w:rPr>
        <w:t>,</w:t>
      </w:r>
      <w:r w:rsidR="00323F14" w:rsidRPr="0003613D">
        <w:rPr>
          <w:rFonts w:ascii="Arial" w:eastAsia="Calibri" w:hAnsi="Arial" w:cs="Arial"/>
          <w:bCs/>
          <w:sz w:val="24"/>
          <w:szCs w:val="24"/>
          <w:lang w:eastAsia="en-GB"/>
        </w:rPr>
        <w:t>370</w:t>
      </w:r>
      <w:r w:rsidRPr="0003613D">
        <w:rPr>
          <w:rFonts w:ascii="Arial" w:eastAsia="Calibri" w:hAnsi="Arial" w:cs="Arial"/>
          <w:bCs/>
          <w:sz w:val="24"/>
          <w:szCs w:val="24"/>
          <w:lang w:eastAsia="en-GB"/>
        </w:rPr>
        <w:t xml:space="preserve">: </w:t>
      </w:r>
    </w:p>
    <w:p w14:paraId="5F383842" w14:textId="77777777" w:rsidR="00296347" w:rsidRPr="0003613D" w:rsidRDefault="00296347" w:rsidP="00296347">
      <w:pPr>
        <w:numPr>
          <w:ilvl w:val="0"/>
          <w:numId w:val="12"/>
        </w:numPr>
        <w:spacing w:line="278" w:lineRule="auto"/>
        <w:contextualSpacing/>
        <w:rPr>
          <w:rFonts w:ascii="Arial" w:eastAsia="Calibri" w:hAnsi="Arial" w:cs="Arial"/>
          <w:bCs/>
          <w:sz w:val="24"/>
          <w:szCs w:val="24"/>
          <w:lang w:eastAsia="en-GB"/>
        </w:rPr>
      </w:pPr>
      <w:r w:rsidRPr="0003613D">
        <w:rPr>
          <w:rFonts w:ascii="Arial" w:eastAsia="Calibri" w:hAnsi="Arial" w:cs="Arial"/>
          <w:bCs/>
          <w:sz w:val="24"/>
          <w:szCs w:val="24"/>
          <w:lang w:eastAsia="en-GB"/>
        </w:rPr>
        <w:t xml:space="preserve">16 are decant applications </w:t>
      </w:r>
    </w:p>
    <w:p w14:paraId="0AD334D7" w14:textId="77777777" w:rsidR="00296347" w:rsidRPr="0003613D" w:rsidRDefault="00296347" w:rsidP="00296347">
      <w:pPr>
        <w:numPr>
          <w:ilvl w:val="0"/>
          <w:numId w:val="12"/>
        </w:numPr>
        <w:spacing w:line="278" w:lineRule="auto"/>
        <w:contextualSpacing/>
        <w:rPr>
          <w:rFonts w:ascii="Arial" w:eastAsia="Calibri" w:hAnsi="Arial" w:cs="Arial"/>
          <w:bCs/>
          <w:sz w:val="24"/>
          <w:szCs w:val="24"/>
          <w:lang w:eastAsia="en-GB"/>
        </w:rPr>
      </w:pPr>
      <w:r w:rsidRPr="0003613D">
        <w:rPr>
          <w:rFonts w:ascii="Arial" w:eastAsia="Calibri" w:hAnsi="Arial" w:cs="Arial"/>
          <w:bCs/>
          <w:sz w:val="24"/>
          <w:szCs w:val="24"/>
          <w:lang w:eastAsia="en-GB"/>
        </w:rPr>
        <w:t xml:space="preserve">276 households on the register require an adapted property. </w:t>
      </w:r>
    </w:p>
    <w:p w14:paraId="639ECF0E" w14:textId="77777777" w:rsidR="00296347" w:rsidRPr="0003613D" w:rsidRDefault="00296347" w:rsidP="00296347">
      <w:pPr>
        <w:numPr>
          <w:ilvl w:val="0"/>
          <w:numId w:val="12"/>
        </w:numPr>
        <w:spacing w:line="278" w:lineRule="auto"/>
        <w:contextualSpacing/>
        <w:rPr>
          <w:rFonts w:ascii="Arial" w:eastAsia="Calibri" w:hAnsi="Arial" w:cs="Arial"/>
          <w:bCs/>
          <w:sz w:val="24"/>
          <w:szCs w:val="24"/>
          <w:lang w:eastAsia="en-GB"/>
        </w:rPr>
      </w:pPr>
      <w:r w:rsidRPr="0003613D">
        <w:rPr>
          <w:rFonts w:ascii="Arial" w:eastAsia="Calibri" w:hAnsi="Arial" w:cs="Arial"/>
          <w:bCs/>
          <w:sz w:val="24"/>
          <w:szCs w:val="24"/>
          <w:lang w:eastAsia="en-GB"/>
        </w:rPr>
        <w:t xml:space="preserve">330 households currently on the housing register are stated as homeless. </w:t>
      </w:r>
    </w:p>
    <w:p w14:paraId="5E7A39B4" w14:textId="77777777" w:rsidR="00296347" w:rsidRPr="0003613D" w:rsidRDefault="00296347" w:rsidP="00296347">
      <w:pPr>
        <w:numPr>
          <w:ilvl w:val="0"/>
          <w:numId w:val="12"/>
        </w:numPr>
        <w:spacing w:line="278" w:lineRule="auto"/>
        <w:contextualSpacing/>
        <w:rPr>
          <w:rFonts w:ascii="Arial" w:eastAsia="Calibri" w:hAnsi="Arial" w:cs="Arial"/>
          <w:bCs/>
          <w:sz w:val="24"/>
          <w:szCs w:val="24"/>
          <w:lang w:eastAsia="en-GB"/>
        </w:rPr>
      </w:pPr>
      <w:r w:rsidRPr="0003613D">
        <w:rPr>
          <w:rFonts w:ascii="Arial" w:eastAsia="Calibri" w:hAnsi="Arial" w:cs="Arial"/>
          <w:bCs/>
          <w:sz w:val="24"/>
          <w:szCs w:val="24"/>
          <w:lang w:eastAsia="en-GB"/>
        </w:rPr>
        <w:t xml:space="preserve">5,476 households on the housing register are current Sandwell Council tenants. </w:t>
      </w:r>
    </w:p>
    <w:p w14:paraId="1204A4A1" w14:textId="77777777" w:rsidR="00296347" w:rsidRPr="0003613D" w:rsidRDefault="00296347" w:rsidP="00296347">
      <w:pPr>
        <w:rPr>
          <w:rFonts w:ascii="Arial" w:eastAsia="Calibri" w:hAnsi="Arial" w:cs="Arial"/>
          <w:bCs/>
          <w:sz w:val="24"/>
          <w:szCs w:val="24"/>
          <w:lang w:eastAsia="en-GB"/>
        </w:rPr>
      </w:pPr>
      <w:r w:rsidRPr="0003613D">
        <w:rPr>
          <w:rFonts w:ascii="Arial" w:eastAsia="Calibri" w:hAnsi="Arial" w:cs="Arial"/>
          <w:bCs/>
          <w:sz w:val="24"/>
          <w:szCs w:val="24"/>
          <w:lang w:eastAsia="en-GB"/>
        </w:rPr>
        <w:t>The bar chart below illustrates the proportion of each age group that are currently on the housing register, using the age bracket of the head of household.</w:t>
      </w:r>
    </w:p>
    <w:p w14:paraId="572C8017" w14:textId="77777777" w:rsidR="00296347" w:rsidRPr="0003613D" w:rsidRDefault="00296347" w:rsidP="00296347">
      <w:pPr>
        <w:rPr>
          <w:rFonts w:ascii="Arial" w:eastAsia="Calibri" w:hAnsi="Arial" w:cs="Arial"/>
          <w:bCs/>
          <w:sz w:val="24"/>
          <w:szCs w:val="24"/>
          <w:lang w:eastAsia="en-GB"/>
        </w:rPr>
      </w:pPr>
      <w:r w:rsidRPr="0003613D">
        <w:rPr>
          <w:rFonts w:ascii="Arial" w:eastAsia="Calibri" w:hAnsi="Arial" w:cs="Arial"/>
          <w:bCs/>
          <w:noProof/>
          <w:sz w:val="24"/>
          <w:szCs w:val="24"/>
          <w:lang w:eastAsia="en-GB"/>
        </w:rPr>
        <w:lastRenderedPageBreak/>
        <w:drawing>
          <wp:inline distT="0" distB="0" distL="0" distR="0" wp14:anchorId="16D3F61A" wp14:editId="5C95023C">
            <wp:extent cx="5353325" cy="3124361"/>
            <wp:effectExtent l="0" t="0" r="0" b="0"/>
            <wp:docPr id="1385786282" name="Picture 1" descr="A graph with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86282" name="Picture 1" descr="A graph with blue bars&#10;&#10;AI-generated content may be incorrect."/>
                    <pic:cNvPicPr/>
                  </pic:nvPicPr>
                  <pic:blipFill>
                    <a:blip r:embed="rId16"/>
                    <a:stretch>
                      <a:fillRect/>
                    </a:stretch>
                  </pic:blipFill>
                  <pic:spPr>
                    <a:xfrm>
                      <a:off x="0" y="0"/>
                      <a:ext cx="5353325" cy="3124361"/>
                    </a:xfrm>
                    <a:prstGeom prst="rect">
                      <a:avLst/>
                    </a:prstGeom>
                  </pic:spPr>
                </pic:pic>
              </a:graphicData>
            </a:graphic>
          </wp:inline>
        </w:drawing>
      </w:r>
    </w:p>
    <w:p w14:paraId="613AD6C2" w14:textId="5CEED2BE" w:rsidR="00296347" w:rsidRPr="0003613D" w:rsidRDefault="00296347" w:rsidP="00296347">
      <w:pPr>
        <w:rPr>
          <w:rFonts w:ascii="Arial" w:eastAsia="Calibri" w:hAnsi="Arial" w:cs="Arial"/>
          <w:bCs/>
          <w:sz w:val="24"/>
          <w:szCs w:val="24"/>
          <w:lang w:eastAsia="en-GB"/>
        </w:rPr>
      </w:pPr>
      <w:r w:rsidRPr="0003613D">
        <w:rPr>
          <w:rFonts w:ascii="Arial" w:eastAsia="Calibri" w:hAnsi="Arial" w:cs="Arial"/>
          <w:bCs/>
          <w:sz w:val="24"/>
          <w:szCs w:val="24"/>
          <w:lang w:eastAsia="en-GB"/>
        </w:rPr>
        <w:t>9,506 of 2</w:t>
      </w:r>
      <w:r w:rsidR="003E341C" w:rsidRPr="0003613D">
        <w:rPr>
          <w:rFonts w:ascii="Arial" w:eastAsia="Calibri" w:hAnsi="Arial" w:cs="Arial"/>
          <w:bCs/>
          <w:sz w:val="24"/>
          <w:szCs w:val="24"/>
          <w:lang w:eastAsia="en-GB"/>
        </w:rPr>
        <w:t>3</w:t>
      </w:r>
      <w:r w:rsidRPr="0003613D">
        <w:rPr>
          <w:rFonts w:ascii="Arial" w:eastAsia="Calibri" w:hAnsi="Arial" w:cs="Arial"/>
          <w:bCs/>
          <w:sz w:val="24"/>
          <w:szCs w:val="24"/>
          <w:lang w:eastAsia="en-GB"/>
        </w:rPr>
        <w:t>,</w:t>
      </w:r>
      <w:r w:rsidR="003E341C" w:rsidRPr="0003613D">
        <w:rPr>
          <w:rFonts w:ascii="Arial" w:eastAsia="Calibri" w:hAnsi="Arial" w:cs="Arial"/>
          <w:bCs/>
          <w:sz w:val="24"/>
          <w:szCs w:val="24"/>
          <w:lang w:eastAsia="en-GB"/>
        </w:rPr>
        <w:t>370</w:t>
      </w:r>
      <w:r w:rsidRPr="0003613D">
        <w:rPr>
          <w:rFonts w:ascii="Arial" w:eastAsia="Calibri" w:hAnsi="Arial" w:cs="Arial"/>
          <w:bCs/>
          <w:sz w:val="24"/>
          <w:szCs w:val="24"/>
          <w:lang w:eastAsia="en-GB"/>
        </w:rPr>
        <w:t xml:space="preserve"> households have a head of household between the ages 26-40. This compromises 47% of the total housing register. There are currently 2 head of households on the housing register under the age of 16. There are 2,998 head of households between the ages 16-25 (14%), 5,611 head of households aged 41-59 (27%), 1,691 head of households aged 60-74 (8%), and 549 head of households aged 75+ (2.6%). 66 have given no indication as to the age of the head of the household on the application. </w:t>
      </w:r>
    </w:p>
    <w:p w14:paraId="294DB99A" w14:textId="77777777" w:rsidR="00296347" w:rsidRPr="0003613D" w:rsidRDefault="00296347" w:rsidP="00296347">
      <w:pPr>
        <w:rPr>
          <w:rFonts w:ascii="Arial" w:eastAsia="Calibri" w:hAnsi="Arial" w:cs="Arial"/>
          <w:bCs/>
          <w:sz w:val="24"/>
          <w:szCs w:val="24"/>
          <w:lang w:eastAsia="en-GB"/>
        </w:rPr>
      </w:pPr>
      <w:r w:rsidRPr="0003613D">
        <w:rPr>
          <w:rFonts w:ascii="Arial" w:eastAsia="Calibri" w:hAnsi="Arial" w:cs="Arial"/>
          <w:bCs/>
          <w:sz w:val="24"/>
          <w:szCs w:val="24"/>
          <w:lang w:eastAsia="en-GB"/>
        </w:rPr>
        <w:t>The vast majority of households on the housing register are currently in band 5. 15,389 households are in band 5, accounting for 75% of the housing register. 25% of households in the housing register are in bands 1-4 (a priority band). Of those, the majority are in band 3 (2817,14%). Those not accounted for in the table below are decant applications.</w:t>
      </w:r>
    </w:p>
    <w:tbl>
      <w:tblPr>
        <w:tblStyle w:val="TableGrid11"/>
        <w:tblW w:w="0" w:type="auto"/>
        <w:tblLook w:val="04A0" w:firstRow="1" w:lastRow="0" w:firstColumn="1" w:lastColumn="0" w:noHBand="0" w:noVBand="1"/>
      </w:tblPr>
      <w:tblGrid>
        <w:gridCol w:w="2122"/>
        <w:gridCol w:w="2126"/>
      </w:tblGrid>
      <w:tr w:rsidR="00296347" w:rsidRPr="0003613D" w14:paraId="1F53C08D" w14:textId="77777777">
        <w:tc>
          <w:tcPr>
            <w:tcW w:w="2122" w:type="dxa"/>
          </w:tcPr>
          <w:p w14:paraId="25D61CB8" w14:textId="77777777" w:rsidR="00296347" w:rsidRPr="0003613D" w:rsidRDefault="00296347" w:rsidP="00296347">
            <w:pPr>
              <w:rPr>
                <w:rFonts w:ascii="Arial" w:eastAsia="Calibri" w:hAnsi="Arial" w:cs="Arial"/>
                <w:b/>
                <w:lang w:eastAsia="en-GB"/>
              </w:rPr>
            </w:pPr>
            <w:r w:rsidRPr="0003613D">
              <w:rPr>
                <w:rFonts w:ascii="Arial" w:eastAsia="Calibri" w:hAnsi="Arial" w:cs="Arial"/>
                <w:b/>
                <w:lang w:eastAsia="en-GB"/>
              </w:rPr>
              <w:t>Priority Band</w:t>
            </w:r>
          </w:p>
        </w:tc>
        <w:tc>
          <w:tcPr>
            <w:tcW w:w="2126" w:type="dxa"/>
          </w:tcPr>
          <w:p w14:paraId="2218752B" w14:textId="77777777" w:rsidR="00296347" w:rsidRPr="0003613D" w:rsidRDefault="00296347" w:rsidP="00296347">
            <w:pPr>
              <w:rPr>
                <w:rFonts w:ascii="Arial" w:eastAsia="Calibri" w:hAnsi="Arial" w:cs="Arial"/>
                <w:b/>
                <w:lang w:eastAsia="en-GB"/>
              </w:rPr>
            </w:pPr>
            <w:r w:rsidRPr="0003613D">
              <w:rPr>
                <w:rFonts w:ascii="Arial" w:eastAsia="Calibri" w:hAnsi="Arial" w:cs="Arial"/>
                <w:b/>
                <w:lang w:eastAsia="en-GB"/>
              </w:rPr>
              <w:t>Count</w:t>
            </w:r>
          </w:p>
        </w:tc>
      </w:tr>
      <w:tr w:rsidR="00296347" w:rsidRPr="0003613D" w14:paraId="6B6899D0" w14:textId="77777777">
        <w:tc>
          <w:tcPr>
            <w:tcW w:w="2122" w:type="dxa"/>
          </w:tcPr>
          <w:p w14:paraId="6B0E9119" w14:textId="77777777" w:rsidR="00296347" w:rsidRPr="0003613D" w:rsidRDefault="00296347" w:rsidP="00296347">
            <w:pPr>
              <w:rPr>
                <w:rFonts w:ascii="Arial" w:eastAsia="Calibri" w:hAnsi="Arial" w:cs="Arial"/>
                <w:bCs/>
                <w:lang w:eastAsia="en-GB"/>
              </w:rPr>
            </w:pPr>
            <w:r w:rsidRPr="0003613D">
              <w:rPr>
                <w:rFonts w:ascii="Arial" w:eastAsia="Calibri" w:hAnsi="Arial" w:cs="Arial"/>
                <w:bCs/>
                <w:lang w:eastAsia="en-GB"/>
              </w:rPr>
              <w:t>Band 1</w:t>
            </w:r>
          </w:p>
        </w:tc>
        <w:tc>
          <w:tcPr>
            <w:tcW w:w="2126" w:type="dxa"/>
          </w:tcPr>
          <w:p w14:paraId="28E16EE9" w14:textId="77777777" w:rsidR="00296347" w:rsidRPr="0003613D" w:rsidRDefault="00296347" w:rsidP="00296347">
            <w:pPr>
              <w:rPr>
                <w:rFonts w:ascii="Arial" w:eastAsia="Calibri" w:hAnsi="Arial" w:cs="Arial"/>
                <w:bCs/>
                <w:lang w:eastAsia="en-GB"/>
              </w:rPr>
            </w:pPr>
            <w:r w:rsidRPr="0003613D">
              <w:rPr>
                <w:rFonts w:ascii="Arial" w:eastAsia="Calibri" w:hAnsi="Arial" w:cs="Arial"/>
                <w:bCs/>
                <w:lang w:eastAsia="en-GB"/>
              </w:rPr>
              <w:t>582</w:t>
            </w:r>
          </w:p>
        </w:tc>
      </w:tr>
      <w:tr w:rsidR="00296347" w:rsidRPr="0003613D" w14:paraId="272AE75C" w14:textId="77777777">
        <w:tc>
          <w:tcPr>
            <w:tcW w:w="2122" w:type="dxa"/>
          </w:tcPr>
          <w:p w14:paraId="26E1B11B" w14:textId="77777777" w:rsidR="00296347" w:rsidRPr="0003613D" w:rsidRDefault="00296347" w:rsidP="00296347">
            <w:pPr>
              <w:rPr>
                <w:rFonts w:ascii="Arial" w:eastAsia="Calibri" w:hAnsi="Arial" w:cs="Arial"/>
                <w:bCs/>
                <w:lang w:eastAsia="en-GB"/>
              </w:rPr>
            </w:pPr>
            <w:r w:rsidRPr="0003613D">
              <w:rPr>
                <w:rFonts w:ascii="Arial" w:eastAsia="Calibri" w:hAnsi="Arial" w:cs="Arial"/>
                <w:bCs/>
                <w:lang w:eastAsia="en-GB"/>
              </w:rPr>
              <w:t>Band 2</w:t>
            </w:r>
          </w:p>
        </w:tc>
        <w:tc>
          <w:tcPr>
            <w:tcW w:w="2126" w:type="dxa"/>
          </w:tcPr>
          <w:p w14:paraId="3B542C0E" w14:textId="77777777" w:rsidR="00296347" w:rsidRPr="0003613D" w:rsidRDefault="00296347" w:rsidP="00296347">
            <w:pPr>
              <w:rPr>
                <w:rFonts w:ascii="Arial" w:eastAsia="Calibri" w:hAnsi="Arial" w:cs="Arial"/>
                <w:bCs/>
                <w:lang w:eastAsia="en-GB"/>
              </w:rPr>
            </w:pPr>
            <w:r w:rsidRPr="0003613D">
              <w:rPr>
                <w:rFonts w:ascii="Arial" w:eastAsia="Calibri" w:hAnsi="Arial" w:cs="Arial"/>
                <w:bCs/>
                <w:lang w:eastAsia="en-GB"/>
              </w:rPr>
              <w:t>1512</w:t>
            </w:r>
          </w:p>
        </w:tc>
      </w:tr>
      <w:tr w:rsidR="00296347" w:rsidRPr="0003613D" w14:paraId="60E869BF" w14:textId="77777777">
        <w:tc>
          <w:tcPr>
            <w:tcW w:w="2122" w:type="dxa"/>
          </w:tcPr>
          <w:p w14:paraId="33FA78D5" w14:textId="77777777" w:rsidR="00296347" w:rsidRPr="0003613D" w:rsidRDefault="00296347" w:rsidP="00296347">
            <w:pPr>
              <w:rPr>
                <w:rFonts w:ascii="Arial" w:eastAsia="Calibri" w:hAnsi="Arial" w:cs="Arial"/>
                <w:bCs/>
                <w:lang w:eastAsia="en-GB"/>
              </w:rPr>
            </w:pPr>
            <w:r w:rsidRPr="0003613D">
              <w:rPr>
                <w:rFonts w:ascii="Arial" w:eastAsia="Calibri" w:hAnsi="Arial" w:cs="Arial"/>
                <w:bCs/>
                <w:lang w:eastAsia="en-GB"/>
              </w:rPr>
              <w:t>Band 3</w:t>
            </w:r>
          </w:p>
        </w:tc>
        <w:tc>
          <w:tcPr>
            <w:tcW w:w="2126" w:type="dxa"/>
          </w:tcPr>
          <w:p w14:paraId="2AFA5700" w14:textId="77777777" w:rsidR="00296347" w:rsidRPr="0003613D" w:rsidRDefault="00296347" w:rsidP="00296347">
            <w:pPr>
              <w:rPr>
                <w:rFonts w:ascii="Arial" w:eastAsia="Calibri" w:hAnsi="Arial" w:cs="Arial"/>
                <w:bCs/>
                <w:lang w:eastAsia="en-GB"/>
              </w:rPr>
            </w:pPr>
            <w:r w:rsidRPr="0003613D">
              <w:rPr>
                <w:rFonts w:ascii="Arial" w:eastAsia="Calibri" w:hAnsi="Arial" w:cs="Arial"/>
                <w:bCs/>
                <w:lang w:eastAsia="en-GB"/>
              </w:rPr>
              <w:t>2817</w:t>
            </w:r>
          </w:p>
        </w:tc>
      </w:tr>
      <w:tr w:rsidR="00296347" w:rsidRPr="0003613D" w14:paraId="4F161DCA" w14:textId="77777777">
        <w:tc>
          <w:tcPr>
            <w:tcW w:w="2122" w:type="dxa"/>
          </w:tcPr>
          <w:p w14:paraId="4F2DC0EB" w14:textId="77777777" w:rsidR="00296347" w:rsidRPr="0003613D" w:rsidRDefault="00296347" w:rsidP="00296347">
            <w:pPr>
              <w:rPr>
                <w:rFonts w:ascii="Arial" w:eastAsia="Calibri" w:hAnsi="Arial" w:cs="Arial"/>
                <w:bCs/>
                <w:lang w:eastAsia="en-GB"/>
              </w:rPr>
            </w:pPr>
            <w:r w:rsidRPr="0003613D">
              <w:rPr>
                <w:rFonts w:ascii="Arial" w:eastAsia="Calibri" w:hAnsi="Arial" w:cs="Arial"/>
                <w:bCs/>
                <w:lang w:eastAsia="en-GB"/>
              </w:rPr>
              <w:t>Band 4</w:t>
            </w:r>
          </w:p>
        </w:tc>
        <w:tc>
          <w:tcPr>
            <w:tcW w:w="2126" w:type="dxa"/>
          </w:tcPr>
          <w:p w14:paraId="294ECCDE" w14:textId="77777777" w:rsidR="00296347" w:rsidRPr="0003613D" w:rsidRDefault="00296347" w:rsidP="00296347">
            <w:pPr>
              <w:rPr>
                <w:rFonts w:ascii="Arial" w:eastAsia="Calibri" w:hAnsi="Arial" w:cs="Arial"/>
                <w:bCs/>
                <w:lang w:eastAsia="en-GB"/>
              </w:rPr>
            </w:pPr>
            <w:r w:rsidRPr="0003613D">
              <w:rPr>
                <w:rFonts w:ascii="Arial" w:eastAsia="Calibri" w:hAnsi="Arial" w:cs="Arial"/>
                <w:bCs/>
                <w:lang w:eastAsia="en-GB"/>
              </w:rPr>
              <w:t>107</w:t>
            </w:r>
          </w:p>
        </w:tc>
      </w:tr>
      <w:tr w:rsidR="00296347" w:rsidRPr="0003613D" w14:paraId="61290A61" w14:textId="77777777">
        <w:tc>
          <w:tcPr>
            <w:tcW w:w="2122" w:type="dxa"/>
          </w:tcPr>
          <w:p w14:paraId="1E81B09E" w14:textId="77777777" w:rsidR="00296347" w:rsidRPr="0003613D" w:rsidRDefault="00296347" w:rsidP="00296347">
            <w:pPr>
              <w:rPr>
                <w:rFonts w:ascii="Arial" w:eastAsia="Calibri" w:hAnsi="Arial" w:cs="Arial"/>
                <w:bCs/>
                <w:lang w:eastAsia="en-GB"/>
              </w:rPr>
            </w:pPr>
            <w:r w:rsidRPr="0003613D">
              <w:rPr>
                <w:rFonts w:ascii="Arial" w:eastAsia="Calibri" w:hAnsi="Arial" w:cs="Arial"/>
                <w:bCs/>
                <w:lang w:eastAsia="en-GB"/>
              </w:rPr>
              <w:t>Band 5</w:t>
            </w:r>
          </w:p>
        </w:tc>
        <w:tc>
          <w:tcPr>
            <w:tcW w:w="2126" w:type="dxa"/>
          </w:tcPr>
          <w:p w14:paraId="706155E4" w14:textId="77777777" w:rsidR="00296347" w:rsidRPr="0003613D" w:rsidRDefault="00296347" w:rsidP="00296347">
            <w:pPr>
              <w:rPr>
                <w:rFonts w:ascii="Arial" w:eastAsia="Calibri" w:hAnsi="Arial" w:cs="Arial"/>
                <w:bCs/>
                <w:lang w:eastAsia="en-GB"/>
              </w:rPr>
            </w:pPr>
            <w:r w:rsidRPr="0003613D">
              <w:rPr>
                <w:rFonts w:ascii="Arial" w:eastAsia="Calibri" w:hAnsi="Arial" w:cs="Arial"/>
                <w:bCs/>
                <w:lang w:eastAsia="en-GB"/>
              </w:rPr>
              <w:t>15389</w:t>
            </w:r>
          </w:p>
        </w:tc>
      </w:tr>
    </w:tbl>
    <w:p w14:paraId="7E80237F" w14:textId="77777777" w:rsidR="00296347" w:rsidRPr="0003613D" w:rsidRDefault="00296347" w:rsidP="00296347">
      <w:pPr>
        <w:rPr>
          <w:rFonts w:ascii="Arial" w:eastAsia="Calibri" w:hAnsi="Arial" w:cs="Arial"/>
          <w:bCs/>
          <w:sz w:val="24"/>
          <w:szCs w:val="24"/>
          <w:lang w:eastAsia="en-GB"/>
        </w:rPr>
      </w:pPr>
    </w:p>
    <w:p w14:paraId="14DEAD6F" w14:textId="77777777" w:rsidR="00296347" w:rsidRPr="0003613D" w:rsidRDefault="00296347" w:rsidP="00296347">
      <w:pPr>
        <w:rPr>
          <w:rFonts w:ascii="Arial" w:eastAsia="Calibri" w:hAnsi="Arial" w:cs="Arial"/>
          <w:bCs/>
          <w:sz w:val="24"/>
          <w:szCs w:val="24"/>
          <w:lang w:eastAsia="en-GB"/>
        </w:rPr>
      </w:pPr>
      <w:r w:rsidRPr="0003613D">
        <w:rPr>
          <w:rFonts w:ascii="Arial" w:eastAsia="Calibri" w:hAnsi="Arial" w:cs="Arial"/>
          <w:bCs/>
          <w:sz w:val="24"/>
          <w:szCs w:val="24"/>
          <w:lang w:eastAsia="en-GB"/>
        </w:rPr>
        <w:t xml:space="preserve">Single person households are the largest household type on the housing register (8,267 households). They account for 40% of the housing register. The numbers of single person households on the housing register have significantly grown in size since the previous Housing Needs Assessment in 2022, which states a total of 2,753 single person households. This increase is likely due to the changing in criteria for acceptance onto the housing register as outlined in the previous Housing Allocations Policy in 2020. </w:t>
      </w:r>
    </w:p>
    <w:p w14:paraId="2D282751" w14:textId="0E2F8695" w:rsidR="00296347" w:rsidRPr="0003613D" w:rsidRDefault="00296347" w:rsidP="00296347">
      <w:pPr>
        <w:rPr>
          <w:rFonts w:ascii="Arial" w:eastAsia="Calibri" w:hAnsi="Arial" w:cs="Arial"/>
          <w:bCs/>
          <w:sz w:val="24"/>
          <w:szCs w:val="24"/>
          <w:lang w:eastAsia="en-GB"/>
        </w:rPr>
      </w:pPr>
      <w:r w:rsidRPr="0003613D">
        <w:rPr>
          <w:rFonts w:ascii="Arial" w:eastAsia="Calibri" w:hAnsi="Arial" w:cs="Arial"/>
          <w:bCs/>
          <w:sz w:val="24"/>
          <w:szCs w:val="24"/>
          <w:lang w:eastAsia="en-GB"/>
        </w:rPr>
        <w:t xml:space="preserve">There are 5,290 single parent with children households on the housing register and 4,085 married couples with children households on the housing register. These </w:t>
      </w:r>
      <w:r w:rsidRPr="0003613D">
        <w:rPr>
          <w:rFonts w:ascii="Arial" w:eastAsia="Calibri" w:hAnsi="Arial" w:cs="Arial"/>
          <w:bCs/>
          <w:sz w:val="24"/>
          <w:szCs w:val="24"/>
          <w:lang w:eastAsia="en-GB"/>
        </w:rPr>
        <w:lastRenderedPageBreak/>
        <w:t xml:space="preserve">household types make up 26% and 20% of the housing register respectively. There are 2,483 cohabiting couples or all adult households on the housing register (12%). The remaining 320 households have not stated their household make up. This information can be viewed in the pie chart below. </w:t>
      </w:r>
    </w:p>
    <w:p w14:paraId="78790FD6" w14:textId="77777777" w:rsidR="00296347" w:rsidRPr="0003613D" w:rsidRDefault="00296347" w:rsidP="00296347">
      <w:pPr>
        <w:rPr>
          <w:rFonts w:ascii="Arial" w:eastAsia="Calibri" w:hAnsi="Arial" w:cs="Arial"/>
          <w:bCs/>
          <w:sz w:val="24"/>
          <w:szCs w:val="24"/>
          <w:lang w:eastAsia="en-GB"/>
        </w:rPr>
      </w:pPr>
      <w:r w:rsidRPr="0003613D">
        <w:rPr>
          <w:rFonts w:ascii="Arial" w:eastAsia="Calibri" w:hAnsi="Arial" w:cs="Arial"/>
          <w:bCs/>
          <w:noProof/>
          <w:sz w:val="24"/>
          <w:szCs w:val="24"/>
          <w:lang w:eastAsia="en-GB"/>
        </w:rPr>
        <w:drawing>
          <wp:inline distT="0" distB="0" distL="0" distR="0" wp14:anchorId="5B8399E0" wp14:editId="62B31DA9">
            <wp:extent cx="5607338" cy="3372023"/>
            <wp:effectExtent l="0" t="0" r="0" b="0"/>
            <wp:docPr id="1093976991" name="Picture 1" descr="A pie chart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976991" name="Picture 1" descr="A pie chart with numbers and text&#10;&#10;AI-generated content may be incorrect."/>
                    <pic:cNvPicPr/>
                  </pic:nvPicPr>
                  <pic:blipFill>
                    <a:blip r:embed="rId17"/>
                    <a:stretch>
                      <a:fillRect/>
                    </a:stretch>
                  </pic:blipFill>
                  <pic:spPr>
                    <a:xfrm>
                      <a:off x="0" y="0"/>
                      <a:ext cx="5607338" cy="3372023"/>
                    </a:xfrm>
                    <a:prstGeom prst="rect">
                      <a:avLst/>
                    </a:prstGeom>
                  </pic:spPr>
                </pic:pic>
              </a:graphicData>
            </a:graphic>
          </wp:inline>
        </w:drawing>
      </w:r>
    </w:p>
    <w:p w14:paraId="284A8AE6" w14:textId="77777777" w:rsidR="00F36608" w:rsidRPr="0003613D" w:rsidRDefault="00F36608" w:rsidP="00296347">
      <w:pPr>
        <w:rPr>
          <w:rFonts w:ascii="Arial" w:eastAsia="Calibri" w:hAnsi="Arial" w:cs="Arial"/>
          <w:bCs/>
          <w:iCs/>
          <w:sz w:val="24"/>
          <w:szCs w:val="24"/>
        </w:rPr>
      </w:pPr>
    </w:p>
    <w:p w14:paraId="35B99357" w14:textId="6DAAA5B4" w:rsidR="00F36608" w:rsidRPr="0003613D" w:rsidRDefault="00F36608" w:rsidP="00296347">
      <w:pPr>
        <w:rPr>
          <w:rFonts w:ascii="Arial" w:eastAsia="Calibri" w:hAnsi="Arial" w:cs="Arial"/>
          <w:bCs/>
          <w:iCs/>
          <w:sz w:val="24"/>
          <w:szCs w:val="24"/>
        </w:rPr>
      </w:pPr>
      <w:r w:rsidRPr="0003613D">
        <w:rPr>
          <w:rFonts w:ascii="Arial" w:eastAsia="Calibri" w:hAnsi="Arial" w:cs="Arial"/>
          <w:bCs/>
          <w:iCs/>
          <w:sz w:val="24"/>
          <w:szCs w:val="24"/>
        </w:rPr>
        <w:t>The majority of households on the housing register require a one-bedroom property (12,276 households), representing 52% of total need. The second largest group requires two-bedroom homes (6,077 households, 26%). A further 1,277 households (5%) need a four-bedroom property, while 381 households (2%) require five or more bedrooms. The table below presents the updated number of bedrooms needed for households currently on the housing register.</w:t>
      </w:r>
    </w:p>
    <w:tbl>
      <w:tblPr>
        <w:tblStyle w:val="TableGrid1"/>
        <w:tblW w:w="0" w:type="auto"/>
        <w:jc w:val="center"/>
        <w:tblLook w:val="04A0" w:firstRow="1" w:lastRow="0" w:firstColumn="1" w:lastColumn="0" w:noHBand="0" w:noVBand="1"/>
      </w:tblPr>
      <w:tblGrid>
        <w:gridCol w:w="3604"/>
        <w:gridCol w:w="3844"/>
      </w:tblGrid>
      <w:tr w:rsidR="00574185" w:rsidRPr="00574185" w14:paraId="5C8E2D55" w14:textId="77777777" w:rsidTr="00574185">
        <w:trPr>
          <w:jc w:val="center"/>
        </w:trPr>
        <w:tc>
          <w:tcPr>
            <w:tcW w:w="0" w:type="auto"/>
            <w:hideMark/>
          </w:tcPr>
          <w:p w14:paraId="53FAD52B" w14:textId="77777777" w:rsidR="00574185" w:rsidRPr="00574185" w:rsidRDefault="00574185" w:rsidP="00574185">
            <w:pPr>
              <w:spacing w:after="160" w:line="259" w:lineRule="auto"/>
              <w:rPr>
                <w:rFonts w:ascii="Arial" w:eastAsia="Calibri" w:hAnsi="Arial" w:cs="Arial"/>
                <w:b/>
                <w:bCs/>
                <w:iCs/>
              </w:rPr>
            </w:pPr>
            <w:r w:rsidRPr="00574185">
              <w:rPr>
                <w:rFonts w:ascii="Arial" w:eastAsia="Calibri" w:hAnsi="Arial" w:cs="Arial"/>
                <w:b/>
                <w:bCs/>
                <w:iCs/>
              </w:rPr>
              <w:t>Number of Bedrooms Needed</w:t>
            </w:r>
          </w:p>
        </w:tc>
        <w:tc>
          <w:tcPr>
            <w:tcW w:w="0" w:type="auto"/>
            <w:hideMark/>
          </w:tcPr>
          <w:p w14:paraId="58D0C7CF" w14:textId="77777777" w:rsidR="00574185" w:rsidRPr="00574185" w:rsidRDefault="00574185" w:rsidP="00574185">
            <w:pPr>
              <w:spacing w:after="160" w:line="259" w:lineRule="auto"/>
              <w:rPr>
                <w:rFonts w:ascii="Arial" w:eastAsia="Calibri" w:hAnsi="Arial" w:cs="Arial"/>
                <w:b/>
                <w:bCs/>
                <w:iCs/>
              </w:rPr>
            </w:pPr>
            <w:r w:rsidRPr="00574185">
              <w:rPr>
                <w:rFonts w:ascii="Arial" w:eastAsia="Calibri" w:hAnsi="Arial" w:cs="Arial"/>
                <w:b/>
                <w:bCs/>
                <w:iCs/>
              </w:rPr>
              <w:t>Revised Number of Households</w:t>
            </w:r>
          </w:p>
        </w:tc>
      </w:tr>
      <w:tr w:rsidR="00574185" w:rsidRPr="00574185" w14:paraId="6527A6B7" w14:textId="77777777" w:rsidTr="00574185">
        <w:trPr>
          <w:jc w:val="center"/>
        </w:trPr>
        <w:tc>
          <w:tcPr>
            <w:tcW w:w="0" w:type="auto"/>
            <w:hideMark/>
          </w:tcPr>
          <w:p w14:paraId="556E0D9D" w14:textId="77777777" w:rsidR="00574185" w:rsidRPr="00574185" w:rsidRDefault="00574185" w:rsidP="00574185">
            <w:pPr>
              <w:spacing w:after="160" w:line="259" w:lineRule="auto"/>
              <w:rPr>
                <w:rFonts w:ascii="Arial" w:eastAsia="Calibri" w:hAnsi="Arial" w:cs="Arial"/>
                <w:iCs/>
              </w:rPr>
            </w:pPr>
            <w:r w:rsidRPr="00574185">
              <w:rPr>
                <w:rFonts w:ascii="Arial" w:eastAsia="Calibri" w:hAnsi="Arial" w:cs="Arial"/>
                <w:iCs/>
              </w:rPr>
              <w:t>0</w:t>
            </w:r>
          </w:p>
        </w:tc>
        <w:tc>
          <w:tcPr>
            <w:tcW w:w="0" w:type="auto"/>
            <w:hideMark/>
          </w:tcPr>
          <w:p w14:paraId="7A0D23E9" w14:textId="77777777" w:rsidR="00574185" w:rsidRPr="00574185" w:rsidRDefault="00574185" w:rsidP="00574185">
            <w:pPr>
              <w:spacing w:after="160" w:line="259" w:lineRule="auto"/>
              <w:rPr>
                <w:rFonts w:ascii="Arial" w:eastAsia="Calibri" w:hAnsi="Arial" w:cs="Arial"/>
                <w:iCs/>
              </w:rPr>
            </w:pPr>
            <w:r w:rsidRPr="00574185">
              <w:rPr>
                <w:rFonts w:ascii="Arial" w:eastAsia="Calibri" w:hAnsi="Arial" w:cs="Arial"/>
                <w:iCs/>
              </w:rPr>
              <w:t>67</w:t>
            </w:r>
          </w:p>
        </w:tc>
      </w:tr>
      <w:tr w:rsidR="00574185" w:rsidRPr="00574185" w14:paraId="2EA04A05" w14:textId="77777777" w:rsidTr="00574185">
        <w:trPr>
          <w:jc w:val="center"/>
        </w:trPr>
        <w:tc>
          <w:tcPr>
            <w:tcW w:w="0" w:type="auto"/>
            <w:hideMark/>
          </w:tcPr>
          <w:p w14:paraId="3D33AB19" w14:textId="77777777" w:rsidR="00574185" w:rsidRPr="00574185" w:rsidRDefault="00574185" w:rsidP="00574185">
            <w:pPr>
              <w:spacing w:after="160" w:line="259" w:lineRule="auto"/>
              <w:rPr>
                <w:rFonts w:ascii="Arial" w:eastAsia="Calibri" w:hAnsi="Arial" w:cs="Arial"/>
                <w:iCs/>
              </w:rPr>
            </w:pPr>
            <w:r w:rsidRPr="00574185">
              <w:rPr>
                <w:rFonts w:ascii="Arial" w:eastAsia="Calibri" w:hAnsi="Arial" w:cs="Arial"/>
                <w:iCs/>
              </w:rPr>
              <w:t>1</w:t>
            </w:r>
          </w:p>
        </w:tc>
        <w:tc>
          <w:tcPr>
            <w:tcW w:w="0" w:type="auto"/>
            <w:hideMark/>
          </w:tcPr>
          <w:p w14:paraId="0237B826" w14:textId="77777777" w:rsidR="00574185" w:rsidRPr="00574185" w:rsidRDefault="00574185" w:rsidP="00574185">
            <w:pPr>
              <w:spacing w:after="160" w:line="259" w:lineRule="auto"/>
              <w:rPr>
                <w:rFonts w:ascii="Arial" w:eastAsia="Calibri" w:hAnsi="Arial" w:cs="Arial"/>
                <w:iCs/>
              </w:rPr>
            </w:pPr>
            <w:r w:rsidRPr="00574185">
              <w:rPr>
                <w:rFonts w:ascii="Arial" w:eastAsia="Calibri" w:hAnsi="Arial" w:cs="Arial"/>
                <w:iCs/>
              </w:rPr>
              <w:t>12,276</w:t>
            </w:r>
          </w:p>
        </w:tc>
      </w:tr>
      <w:tr w:rsidR="00574185" w:rsidRPr="00574185" w14:paraId="05A668C7" w14:textId="77777777" w:rsidTr="00574185">
        <w:trPr>
          <w:jc w:val="center"/>
        </w:trPr>
        <w:tc>
          <w:tcPr>
            <w:tcW w:w="0" w:type="auto"/>
            <w:hideMark/>
          </w:tcPr>
          <w:p w14:paraId="56446ED8" w14:textId="77777777" w:rsidR="00574185" w:rsidRPr="00574185" w:rsidRDefault="00574185" w:rsidP="00574185">
            <w:pPr>
              <w:spacing w:after="160" w:line="259" w:lineRule="auto"/>
              <w:rPr>
                <w:rFonts w:ascii="Arial" w:eastAsia="Calibri" w:hAnsi="Arial" w:cs="Arial"/>
                <w:iCs/>
              </w:rPr>
            </w:pPr>
            <w:r w:rsidRPr="00574185">
              <w:rPr>
                <w:rFonts w:ascii="Arial" w:eastAsia="Calibri" w:hAnsi="Arial" w:cs="Arial"/>
                <w:iCs/>
              </w:rPr>
              <w:t>2</w:t>
            </w:r>
          </w:p>
        </w:tc>
        <w:tc>
          <w:tcPr>
            <w:tcW w:w="0" w:type="auto"/>
            <w:hideMark/>
          </w:tcPr>
          <w:p w14:paraId="1A5D3AD3" w14:textId="77777777" w:rsidR="00574185" w:rsidRPr="00574185" w:rsidRDefault="00574185" w:rsidP="00574185">
            <w:pPr>
              <w:spacing w:after="160" w:line="259" w:lineRule="auto"/>
              <w:rPr>
                <w:rFonts w:ascii="Arial" w:eastAsia="Calibri" w:hAnsi="Arial" w:cs="Arial"/>
                <w:iCs/>
              </w:rPr>
            </w:pPr>
            <w:r w:rsidRPr="00574185">
              <w:rPr>
                <w:rFonts w:ascii="Arial" w:eastAsia="Calibri" w:hAnsi="Arial" w:cs="Arial"/>
                <w:iCs/>
              </w:rPr>
              <w:t>6,077</w:t>
            </w:r>
          </w:p>
        </w:tc>
      </w:tr>
      <w:tr w:rsidR="00574185" w:rsidRPr="00574185" w14:paraId="505564D1" w14:textId="77777777" w:rsidTr="00574185">
        <w:trPr>
          <w:jc w:val="center"/>
        </w:trPr>
        <w:tc>
          <w:tcPr>
            <w:tcW w:w="0" w:type="auto"/>
            <w:hideMark/>
          </w:tcPr>
          <w:p w14:paraId="5C0E4FA4" w14:textId="77777777" w:rsidR="00574185" w:rsidRPr="00574185" w:rsidRDefault="00574185" w:rsidP="00574185">
            <w:pPr>
              <w:spacing w:after="160" w:line="259" w:lineRule="auto"/>
              <w:rPr>
                <w:rFonts w:ascii="Arial" w:eastAsia="Calibri" w:hAnsi="Arial" w:cs="Arial"/>
                <w:iCs/>
              </w:rPr>
            </w:pPr>
            <w:r w:rsidRPr="00574185">
              <w:rPr>
                <w:rFonts w:ascii="Arial" w:eastAsia="Calibri" w:hAnsi="Arial" w:cs="Arial"/>
                <w:iCs/>
              </w:rPr>
              <w:t>3</w:t>
            </w:r>
          </w:p>
        </w:tc>
        <w:tc>
          <w:tcPr>
            <w:tcW w:w="0" w:type="auto"/>
            <w:hideMark/>
          </w:tcPr>
          <w:p w14:paraId="2C122D02" w14:textId="77777777" w:rsidR="00574185" w:rsidRPr="00574185" w:rsidRDefault="00574185" w:rsidP="00574185">
            <w:pPr>
              <w:spacing w:after="160" w:line="259" w:lineRule="auto"/>
              <w:rPr>
                <w:rFonts w:ascii="Arial" w:eastAsia="Calibri" w:hAnsi="Arial" w:cs="Arial"/>
                <w:iCs/>
              </w:rPr>
            </w:pPr>
            <w:r w:rsidRPr="00574185">
              <w:rPr>
                <w:rFonts w:ascii="Arial" w:eastAsia="Calibri" w:hAnsi="Arial" w:cs="Arial"/>
                <w:iCs/>
              </w:rPr>
              <w:t>3,292</w:t>
            </w:r>
          </w:p>
        </w:tc>
      </w:tr>
      <w:tr w:rsidR="00574185" w:rsidRPr="00574185" w14:paraId="0A99290C" w14:textId="77777777" w:rsidTr="00574185">
        <w:trPr>
          <w:jc w:val="center"/>
        </w:trPr>
        <w:tc>
          <w:tcPr>
            <w:tcW w:w="0" w:type="auto"/>
            <w:hideMark/>
          </w:tcPr>
          <w:p w14:paraId="77097D84" w14:textId="77777777" w:rsidR="00574185" w:rsidRPr="00574185" w:rsidRDefault="00574185" w:rsidP="00574185">
            <w:pPr>
              <w:spacing w:after="160" w:line="259" w:lineRule="auto"/>
              <w:rPr>
                <w:rFonts w:ascii="Arial" w:eastAsia="Calibri" w:hAnsi="Arial" w:cs="Arial"/>
                <w:iCs/>
              </w:rPr>
            </w:pPr>
            <w:r w:rsidRPr="00574185">
              <w:rPr>
                <w:rFonts w:ascii="Arial" w:eastAsia="Calibri" w:hAnsi="Arial" w:cs="Arial"/>
                <w:iCs/>
              </w:rPr>
              <w:t>4</w:t>
            </w:r>
          </w:p>
        </w:tc>
        <w:tc>
          <w:tcPr>
            <w:tcW w:w="0" w:type="auto"/>
            <w:hideMark/>
          </w:tcPr>
          <w:p w14:paraId="422117C1" w14:textId="77777777" w:rsidR="00574185" w:rsidRPr="00574185" w:rsidRDefault="00574185" w:rsidP="00574185">
            <w:pPr>
              <w:spacing w:after="160" w:line="259" w:lineRule="auto"/>
              <w:rPr>
                <w:rFonts w:ascii="Arial" w:eastAsia="Calibri" w:hAnsi="Arial" w:cs="Arial"/>
                <w:iCs/>
              </w:rPr>
            </w:pPr>
            <w:r w:rsidRPr="00574185">
              <w:rPr>
                <w:rFonts w:ascii="Arial" w:eastAsia="Calibri" w:hAnsi="Arial" w:cs="Arial"/>
                <w:iCs/>
              </w:rPr>
              <w:t>1,277</w:t>
            </w:r>
          </w:p>
        </w:tc>
      </w:tr>
      <w:tr w:rsidR="00574185" w:rsidRPr="00574185" w14:paraId="2A375644" w14:textId="77777777" w:rsidTr="00574185">
        <w:trPr>
          <w:jc w:val="center"/>
        </w:trPr>
        <w:tc>
          <w:tcPr>
            <w:tcW w:w="0" w:type="auto"/>
            <w:hideMark/>
          </w:tcPr>
          <w:p w14:paraId="30C87459" w14:textId="77777777" w:rsidR="00574185" w:rsidRPr="00574185" w:rsidRDefault="00574185" w:rsidP="00574185">
            <w:pPr>
              <w:spacing w:after="160" w:line="259" w:lineRule="auto"/>
              <w:rPr>
                <w:rFonts w:ascii="Arial" w:eastAsia="Calibri" w:hAnsi="Arial" w:cs="Arial"/>
                <w:iCs/>
              </w:rPr>
            </w:pPr>
            <w:r w:rsidRPr="00574185">
              <w:rPr>
                <w:rFonts w:ascii="Arial" w:eastAsia="Calibri" w:hAnsi="Arial" w:cs="Arial"/>
                <w:iCs/>
              </w:rPr>
              <w:t>5+</w:t>
            </w:r>
          </w:p>
        </w:tc>
        <w:tc>
          <w:tcPr>
            <w:tcW w:w="0" w:type="auto"/>
            <w:hideMark/>
          </w:tcPr>
          <w:p w14:paraId="15243CA6" w14:textId="77777777" w:rsidR="00574185" w:rsidRPr="00574185" w:rsidRDefault="00574185" w:rsidP="00574185">
            <w:pPr>
              <w:spacing w:after="160" w:line="259" w:lineRule="auto"/>
              <w:rPr>
                <w:rFonts w:ascii="Arial" w:eastAsia="Calibri" w:hAnsi="Arial" w:cs="Arial"/>
                <w:iCs/>
              </w:rPr>
            </w:pPr>
            <w:r w:rsidRPr="00574185">
              <w:rPr>
                <w:rFonts w:ascii="Arial" w:eastAsia="Calibri" w:hAnsi="Arial" w:cs="Arial"/>
                <w:iCs/>
              </w:rPr>
              <w:t>381</w:t>
            </w:r>
          </w:p>
        </w:tc>
      </w:tr>
      <w:tr w:rsidR="00574185" w:rsidRPr="00574185" w14:paraId="1B1290C2" w14:textId="77777777" w:rsidTr="00574185">
        <w:trPr>
          <w:jc w:val="center"/>
        </w:trPr>
        <w:tc>
          <w:tcPr>
            <w:tcW w:w="0" w:type="auto"/>
            <w:hideMark/>
          </w:tcPr>
          <w:p w14:paraId="27F53DC1" w14:textId="77777777" w:rsidR="00574185" w:rsidRPr="00574185" w:rsidRDefault="00574185" w:rsidP="00574185">
            <w:pPr>
              <w:spacing w:after="160" w:line="259" w:lineRule="auto"/>
              <w:rPr>
                <w:rFonts w:ascii="Arial" w:eastAsia="Calibri" w:hAnsi="Arial" w:cs="Arial"/>
                <w:bCs/>
                <w:iCs/>
              </w:rPr>
            </w:pPr>
            <w:r w:rsidRPr="00574185">
              <w:rPr>
                <w:rFonts w:ascii="Arial" w:eastAsia="Calibri" w:hAnsi="Arial" w:cs="Arial"/>
                <w:b/>
                <w:bCs/>
                <w:iCs/>
              </w:rPr>
              <w:t>Total</w:t>
            </w:r>
          </w:p>
        </w:tc>
        <w:tc>
          <w:tcPr>
            <w:tcW w:w="0" w:type="auto"/>
            <w:hideMark/>
          </w:tcPr>
          <w:p w14:paraId="064EE0CB" w14:textId="77777777" w:rsidR="00574185" w:rsidRPr="00574185" w:rsidRDefault="00574185" w:rsidP="00574185">
            <w:pPr>
              <w:spacing w:after="160" w:line="259" w:lineRule="auto"/>
              <w:rPr>
                <w:rFonts w:ascii="Arial" w:eastAsia="Calibri" w:hAnsi="Arial" w:cs="Arial"/>
                <w:bCs/>
                <w:iCs/>
              </w:rPr>
            </w:pPr>
            <w:r w:rsidRPr="00574185">
              <w:rPr>
                <w:rFonts w:ascii="Arial" w:eastAsia="Calibri" w:hAnsi="Arial" w:cs="Arial"/>
                <w:b/>
                <w:bCs/>
                <w:iCs/>
              </w:rPr>
              <w:t>23,370</w:t>
            </w:r>
          </w:p>
        </w:tc>
      </w:tr>
    </w:tbl>
    <w:p w14:paraId="79811393" w14:textId="77777777" w:rsidR="00296347" w:rsidRPr="0003613D" w:rsidRDefault="00296347" w:rsidP="00296347">
      <w:pPr>
        <w:rPr>
          <w:rFonts w:ascii="Arial" w:eastAsia="Calibri" w:hAnsi="Arial" w:cs="Arial"/>
          <w:bCs/>
          <w:iCs/>
          <w:sz w:val="24"/>
          <w:szCs w:val="24"/>
        </w:rPr>
      </w:pPr>
    </w:p>
    <w:p w14:paraId="1671DD51" w14:textId="77777777" w:rsidR="00A243B2" w:rsidRPr="0003613D" w:rsidRDefault="00A243B2" w:rsidP="00296347">
      <w:pPr>
        <w:rPr>
          <w:rFonts w:ascii="Arial" w:eastAsia="Calibri" w:hAnsi="Arial" w:cs="Arial"/>
          <w:b/>
          <w:iCs/>
          <w:sz w:val="24"/>
          <w:szCs w:val="24"/>
        </w:rPr>
      </w:pPr>
    </w:p>
    <w:p w14:paraId="67D8E4B6" w14:textId="46A3D6BD" w:rsidR="00296347" w:rsidRPr="0003613D" w:rsidRDefault="00296347" w:rsidP="00296347">
      <w:pPr>
        <w:rPr>
          <w:rFonts w:ascii="Arial" w:eastAsia="Calibri" w:hAnsi="Arial" w:cs="Arial"/>
          <w:b/>
          <w:iCs/>
          <w:sz w:val="24"/>
          <w:szCs w:val="24"/>
        </w:rPr>
      </w:pPr>
      <w:r w:rsidRPr="0003613D">
        <w:rPr>
          <w:rFonts w:ascii="Arial" w:eastAsia="Calibri" w:hAnsi="Arial" w:cs="Arial"/>
          <w:b/>
          <w:iCs/>
          <w:sz w:val="24"/>
          <w:szCs w:val="24"/>
        </w:rPr>
        <w:lastRenderedPageBreak/>
        <w:t xml:space="preserve">Bidding activity </w:t>
      </w:r>
    </w:p>
    <w:p w14:paraId="06CB1321" w14:textId="77777777" w:rsidR="00296347" w:rsidRPr="0003613D" w:rsidRDefault="00296347" w:rsidP="00296347">
      <w:pPr>
        <w:spacing w:line="276" w:lineRule="auto"/>
        <w:rPr>
          <w:rFonts w:ascii="Arial" w:eastAsia="Calibri" w:hAnsi="Arial" w:cs="Arial"/>
          <w:sz w:val="24"/>
          <w:szCs w:val="24"/>
        </w:rPr>
      </w:pPr>
      <w:r w:rsidRPr="0003613D">
        <w:rPr>
          <w:rFonts w:ascii="Arial" w:eastAsia="Calibri" w:hAnsi="Arial" w:cs="Arial"/>
          <w:sz w:val="24"/>
          <w:szCs w:val="24"/>
        </w:rPr>
        <w:t>The council currently operates a choice-based lettings system for the allocation of its vacant properties whereby applicants are invited to express an interest in renting a vacant property, often referred to as ‘bidding’.  The bidding process provides an indication of property type demand, i.e. a low number of bids implies low demand. Where increased average wait times from 1</w:t>
      </w:r>
      <w:r w:rsidRPr="0003613D">
        <w:rPr>
          <w:rFonts w:ascii="Arial" w:eastAsia="Calibri" w:hAnsi="Arial" w:cs="Arial"/>
          <w:sz w:val="24"/>
          <w:szCs w:val="24"/>
          <w:vertAlign w:val="superscript"/>
        </w:rPr>
        <w:t>st</w:t>
      </w:r>
      <w:r w:rsidRPr="0003613D">
        <w:rPr>
          <w:rFonts w:ascii="Arial" w:eastAsia="Calibri" w:hAnsi="Arial" w:cs="Arial"/>
          <w:sz w:val="24"/>
          <w:szCs w:val="24"/>
        </w:rPr>
        <w:t xml:space="preserve"> bid to let can be observed, this typically reflects heightened demand or low supply. </w:t>
      </w:r>
    </w:p>
    <w:p w14:paraId="37A999E1" w14:textId="77777777" w:rsidR="00296347" w:rsidRPr="0003613D" w:rsidRDefault="00296347" w:rsidP="00296347">
      <w:pPr>
        <w:spacing w:line="276" w:lineRule="auto"/>
        <w:rPr>
          <w:rFonts w:ascii="Arial" w:eastAsia="Calibri" w:hAnsi="Arial" w:cs="Arial"/>
          <w:sz w:val="24"/>
          <w:szCs w:val="24"/>
        </w:rPr>
      </w:pPr>
      <w:r w:rsidRPr="0003613D">
        <w:rPr>
          <w:rFonts w:ascii="Arial" w:eastAsia="Calibri" w:hAnsi="Arial" w:cs="Arial"/>
          <w:sz w:val="24"/>
          <w:szCs w:val="24"/>
        </w:rPr>
        <w:t xml:space="preserve">The table below presents the average number of weeks, from a households first bid on a property, to a property being let to the household, categorised by the households priority band. </w:t>
      </w:r>
    </w:p>
    <w:tbl>
      <w:tblPr>
        <w:tblStyle w:val="TableGrid11"/>
        <w:tblW w:w="0" w:type="auto"/>
        <w:tblLook w:val="04A0" w:firstRow="1" w:lastRow="0" w:firstColumn="1" w:lastColumn="0" w:noHBand="0" w:noVBand="1"/>
      </w:tblPr>
      <w:tblGrid>
        <w:gridCol w:w="4508"/>
        <w:gridCol w:w="4508"/>
      </w:tblGrid>
      <w:tr w:rsidR="00296347" w:rsidRPr="0003613D" w14:paraId="0AAB0639" w14:textId="77777777">
        <w:tc>
          <w:tcPr>
            <w:tcW w:w="4508" w:type="dxa"/>
          </w:tcPr>
          <w:p w14:paraId="00810BC2" w14:textId="77777777" w:rsidR="00296347" w:rsidRPr="0003613D" w:rsidRDefault="00296347" w:rsidP="00296347">
            <w:pPr>
              <w:spacing w:line="276" w:lineRule="auto"/>
              <w:rPr>
                <w:rFonts w:ascii="Arial" w:eastAsia="Calibri" w:hAnsi="Arial" w:cs="Arial"/>
                <w:b/>
                <w:bCs/>
              </w:rPr>
            </w:pPr>
            <w:r w:rsidRPr="0003613D">
              <w:rPr>
                <w:rFonts w:ascii="Arial" w:eastAsia="Calibri" w:hAnsi="Arial" w:cs="Arial"/>
                <w:b/>
                <w:bCs/>
              </w:rPr>
              <w:t>Housing Register Priority Band</w:t>
            </w:r>
          </w:p>
        </w:tc>
        <w:tc>
          <w:tcPr>
            <w:tcW w:w="4508" w:type="dxa"/>
          </w:tcPr>
          <w:p w14:paraId="71ACBBBC" w14:textId="77777777" w:rsidR="00296347" w:rsidRPr="0003613D" w:rsidRDefault="00296347" w:rsidP="00296347">
            <w:pPr>
              <w:spacing w:line="276" w:lineRule="auto"/>
              <w:rPr>
                <w:rFonts w:ascii="Arial" w:eastAsia="Calibri" w:hAnsi="Arial" w:cs="Arial"/>
                <w:b/>
                <w:bCs/>
              </w:rPr>
            </w:pPr>
            <w:r w:rsidRPr="0003613D">
              <w:rPr>
                <w:rFonts w:ascii="Arial" w:eastAsia="Calibri" w:hAnsi="Arial" w:cs="Arial"/>
                <w:b/>
                <w:bCs/>
              </w:rPr>
              <w:t>Average Number of Weeks (1</w:t>
            </w:r>
            <w:r w:rsidRPr="0003613D">
              <w:rPr>
                <w:rFonts w:ascii="Arial" w:eastAsia="Calibri" w:hAnsi="Arial" w:cs="Arial"/>
                <w:b/>
                <w:bCs/>
                <w:vertAlign w:val="superscript"/>
              </w:rPr>
              <w:t>st</w:t>
            </w:r>
            <w:r w:rsidRPr="0003613D">
              <w:rPr>
                <w:rFonts w:ascii="Arial" w:eastAsia="Calibri" w:hAnsi="Arial" w:cs="Arial"/>
                <w:b/>
                <w:bCs/>
              </w:rPr>
              <w:t xml:space="preserve"> bid to let)</w:t>
            </w:r>
          </w:p>
        </w:tc>
      </w:tr>
      <w:tr w:rsidR="00296347" w:rsidRPr="0003613D" w14:paraId="7F79E890" w14:textId="77777777">
        <w:tc>
          <w:tcPr>
            <w:tcW w:w="4508" w:type="dxa"/>
          </w:tcPr>
          <w:p w14:paraId="5E1A7F83"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 xml:space="preserve">Band 1 </w:t>
            </w:r>
          </w:p>
        </w:tc>
        <w:tc>
          <w:tcPr>
            <w:tcW w:w="4508" w:type="dxa"/>
          </w:tcPr>
          <w:p w14:paraId="399AB761"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41 weeks</w:t>
            </w:r>
          </w:p>
        </w:tc>
      </w:tr>
      <w:tr w:rsidR="00296347" w:rsidRPr="0003613D" w14:paraId="514BCE1F" w14:textId="77777777">
        <w:tc>
          <w:tcPr>
            <w:tcW w:w="4508" w:type="dxa"/>
          </w:tcPr>
          <w:p w14:paraId="02DBE4D6"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 xml:space="preserve">Band 2 </w:t>
            </w:r>
          </w:p>
        </w:tc>
        <w:tc>
          <w:tcPr>
            <w:tcW w:w="4508" w:type="dxa"/>
          </w:tcPr>
          <w:p w14:paraId="48E6976B"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75 weeks</w:t>
            </w:r>
          </w:p>
        </w:tc>
      </w:tr>
      <w:tr w:rsidR="00296347" w:rsidRPr="0003613D" w14:paraId="0E99B8FF" w14:textId="77777777">
        <w:tc>
          <w:tcPr>
            <w:tcW w:w="4508" w:type="dxa"/>
          </w:tcPr>
          <w:p w14:paraId="642F5B78"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Band 3</w:t>
            </w:r>
          </w:p>
        </w:tc>
        <w:tc>
          <w:tcPr>
            <w:tcW w:w="4508" w:type="dxa"/>
          </w:tcPr>
          <w:p w14:paraId="07D4ED21"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 xml:space="preserve">156 weeks </w:t>
            </w:r>
          </w:p>
        </w:tc>
      </w:tr>
      <w:tr w:rsidR="00296347" w:rsidRPr="0003613D" w14:paraId="5B4D0D1F" w14:textId="77777777">
        <w:tc>
          <w:tcPr>
            <w:tcW w:w="4508" w:type="dxa"/>
          </w:tcPr>
          <w:p w14:paraId="3A5AD658"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Band 4</w:t>
            </w:r>
          </w:p>
        </w:tc>
        <w:tc>
          <w:tcPr>
            <w:tcW w:w="4508" w:type="dxa"/>
          </w:tcPr>
          <w:p w14:paraId="49DDC14A"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109 weeks</w:t>
            </w:r>
          </w:p>
        </w:tc>
      </w:tr>
      <w:tr w:rsidR="00296347" w:rsidRPr="0003613D" w14:paraId="327F8698" w14:textId="77777777">
        <w:tc>
          <w:tcPr>
            <w:tcW w:w="4508" w:type="dxa"/>
          </w:tcPr>
          <w:p w14:paraId="35FD44EA"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Band 5</w:t>
            </w:r>
          </w:p>
        </w:tc>
        <w:tc>
          <w:tcPr>
            <w:tcW w:w="4508" w:type="dxa"/>
          </w:tcPr>
          <w:p w14:paraId="50499900"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83 weeks</w:t>
            </w:r>
          </w:p>
        </w:tc>
      </w:tr>
    </w:tbl>
    <w:p w14:paraId="615B36C8" w14:textId="77777777" w:rsidR="00296347" w:rsidRPr="0003613D" w:rsidRDefault="00296347" w:rsidP="00296347">
      <w:pPr>
        <w:spacing w:line="276" w:lineRule="auto"/>
        <w:rPr>
          <w:rFonts w:ascii="Arial" w:eastAsia="Calibri" w:hAnsi="Arial" w:cs="Arial"/>
          <w:sz w:val="24"/>
          <w:szCs w:val="24"/>
        </w:rPr>
      </w:pPr>
    </w:p>
    <w:p w14:paraId="03516E07" w14:textId="77777777" w:rsidR="00296347" w:rsidRPr="0003613D" w:rsidRDefault="00296347" w:rsidP="00296347">
      <w:pPr>
        <w:spacing w:line="276" w:lineRule="auto"/>
        <w:rPr>
          <w:rFonts w:ascii="Arial" w:eastAsia="Calibri" w:hAnsi="Arial" w:cs="Arial"/>
          <w:sz w:val="24"/>
          <w:szCs w:val="24"/>
        </w:rPr>
      </w:pPr>
      <w:r w:rsidRPr="0003613D">
        <w:rPr>
          <w:rFonts w:ascii="Arial" w:eastAsia="Calibri" w:hAnsi="Arial" w:cs="Arial"/>
          <w:sz w:val="24"/>
          <w:szCs w:val="24"/>
        </w:rPr>
        <w:t>While a higher band indicates a higher priority on the waiting list, the average number of weeks from the 1</w:t>
      </w:r>
      <w:r w:rsidRPr="0003613D">
        <w:rPr>
          <w:rFonts w:ascii="Arial" w:eastAsia="Calibri" w:hAnsi="Arial" w:cs="Arial"/>
          <w:sz w:val="24"/>
          <w:szCs w:val="24"/>
          <w:vertAlign w:val="superscript"/>
        </w:rPr>
        <w:t>st</w:t>
      </w:r>
      <w:r w:rsidRPr="0003613D">
        <w:rPr>
          <w:rFonts w:ascii="Arial" w:eastAsia="Calibri" w:hAnsi="Arial" w:cs="Arial"/>
          <w:sz w:val="24"/>
          <w:szCs w:val="24"/>
        </w:rPr>
        <w:t xml:space="preserve"> bid to let, is significantly higher in band 3 than it is in bands 4 and 5. This is likely due to households in band 3 requiring specific property types that are currently in high demand. For example, if a household is awarded a higher band priority as they are overcrowding, the household will only be seeking to bid on properties with the appropriate number of bedrooms. As 3 and 4 bedroom properties are in higher demand, than the number of properties available, waiting times are increased. The increased waiting times for 3 or 4 bedroom properties in bands 1, 2, 3 and 5 is displayed in the table below. Statistics for band 4 have been omitted due to the low number of households in band 4. </w:t>
      </w:r>
    </w:p>
    <w:tbl>
      <w:tblPr>
        <w:tblStyle w:val="TableGrid11"/>
        <w:tblW w:w="0" w:type="auto"/>
        <w:tblLook w:val="04A0" w:firstRow="1" w:lastRow="0" w:firstColumn="1" w:lastColumn="0" w:noHBand="0" w:noVBand="1"/>
      </w:tblPr>
      <w:tblGrid>
        <w:gridCol w:w="4508"/>
        <w:gridCol w:w="4508"/>
      </w:tblGrid>
      <w:tr w:rsidR="00296347" w:rsidRPr="0003613D" w14:paraId="467E6664" w14:textId="77777777">
        <w:tc>
          <w:tcPr>
            <w:tcW w:w="4508" w:type="dxa"/>
          </w:tcPr>
          <w:p w14:paraId="65F6AE13" w14:textId="77777777" w:rsidR="00296347" w:rsidRPr="0003613D" w:rsidRDefault="00296347" w:rsidP="00296347">
            <w:pPr>
              <w:spacing w:line="276" w:lineRule="auto"/>
              <w:rPr>
                <w:rFonts w:ascii="Arial" w:eastAsia="Calibri" w:hAnsi="Arial" w:cs="Arial"/>
                <w:b/>
                <w:bCs/>
              </w:rPr>
            </w:pPr>
            <w:r w:rsidRPr="0003613D">
              <w:rPr>
                <w:rFonts w:ascii="Arial" w:eastAsia="Calibri" w:hAnsi="Arial" w:cs="Arial"/>
                <w:b/>
                <w:bCs/>
              </w:rPr>
              <w:t xml:space="preserve">Bedroom number </w:t>
            </w:r>
          </w:p>
        </w:tc>
        <w:tc>
          <w:tcPr>
            <w:tcW w:w="4508" w:type="dxa"/>
          </w:tcPr>
          <w:p w14:paraId="4380FD33"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b/>
                <w:bCs/>
              </w:rPr>
              <w:t>Average Number of Weeks (1</w:t>
            </w:r>
            <w:r w:rsidRPr="0003613D">
              <w:rPr>
                <w:rFonts w:ascii="Arial" w:eastAsia="Calibri" w:hAnsi="Arial" w:cs="Arial"/>
                <w:b/>
                <w:bCs/>
                <w:vertAlign w:val="superscript"/>
              </w:rPr>
              <w:t>st</w:t>
            </w:r>
            <w:r w:rsidRPr="0003613D">
              <w:rPr>
                <w:rFonts w:ascii="Arial" w:eastAsia="Calibri" w:hAnsi="Arial" w:cs="Arial"/>
                <w:b/>
                <w:bCs/>
              </w:rPr>
              <w:t xml:space="preserve"> bid to let) for households in band 1 </w:t>
            </w:r>
          </w:p>
        </w:tc>
      </w:tr>
      <w:tr w:rsidR="00296347" w:rsidRPr="0003613D" w14:paraId="67009DCC" w14:textId="77777777">
        <w:tc>
          <w:tcPr>
            <w:tcW w:w="4508" w:type="dxa"/>
          </w:tcPr>
          <w:p w14:paraId="7A2AF480"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1</w:t>
            </w:r>
          </w:p>
        </w:tc>
        <w:tc>
          <w:tcPr>
            <w:tcW w:w="4508" w:type="dxa"/>
          </w:tcPr>
          <w:p w14:paraId="5CF2BB19"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29 weeks</w:t>
            </w:r>
          </w:p>
        </w:tc>
      </w:tr>
      <w:tr w:rsidR="00296347" w:rsidRPr="0003613D" w14:paraId="1DEFBE6B" w14:textId="77777777">
        <w:tc>
          <w:tcPr>
            <w:tcW w:w="4508" w:type="dxa"/>
          </w:tcPr>
          <w:p w14:paraId="1DB294A5"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2</w:t>
            </w:r>
          </w:p>
        </w:tc>
        <w:tc>
          <w:tcPr>
            <w:tcW w:w="4508" w:type="dxa"/>
          </w:tcPr>
          <w:p w14:paraId="66FD493E"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38 weeks</w:t>
            </w:r>
          </w:p>
        </w:tc>
      </w:tr>
      <w:tr w:rsidR="00296347" w:rsidRPr="0003613D" w14:paraId="3A973B65" w14:textId="77777777">
        <w:tc>
          <w:tcPr>
            <w:tcW w:w="4508" w:type="dxa"/>
          </w:tcPr>
          <w:p w14:paraId="1168E21F"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4</w:t>
            </w:r>
          </w:p>
        </w:tc>
        <w:tc>
          <w:tcPr>
            <w:tcW w:w="4508" w:type="dxa"/>
          </w:tcPr>
          <w:p w14:paraId="7FB76B2B"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56 weeks</w:t>
            </w:r>
          </w:p>
        </w:tc>
      </w:tr>
      <w:tr w:rsidR="00296347" w:rsidRPr="0003613D" w14:paraId="7334779E" w14:textId="77777777">
        <w:tc>
          <w:tcPr>
            <w:tcW w:w="4508" w:type="dxa"/>
          </w:tcPr>
          <w:p w14:paraId="56CE6563"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4</w:t>
            </w:r>
          </w:p>
        </w:tc>
        <w:tc>
          <w:tcPr>
            <w:tcW w:w="4508" w:type="dxa"/>
          </w:tcPr>
          <w:p w14:paraId="47145CAF"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174 weeks</w:t>
            </w:r>
          </w:p>
        </w:tc>
      </w:tr>
    </w:tbl>
    <w:p w14:paraId="3EDDE4A1" w14:textId="77777777" w:rsidR="00296347" w:rsidRPr="0003613D" w:rsidRDefault="00296347" w:rsidP="00296347">
      <w:pPr>
        <w:spacing w:line="276" w:lineRule="auto"/>
        <w:rPr>
          <w:rFonts w:ascii="Arial" w:eastAsia="Calibri" w:hAnsi="Arial" w:cs="Arial"/>
          <w:sz w:val="24"/>
          <w:szCs w:val="24"/>
        </w:rPr>
      </w:pPr>
    </w:p>
    <w:tbl>
      <w:tblPr>
        <w:tblStyle w:val="TableGrid11"/>
        <w:tblW w:w="0" w:type="auto"/>
        <w:tblLook w:val="04A0" w:firstRow="1" w:lastRow="0" w:firstColumn="1" w:lastColumn="0" w:noHBand="0" w:noVBand="1"/>
      </w:tblPr>
      <w:tblGrid>
        <w:gridCol w:w="4508"/>
        <w:gridCol w:w="4508"/>
      </w:tblGrid>
      <w:tr w:rsidR="00296347" w:rsidRPr="0003613D" w14:paraId="0AE94FA5" w14:textId="77777777">
        <w:tc>
          <w:tcPr>
            <w:tcW w:w="4508" w:type="dxa"/>
          </w:tcPr>
          <w:p w14:paraId="6198D49F"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b/>
                <w:bCs/>
              </w:rPr>
              <w:t>Bedroom number</w:t>
            </w:r>
          </w:p>
        </w:tc>
        <w:tc>
          <w:tcPr>
            <w:tcW w:w="4508" w:type="dxa"/>
          </w:tcPr>
          <w:p w14:paraId="3F21B353"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b/>
                <w:bCs/>
              </w:rPr>
              <w:t>Average Number of Weeks (1</w:t>
            </w:r>
            <w:r w:rsidRPr="0003613D">
              <w:rPr>
                <w:rFonts w:ascii="Arial" w:eastAsia="Calibri" w:hAnsi="Arial" w:cs="Arial"/>
                <w:b/>
                <w:bCs/>
                <w:vertAlign w:val="superscript"/>
              </w:rPr>
              <w:t>st</w:t>
            </w:r>
            <w:r w:rsidRPr="0003613D">
              <w:rPr>
                <w:rFonts w:ascii="Arial" w:eastAsia="Calibri" w:hAnsi="Arial" w:cs="Arial"/>
                <w:b/>
                <w:bCs/>
              </w:rPr>
              <w:t xml:space="preserve"> bid to let) for households in band 2</w:t>
            </w:r>
          </w:p>
        </w:tc>
      </w:tr>
      <w:tr w:rsidR="00296347" w:rsidRPr="0003613D" w14:paraId="41FE9CE9" w14:textId="77777777">
        <w:tc>
          <w:tcPr>
            <w:tcW w:w="4508" w:type="dxa"/>
          </w:tcPr>
          <w:p w14:paraId="33A13446"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1</w:t>
            </w:r>
          </w:p>
        </w:tc>
        <w:tc>
          <w:tcPr>
            <w:tcW w:w="4508" w:type="dxa"/>
          </w:tcPr>
          <w:p w14:paraId="4A5F3845"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39 weeks</w:t>
            </w:r>
          </w:p>
        </w:tc>
      </w:tr>
      <w:tr w:rsidR="00296347" w:rsidRPr="0003613D" w14:paraId="22EACE46" w14:textId="77777777">
        <w:tc>
          <w:tcPr>
            <w:tcW w:w="4508" w:type="dxa"/>
          </w:tcPr>
          <w:p w14:paraId="5FD67B6C"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2</w:t>
            </w:r>
          </w:p>
        </w:tc>
        <w:tc>
          <w:tcPr>
            <w:tcW w:w="4508" w:type="dxa"/>
          </w:tcPr>
          <w:p w14:paraId="4249C3D6"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68 weeks</w:t>
            </w:r>
          </w:p>
        </w:tc>
      </w:tr>
      <w:tr w:rsidR="00296347" w:rsidRPr="0003613D" w14:paraId="4C175024" w14:textId="77777777">
        <w:tc>
          <w:tcPr>
            <w:tcW w:w="4508" w:type="dxa"/>
          </w:tcPr>
          <w:p w14:paraId="24F80BA1"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3</w:t>
            </w:r>
          </w:p>
        </w:tc>
        <w:tc>
          <w:tcPr>
            <w:tcW w:w="4508" w:type="dxa"/>
          </w:tcPr>
          <w:p w14:paraId="5AE2DBCE"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140 weeks</w:t>
            </w:r>
          </w:p>
        </w:tc>
      </w:tr>
      <w:tr w:rsidR="00296347" w:rsidRPr="0003613D" w14:paraId="26E730E5" w14:textId="77777777">
        <w:tc>
          <w:tcPr>
            <w:tcW w:w="4508" w:type="dxa"/>
          </w:tcPr>
          <w:p w14:paraId="356A5AE8"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4</w:t>
            </w:r>
          </w:p>
        </w:tc>
        <w:tc>
          <w:tcPr>
            <w:tcW w:w="4508" w:type="dxa"/>
          </w:tcPr>
          <w:p w14:paraId="4C2E4A5A"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149 weeks</w:t>
            </w:r>
          </w:p>
        </w:tc>
      </w:tr>
    </w:tbl>
    <w:p w14:paraId="0E4B7EA3" w14:textId="77777777" w:rsidR="00296347" w:rsidRPr="0003613D" w:rsidRDefault="00296347" w:rsidP="00296347">
      <w:pPr>
        <w:spacing w:line="276" w:lineRule="auto"/>
        <w:rPr>
          <w:rFonts w:ascii="Arial" w:eastAsia="Calibri" w:hAnsi="Arial" w:cs="Arial"/>
          <w:sz w:val="24"/>
          <w:szCs w:val="24"/>
        </w:rPr>
      </w:pPr>
    </w:p>
    <w:tbl>
      <w:tblPr>
        <w:tblStyle w:val="TableGrid11"/>
        <w:tblW w:w="0" w:type="auto"/>
        <w:tblLook w:val="04A0" w:firstRow="1" w:lastRow="0" w:firstColumn="1" w:lastColumn="0" w:noHBand="0" w:noVBand="1"/>
      </w:tblPr>
      <w:tblGrid>
        <w:gridCol w:w="4508"/>
        <w:gridCol w:w="4508"/>
      </w:tblGrid>
      <w:tr w:rsidR="00296347" w:rsidRPr="0003613D" w14:paraId="7462C5E8" w14:textId="77777777">
        <w:tc>
          <w:tcPr>
            <w:tcW w:w="4508" w:type="dxa"/>
          </w:tcPr>
          <w:p w14:paraId="0145E499"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b/>
                <w:bCs/>
              </w:rPr>
              <w:lastRenderedPageBreak/>
              <w:t>Bedroom number</w:t>
            </w:r>
          </w:p>
        </w:tc>
        <w:tc>
          <w:tcPr>
            <w:tcW w:w="4508" w:type="dxa"/>
          </w:tcPr>
          <w:p w14:paraId="715F6997"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b/>
                <w:bCs/>
              </w:rPr>
              <w:t>Average Number of Weeks (1</w:t>
            </w:r>
            <w:r w:rsidRPr="0003613D">
              <w:rPr>
                <w:rFonts w:ascii="Arial" w:eastAsia="Calibri" w:hAnsi="Arial" w:cs="Arial"/>
                <w:b/>
                <w:bCs/>
                <w:vertAlign w:val="superscript"/>
              </w:rPr>
              <w:t>st</w:t>
            </w:r>
            <w:r w:rsidRPr="0003613D">
              <w:rPr>
                <w:rFonts w:ascii="Arial" w:eastAsia="Calibri" w:hAnsi="Arial" w:cs="Arial"/>
                <w:b/>
                <w:bCs/>
              </w:rPr>
              <w:t xml:space="preserve"> bid to let) for households in band 3</w:t>
            </w:r>
          </w:p>
        </w:tc>
      </w:tr>
      <w:tr w:rsidR="00296347" w:rsidRPr="0003613D" w14:paraId="77402E68" w14:textId="77777777">
        <w:tc>
          <w:tcPr>
            <w:tcW w:w="4508" w:type="dxa"/>
          </w:tcPr>
          <w:p w14:paraId="0C4F4AFF"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1</w:t>
            </w:r>
          </w:p>
        </w:tc>
        <w:tc>
          <w:tcPr>
            <w:tcW w:w="4508" w:type="dxa"/>
          </w:tcPr>
          <w:p w14:paraId="58FCD9E6"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51 weeks</w:t>
            </w:r>
          </w:p>
        </w:tc>
      </w:tr>
      <w:tr w:rsidR="00296347" w:rsidRPr="0003613D" w14:paraId="0A944938" w14:textId="77777777">
        <w:tc>
          <w:tcPr>
            <w:tcW w:w="4508" w:type="dxa"/>
          </w:tcPr>
          <w:p w14:paraId="74415486"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2</w:t>
            </w:r>
          </w:p>
        </w:tc>
        <w:tc>
          <w:tcPr>
            <w:tcW w:w="4508" w:type="dxa"/>
          </w:tcPr>
          <w:p w14:paraId="0954858E"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179 weeks</w:t>
            </w:r>
          </w:p>
        </w:tc>
      </w:tr>
      <w:tr w:rsidR="00296347" w:rsidRPr="0003613D" w14:paraId="5A5B5048" w14:textId="77777777">
        <w:tc>
          <w:tcPr>
            <w:tcW w:w="4508" w:type="dxa"/>
          </w:tcPr>
          <w:p w14:paraId="75C99865"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3</w:t>
            </w:r>
          </w:p>
        </w:tc>
        <w:tc>
          <w:tcPr>
            <w:tcW w:w="4508" w:type="dxa"/>
          </w:tcPr>
          <w:p w14:paraId="51E85D97"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216 weeks</w:t>
            </w:r>
          </w:p>
        </w:tc>
      </w:tr>
      <w:tr w:rsidR="00296347" w:rsidRPr="0003613D" w14:paraId="34A34038" w14:textId="77777777">
        <w:tc>
          <w:tcPr>
            <w:tcW w:w="4508" w:type="dxa"/>
          </w:tcPr>
          <w:p w14:paraId="7C23BF9B"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4</w:t>
            </w:r>
          </w:p>
        </w:tc>
        <w:tc>
          <w:tcPr>
            <w:tcW w:w="4508" w:type="dxa"/>
          </w:tcPr>
          <w:p w14:paraId="027A9B44"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468 weeks</w:t>
            </w:r>
          </w:p>
        </w:tc>
      </w:tr>
    </w:tbl>
    <w:p w14:paraId="75E366E1" w14:textId="77777777" w:rsidR="00296347" w:rsidRPr="0003613D" w:rsidRDefault="00296347" w:rsidP="00296347">
      <w:pPr>
        <w:spacing w:line="276" w:lineRule="auto"/>
        <w:rPr>
          <w:rFonts w:ascii="Arial" w:eastAsia="Calibri" w:hAnsi="Arial" w:cs="Arial"/>
          <w:sz w:val="24"/>
          <w:szCs w:val="24"/>
        </w:rPr>
      </w:pPr>
    </w:p>
    <w:tbl>
      <w:tblPr>
        <w:tblStyle w:val="TableGrid11"/>
        <w:tblW w:w="0" w:type="auto"/>
        <w:tblLook w:val="04A0" w:firstRow="1" w:lastRow="0" w:firstColumn="1" w:lastColumn="0" w:noHBand="0" w:noVBand="1"/>
      </w:tblPr>
      <w:tblGrid>
        <w:gridCol w:w="4508"/>
        <w:gridCol w:w="4508"/>
      </w:tblGrid>
      <w:tr w:rsidR="00296347" w:rsidRPr="0003613D" w14:paraId="4FB1B7A2" w14:textId="77777777">
        <w:tc>
          <w:tcPr>
            <w:tcW w:w="4508" w:type="dxa"/>
          </w:tcPr>
          <w:p w14:paraId="2FEEC1F9"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b/>
                <w:bCs/>
              </w:rPr>
              <w:t>Bedroom number</w:t>
            </w:r>
          </w:p>
        </w:tc>
        <w:tc>
          <w:tcPr>
            <w:tcW w:w="4508" w:type="dxa"/>
          </w:tcPr>
          <w:p w14:paraId="75942739"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b/>
                <w:bCs/>
              </w:rPr>
              <w:t>Average Number of Weeks (1</w:t>
            </w:r>
            <w:r w:rsidRPr="0003613D">
              <w:rPr>
                <w:rFonts w:ascii="Arial" w:eastAsia="Calibri" w:hAnsi="Arial" w:cs="Arial"/>
                <w:b/>
                <w:bCs/>
                <w:vertAlign w:val="superscript"/>
              </w:rPr>
              <w:t>st</w:t>
            </w:r>
            <w:r w:rsidRPr="0003613D">
              <w:rPr>
                <w:rFonts w:ascii="Arial" w:eastAsia="Calibri" w:hAnsi="Arial" w:cs="Arial"/>
                <w:b/>
                <w:bCs/>
              </w:rPr>
              <w:t xml:space="preserve"> bid to let) for households in band 5</w:t>
            </w:r>
          </w:p>
        </w:tc>
      </w:tr>
      <w:tr w:rsidR="00296347" w:rsidRPr="0003613D" w14:paraId="3E36D9BF" w14:textId="77777777">
        <w:tc>
          <w:tcPr>
            <w:tcW w:w="4508" w:type="dxa"/>
          </w:tcPr>
          <w:p w14:paraId="6FDE9A7D"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1</w:t>
            </w:r>
          </w:p>
        </w:tc>
        <w:tc>
          <w:tcPr>
            <w:tcW w:w="4508" w:type="dxa"/>
          </w:tcPr>
          <w:p w14:paraId="49D9A90B"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56 weeks</w:t>
            </w:r>
          </w:p>
        </w:tc>
      </w:tr>
      <w:tr w:rsidR="00296347" w:rsidRPr="0003613D" w14:paraId="2C4A85C6" w14:textId="77777777">
        <w:tc>
          <w:tcPr>
            <w:tcW w:w="4508" w:type="dxa"/>
          </w:tcPr>
          <w:p w14:paraId="594C4A8E"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2</w:t>
            </w:r>
          </w:p>
        </w:tc>
        <w:tc>
          <w:tcPr>
            <w:tcW w:w="4508" w:type="dxa"/>
          </w:tcPr>
          <w:p w14:paraId="5ED4FF14"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96 weeks</w:t>
            </w:r>
          </w:p>
        </w:tc>
      </w:tr>
      <w:tr w:rsidR="00296347" w:rsidRPr="0003613D" w14:paraId="1C4C2A49" w14:textId="77777777">
        <w:tc>
          <w:tcPr>
            <w:tcW w:w="4508" w:type="dxa"/>
          </w:tcPr>
          <w:p w14:paraId="41FAB8CC"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3</w:t>
            </w:r>
          </w:p>
        </w:tc>
        <w:tc>
          <w:tcPr>
            <w:tcW w:w="4508" w:type="dxa"/>
          </w:tcPr>
          <w:p w14:paraId="4A9048F8"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293 weeks</w:t>
            </w:r>
          </w:p>
        </w:tc>
      </w:tr>
      <w:tr w:rsidR="00296347" w:rsidRPr="0003613D" w14:paraId="076AEAD0" w14:textId="77777777">
        <w:tc>
          <w:tcPr>
            <w:tcW w:w="4508" w:type="dxa"/>
          </w:tcPr>
          <w:p w14:paraId="30FF0458"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4</w:t>
            </w:r>
          </w:p>
        </w:tc>
        <w:tc>
          <w:tcPr>
            <w:tcW w:w="4508" w:type="dxa"/>
          </w:tcPr>
          <w:p w14:paraId="425664EF"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270 weeks</w:t>
            </w:r>
          </w:p>
        </w:tc>
      </w:tr>
    </w:tbl>
    <w:p w14:paraId="2BBED3B4" w14:textId="77777777" w:rsidR="00296347" w:rsidRPr="0003613D" w:rsidRDefault="00296347" w:rsidP="00296347">
      <w:pPr>
        <w:spacing w:line="276" w:lineRule="auto"/>
        <w:rPr>
          <w:rFonts w:ascii="Arial" w:eastAsia="Calibri" w:hAnsi="Arial" w:cs="Arial"/>
          <w:sz w:val="24"/>
          <w:szCs w:val="24"/>
        </w:rPr>
      </w:pPr>
    </w:p>
    <w:p w14:paraId="52CC6553" w14:textId="77777777" w:rsidR="00296347" w:rsidRPr="0003613D" w:rsidRDefault="00296347" w:rsidP="00296347">
      <w:pPr>
        <w:spacing w:line="276" w:lineRule="auto"/>
        <w:rPr>
          <w:rFonts w:ascii="Arial" w:eastAsia="Calibri" w:hAnsi="Arial" w:cs="Arial"/>
          <w:sz w:val="24"/>
          <w:szCs w:val="24"/>
        </w:rPr>
      </w:pPr>
      <w:r w:rsidRPr="0003613D">
        <w:rPr>
          <w:rFonts w:ascii="Arial" w:eastAsia="Calibri" w:hAnsi="Arial" w:cs="Arial"/>
          <w:sz w:val="24"/>
          <w:szCs w:val="24"/>
        </w:rPr>
        <w:t xml:space="preserve">As can be viewed in the tables above, the average number of weeks before a property is let, is higher for 3 and 4 bedroom properties. The waiting time for households in band 3 for a 4 bedroom property is significantly high (468 weeks). Given that households in band 5 are more likely to be single person households, and thus require a 1 bedroom property, this is likely to have led to the lower waiting times observed in band 5 than band 3, as referenced above. </w:t>
      </w:r>
    </w:p>
    <w:p w14:paraId="0657FF31" w14:textId="77777777" w:rsidR="00296347" w:rsidRPr="0003613D" w:rsidRDefault="00296347" w:rsidP="00296347">
      <w:pPr>
        <w:spacing w:line="276" w:lineRule="auto"/>
        <w:rPr>
          <w:rFonts w:ascii="Arial" w:eastAsia="Calibri" w:hAnsi="Arial" w:cs="Arial"/>
          <w:sz w:val="24"/>
          <w:szCs w:val="24"/>
        </w:rPr>
      </w:pPr>
      <w:r w:rsidRPr="0003613D">
        <w:rPr>
          <w:rFonts w:ascii="Arial" w:eastAsia="Calibri" w:hAnsi="Arial" w:cs="Arial"/>
          <w:sz w:val="24"/>
          <w:szCs w:val="24"/>
        </w:rPr>
        <w:t xml:space="preserve">Waiting times for a house are also considerably higher than that for flats, bungalows and maisonettes. Average waiting times by property type, for all households on the register, are presented in the table below. </w:t>
      </w:r>
    </w:p>
    <w:tbl>
      <w:tblPr>
        <w:tblStyle w:val="TableGrid11"/>
        <w:tblW w:w="0" w:type="auto"/>
        <w:tblLook w:val="04A0" w:firstRow="1" w:lastRow="0" w:firstColumn="1" w:lastColumn="0" w:noHBand="0" w:noVBand="1"/>
      </w:tblPr>
      <w:tblGrid>
        <w:gridCol w:w="4508"/>
        <w:gridCol w:w="4508"/>
      </w:tblGrid>
      <w:tr w:rsidR="00296347" w:rsidRPr="0003613D" w14:paraId="32071DFE" w14:textId="77777777">
        <w:tc>
          <w:tcPr>
            <w:tcW w:w="4508" w:type="dxa"/>
          </w:tcPr>
          <w:p w14:paraId="78E5ACB3" w14:textId="77777777" w:rsidR="00296347" w:rsidRPr="0003613D" w:rsidRDefault="00296347" w:rsidP="00296347">
            <w:pPr>
              <w:spacing w:line="276" w:lineRule="auto"/>
              <w:rPr>
                <w:rFonts w:ascii="Arial" w:eastAsia="Calibri" w:hAnsi="Arial" w:cs="Arial"/>
                <w:b/>
                <w:bCs/>
              </w:rPr>
            </w:pPr>
            <w:r w:rsidRPr="0003613D">
              <w:rPr>
                <w:rFonts w:ascii="Arial" w:eastAsia="Calibri" w:hAnsi="Arial" w:cs="Arial"/>
                <w:b/>
                <w:bCs/>
              </w:rPr>
              <w:t xml:space="preserve">Property Type </w:t>
            </w:r>
          </w:p>
        </w:tc>
        <w:tc>
          <w:tcPr>
            <w:tcW w:w="4508" w:type="dxa"/>
          </w:tcPr>
          <w:p w14:paraId="1E1F4E2F"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b/>
                <w:bCs/>
              </w:rPr>
              <w:t>Average Number of Weeks (1</w:t>
            </w:r>
            <w:r w:rsidRPr="0003613D">
              <w:rPr>
                <w:rFonts w:ascii="Arial" w:eastAsia="Calibri" w:hAnsi="Arial" w:cs="Arial"/>
                <w:b/>
                <w:bCs/>
                <w:vertAlign w:val="superscript"/>
              </w:rPr>
              <w:t>st</w:t>
            </w:r>
            <w:r w:rsidRPr="0003613D">
              <w:rPr>
                <w:rFonts w:ascii="Arial" w:eastAsia="Calibri" w:hAnsi="Arial" w:cs="Arial"/>
                <w:b/>
                <w:bCs/>
              </w:rPr>
              <w:t xml:space="preserve"> bid to let) for households in all bands</w:t>
            </w:r>
          </w:p>
        </w:tc>
      </w:tr>
      <w:tr w:rsidR="00296347" w:rsidRPr="0003613D" w14:paraId="042543E8" w14:textId="77777777">
        <w:tc>
          <w:tcPr>
            <w:tcW w:w="4508" w:type="dxa"/>
          </w:tcPr>
          <w:p w14:paraId="56166699"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House</w:t>
            </w:r>
          </w:p>
        </w:tc>
        <w:tc>
          <w:tcPr>
            <w:tcW w:w="4508" w:type="dxa"/>
          </w:tcPr>
          <w:p w14:paraId="346AE6CE"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179 weeks</w:t>
            </w:r>
          </w:p>
        </w:tc>
      </w:tr>
      <w:tr w:rsidR="00296347" w:rsidRPr="0003613D" w14:paraId="6CAE2D79" w14:textId="77777777">
        <w:tc>
          <w:tcPr>
            <w:tcW w:w="4508" w:type="dxa"/>
          </w:tcPr>
          <w:p w14:paraId="24AAD14E"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Flat</w:t>
            </w:r>
          </w:p>
        </w:tc>
        <w:tc>
          <w:tcPr>
            <w:tcW w:w="4508" w:type="dxa"/>
          </w:tcPr>
          <w:p w14:paraId="482C75C0"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59 weeks</w:t>
            </w:r>
          </w:p>
        </w:tc>
      </w:tr>
      <w:tr w:rsidR="00296347" w:rsidRPr="0003613D" w14:paraId="26CA793E" w14:textId="77777777">
        <w:tc>
          <w:tcPr>
            <w:tcW w:w="4508" w:type="dxa"/>
          </w:tcPr>
          <w:p w14:paraId="71137C48"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Bungalow</w:t>
            </w:r>
          </w:p>
        </w:tc>
        <w:tc>
          <w:tcPr>
            <w:tcW w:w="4508" w:type="dxa"/>
          </w:tcPr>
          <w:p w14:paraId="1393C3C8"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52 weeks</w:t>
            </w:r>
          </w:p>
        </w:tc>
      </w:tr>
      <w:tr w:rsidR="00296347" w:rsidRPr="0003613D" w14:paraId="48410080" w14:textId="77777777">
        <w:tc>
          <w:tcPr>
            <w:tcW w:w="4508" w:type="dxa"/>
          </w:tcPr>
          <w:p w14:paraId="409A1218"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 xml:space="preserve">Maisonette </w:t>
            </w:r>
          </w:p>
        </w:tc>
        <w:tc>
          <w:tcPr>
            <w:tcW w:w="4508" w:type="dxa"/>
          </w:tcPr>
          <w:p w14:paraId="71B50300" w14:textId="77777777" w:rsidR="00296347" w:rsidRPr="0003613D" w:rsidRDefault="00296347" w:rsidP="00296347">
            <w:pPr>
              <w:spacing w:line="276" w:lineRule="auto"/>
              <w:rPr>
                <w:rFonts w:ascii="Arial" w:eastAsia="Calibri" w:hAnsi="Arial" w:cs="Arial"/>
              </w:rPr>
            </w:pPr>
            <w:r w:rsidRPr="0003613D">
              <w:rPr>
                <w:rFonts w:ascii="Arial" w:eastAsia="Calibri" w:hAnsi="Arial" w:cs="Arial"/>
              </w:rPr>
              <w:t>35 weeks</w:t>
            </w:r>
          </w:p>
        </w:tc>
      </w:tr>
    </w:tbl>
    <w:p w14:paraId="00BCFEC1" w14:textId="77777777" w:rsidR="00296347" w:rsidRPr="0003613D" w:rsidRDefault="00296347" w:rsidP="00296347">
      <w:pPr>
        <w:spacing w:line="276" w:lineRule="auto"/>
        <w:rPr>
          <w:rFonts w:ascii="Arial" w:eastAsia="Calibri" w:hAnsi="Arial" w:cs="Arial"/>
          <w:sz w:val="24"/>
          <w:szCs w:val="24"/>
        </w:rPr>
      </w:pPr>
    </w:p>
    <w:p w14:paraId="6D85D3D4" w14:textId="77777777" w:rsidR="00296347" w:rsidRPr="0003613D" w:rsidRDefault="00296347" w:rsidP="00296347">
      <w:pPr>
        <w:spacing w:line="276" w:lineRule="auto"/>
        <w:rPr>
          <w:rFonts w:ascii="Arial" w:eastAsia="Calibri" w:hAnsi="Arial" w:cs="Arial"/>
          <w:sz w:val="24"/>
          <w:szCs w:val="24"/>
        </w:rPr>
      </w:pPr>
      <w:r w:rsidRPr="0003613D">
        <w:rPr>
          <w:rFonts w:ascii="Arial" w:eastAsia="Calibri" w:hAnsi="Arial" w:cs="Arial"/>
          <w:sz w:val="24"/>
          <w:szCs w:val="24"/>
        </w:rPr>
        <w:t>The table clearly presents a higher demand for houses than flats. Despite the housing stock consisting of 14,720 housing units and only 10,837 flats, waiting times for a house are around 3x than that for a flat, highlighting the increased levels of demand.</w:t>
      </w:r>
    </w:p>
    <w:p w14:paraId="06B9FA56" w14:textId="54015D96" w:rsidR="009E6C1D" w:rsidRPr="0003613D" w:rsidRDefault="009E6C1D" w:rsidP="00296347">
      <w:pPr>
        <w:spacing w:line="276" w:lineRule="auto"/>
        <w:rPr>
          <w:rFonts w:ascii="Arial" w:eastAsia="Calibri" w:hAnsi="Arial" w:cs="Arial"/>
          <w:b/>
          <w:bCs/>
          <w:color w:val="0070C0"/>
          <w:sz w:val="32"/>
          <w:szCs w:val="32"/>
          <w:u w:val="single"/>
        </w:rPr>
      </w:pPr>
      <w:r w:rsidRPr="0003613D">
        <w:rPr>
          <w:rFonts w:ascii="Arial" w:eastAsia="Calibri" w:hAnsi="Arial" w:cs="Arial"/>
          <w:b/>
          <w:bCs/>
          <w:color w:val="0070C0"/>
          <w:sz w:val="32"/>
          <w:szCs w:val="32"/>
          <w:u w:val="single"/>
        </w:rPr>
        <w:t>Lettings</w:t>
      </w:r>
      <w:r w:rsidR="00296347" w:rsidRPr="0003613D">
        <w:rPr>
          <w:rFonts w:ascii="Arial" w:eastAsia="Calibri" w:hAnsi="Arial" w:cs="Arial"/>
          <w:b/>
          <w:bCs/>
          <w:color w:val="0070C0"/>
          <w:sz w:val="32"/>
          <w:szCs w:val="32"/>
          <w:u w:val="single"/>
        </w:rPr>
        <w:t xml:space="preserve"> </w:t>
      </w:r>
      <w:r w:rsidRPr="0003613D">
        <w:rPr>
          <w:rFonts w:ascii="Arial" w:eastAsia="Calibri" w:hAnsi="Arial" w:cs="Arial"/>
          <w:b/>
          <w:bCs/>
          <w:color w:val="0070C0"/>
          <w:sz w:val="32"/>
          <w:szCs w:val="32"/>
          <w:u w:val="single"/>
        </w:rPr>
        <w:t>Overview (2022/23 – 2024/25)</w:t>
      </w:r>
    </w:p>
    <w:p w14:paraId="26E204CE" w14:textId="2BEC3778" w:rsidR="00222651" w:rsidRPr="0003613D" w:rsidRDefault="00222651" w:rsidP="00296347">
      <w:pPr>
        <w:spacing w:line="276" w:lineRule="auto"/>
        <w:rPr>
          <w:rFonts w:ascii="Arial" w:eastAsia="Calibri" w:hAnsi="Arial" w:cs="Arial"/>
          <w:b/>
          <w:bCs/>
          <w:sz w:val="24"/>
          <w:szCs w:val="24"/>
        </w:rPr>
      </w:pPr>
      <w:r w:rsidRPr="0003613D">
        <w:rPr>
          <w:rFonts w:ascii="Arial" w:eastAsia="Calibri" w:hAnsi="Arial" w:cs="Arial"/>
          <w:b/>
          <w:bCs/>
          <w:sz w:val="24"/>
          <w:szCs w:val="24"/>
        </w:rPr>
        <w:t>Sandwell Council Properties</w:t>
      </w:r>
    </w:p>
    <w:tbl>
      <w:tblPr>
        <w:tblStyle w:val="TableGrid2"/>
        <w:tblW w:w="0" w:type="auto"/>
        <w:tblLook w:val="04A0" w:firstRow="1" w:lastRow="0" w:firstColumn="1" w:lastColumn="0" w:noHBand="0" w:noVBand="1"/>
      </w:tblPr>
      <w:tblGrid>
        <w:gridCol w:w="2419"/>
        <w:gridCol w:w="1579"/>
        <w:gridCol w:w="1579"/>
        <w:gridCol w:w="1579"/>
        <w:gridCol w:w="1579"/>
      </w:tblGrid>
      <w:tr w:rsidR="00296347" w:rsidRPr="0003613D" w14:paraId="7AAD0796" w14:textId="77777777">
        <w:trPr>
          <w:trHeight w:val="393"/>
        </w:trPr>
        <w:tc>
          <w:tcPr>
            <w:tcW w:w="2419" w:type="dxa"/>
            <w:noWrap/>
            <w:hideMark/>
          </w:tcPr>
          <w:p w14:paraId="55EF4EF5" w14:textId="77777777" w:rsidR="00296347" w:rsidRPr="0003613D" w:rsidRDefault="00296347" w:rsidP="00296347">
            <w:pPr>
              <w:rPr>
                <w:rFonts w:ascii="Arial" w:eastAsia="Aptos" w:hAnsi="Arial" w:cs="Arial"/>
                <w:b/>
                <w:bCs/>
              </w:rPr>
            </w:pPr>
            <w:r w:rsidRPr="0003613D">
              <w:rPr>
                <w:rFonts w:ascii="Arial" w:eastAsia="Aptos" w:hAnsi="Arial" w:cs="Arial"/>
                <w:b/>
                <w:bCs/>
              </w:rPr>
              <w:t>Property Type</w:t>
            </w:r>
          </w:p>
        </w:tc>
        <w:tc>
          <w:tcPr>
            <w:tcW w:w="1579" w:type="dxa"/>
            <w:noWrap/>
            <w:hideMark/>
          </w:tcPr>
          <w:p w14:paraId="58B4FB72" w14:textId="77777777" w:rsidR="00296347" w:rsidRPr="0003613D" w:rsidRDefault="00296347" w:rsidP="00296347">
            <w:pPr>
              <w:rPr>
                <w:rFonts w:ascii="Arial" w:eastAsia="Aptos" w:hAnsi="Arial" w:cs="Arial"/>
                <w:b/>
                <w:bCs/>
              </w:rPr>
            </w:pPr>
            <w:r w:rsidRPr="0003613D">
              <w:rPr>
                <w:rFonts w:ascii="Arial" w:eastAsia="Aptos" w:hAnsi="Arial" w:cs="Arial"/>
                <w:b/>
                <w:bCs/>
              </w:rPr>
              <w:t>2022-2023</w:t>
            </w:r>
          </w:p>
        </w:tc>
        <w:tc>
          <w:tcPr>
            <w:tcW w:w="1579" w:type="dxa"/>
            <w:noWrap/>
            <w:hideMark/>
          </w:tcPr>
          <w:p w14:paraId="321F3A94" w14:textId="77777777" w:rsidR="00296347" w:rsidRPr="0003613D" w:rsidRDefault="00296347" w:rsidP="00296347">
            <w:pPr>
              <w:rPr>
                <w:rFonts w:ascii="Arial" w:eastAsia="Aptos" w:hAnsi="Arial" w:cs="Arial"/>
                <w:b/>
                <w:bCs/>
              </w:rPr>
            </w:pPr>
            <w:r w:rsidRPr="0003613D">
              <w:rPr>
                <w:rFonts w:ascii="Arial" w:eastAsia="Aptos" w:hAnsi="Arial" w:cs="Arial"/>
                <w:b/>
                <w:bCs/>
              </w:rPr>
              <w:t>2023-2024</w:t>
            </w:r>
          </w:p>
        </w:tc>
        <w:tc>
          <w:tcPr>
            <w:tcW w:w="1579" w:type="dxa"/>
            <w:noWrap/>
            <w:hideMark/>
          </w:tcPr>
          <w:p w14:paraId="73170466" w14:textId="77777777" w:rsidR="00296347" w:rsidRPr="0003613D" w:rsidRDefault="00296347" w:rsidP="00296347">
            <w:pPr>
              <w:rPr>
                <w:rFonts w:ascii="Arial" w:eastAsia="Aptos" w:hAnsi="Arial" w:cs="Arial"/>
                <w:b/>
                <w:bCs/>
              </w:rPr>
            </w:pPr>
            <w:r w:rsidRPr="0003613D">
              <w:rPr>
                <w:rFonts w:ascii="Arial" w:eastAsia="Aptos" w:hAnsi="Arial" w:cs="Arial"/>
                <w:b/>
                <w:bCs/>
              </w:rPr>
              <w:t>2024-2025</w:t>
            </w:r>
          </w:p>
        </w:tc>
        <w:tc>
          <w:tcPr>
            <w:tcW w:w="1579" w:type="dxa"/>
            <w:noWrap/>
            <w:hideMark/>
          </w:tcPr>
          <w:p w14:paraId="5510A594" w14:textId="77777777" w:rsidR="00296347" w:rsidRPr="0003613D" w:rsidRDefault="00296347" w:rsidP="00296347">
            <w:pPr>
              <w:rPr>
                <w:rFonts w:ascii="Arial" w:eastAsia="Aptos" w:hAnsi="Arial" w:cs="Arial"/>
                <w:b/>
                <w:bCs/>
              </w:rPr>
            </w:pPr>
            <w:r w:rsidRPr="0003613D">
              <w:rPr>
                <w:rFonts w:ascii="Arial" w:eastAsia="Aptos" w:hAnsi="Arial" w:cs="Arial"/>
                <w:b/>
                <w:bCs/>
              </w:rPr>
              <w:t>Total Lets</w:t>
            </w:r>
          </w:p>
        </w:tc>
      </w:tr>
      <w:tr w:rsidR="00296347" w:rsidRPr="0003613D" w14:paraId="12B40D04" w14:textId="77777777">
        <w:trPr>
          <w:trHeight w:val="393"/>
        </w:trPr>
        <w:tc>
          <w:tcPr>
            <w:tcW w:w="2419" w:type="dxa"/>
            <w:noWrap/>
            <w:hideMark/>
          </w:tcPr>
          <w:p w14:paraId="5B090A1D" w14:textId="77777777" w:rsidR="00296347" w:rsidRPr="0003613D" w:rsidRDefault="00296347" w:rsidP="00296347">
            <w:pPr>
              <w:rPr>
                <w:rFonts w:ascii="Arial" w:eastAsia="Aptos" w:hAnsi="Arial" w:cs="Arial"/>
                <w:b/>
                <w:bCs/>
              </w:rPr>
            </w:pPr>
            <w:r w:rsidRPr="0003613D">
              <w:rPr>
                <w:rFonts w:ascii="Arial" w:eastAsia="Aptos" w:hAnsi="Arial" w:cs="Arial"/>
                <w:b/>
                <w:bCs/>
              </w:rPr>
              <w:t>Flat</w:t>
            </w:r>
          </w:p>
        </w:tc>
        <w:tc>
          <w:tcPr>
            <w:tcW w:w="1579" w:type="dxa"/>
            <w:noWrap/>
            <w:hideMark/>
          </w:tcPr>
          <w:p w14:paraId="04D5E7DC" w14:textId="77777777" w:rsidR="00296347" w:rsidRPr="0003613D" w:rsidRDefault="00296347" w:rsidP="00296347">
            <w:pPr>
              <w:rPr>
                <w:rFonts w:ascii="Arial" w:eastAsia="Aptos" w:hAnsi="Arial" w:cs="Arial"/>
              </w:rPr>
            </w:pPr>
            <w:r w:rsidRPr="0003613D">
              <w:rPr>
                <w:rFonts w:ascii="Arial" w:eastAsia="Aptos" w:hAnsi="Arial" w:cs="Arial"/>
              </w:rPr>
              <w:t>668</w:t>
            </w:r>
          </w:p>
        </w:tc>
        <w:tc>
          <w:tcPr>
            <w:tcW w:w="1579" w:type="dxa"/>
            <w:noWrap/>
            <w:hideMark/>
          </w:tcPr>
          <w:p w14:paraId="1D2C96ED" w14:textId="77777777" w:rsidR="00296347" w:rsidRPr="0003613D" w:rsidRDefault="00296347" w:rsidP="00296347">
            <w:pPr>
              <w:rPr>
                <w:rFonts w:ascii="Arial" w:eastAsia="Aptos" w:hAnsi="Arial" w:cs="Arial"/>
              </w:rPr>
            </w:pPr>
            <w:r w:rsidRPr="0003613D">
              <w:rPr>
                <w:rFonts w:ascii="Arial" w:eastAsia="Aptos" w:hAnsi="Arial" w:cs="Arial"/>
              </w:rPr>
              <w:t>698</w:t>
            </w:r>
          </w:p>
        </w:tc>
        <w:tc>
          <w:tcPr>
            <w:tcW w:w="1579" w:type="dxa"/>
            <w:noWrap/>
            <w:hideMark/>
          </w:tcPr>
          <w:p w14:paraId="52A6B7D2" w14:textId="77777777" w:rsidR="00296347" w:rsidRPr="0003613D" w:rsidRDefault="00296347" w:rsidP="00296347">
            <w:pPr>
              <w:rPr>
                <w:rFonts w:ascii="Arial" w:eastAsia="Aptos" w:hAnsi="Arial" w:cs="Arial"/>
              </w:rPr>
            </w:pPr>
            <w:r w:rsidRPr="0003613D">
              <w:rPr>
                <w:rFonts w:ascii="Arial" w:eastAsia="Aptos" w:hAnsi="Arial" w:cs="Arial"/>
              </w:rPr>
              <w:t>573</w:t>
            </w:r>
          </w:p>
        </w:tc>
        <w:tc>
          <w:tcPr>
            <w:tcW w:w="1579" w:type="dxa"/>
            <w:noWrap/>
            <w:hideMark/>
          </w:tcPr>
          <w:p w14:paraId="60E6D631" w14:textId="77777777" w:rsidR="00296347" w:rsidRPr="0003613D" w:rsidRDefault="00296347" w:rsidP="00296347">
            <w:pPr>
              <w:rPr>
                <w:rFonts w:ascii="Arial" w:eastAsia="Aptos" w:hAnsi="Arial" w:cs="Arial"/>
              </w:rPr>
            </w:pPr>
            <w:r w:rsidRPr="0003613D">
              <w:rPr>
                <w:rFonts w:ascii="Arial" w:eastAsia="Aptos" w:hAnsi="Arial" w:cs="Arial"/>
              </w:rPr>
              <w:t>1939</w:t>
            </w:r>
          </w:p>
        </w:tc>
      </w:tr>
      <w:tr w:rsidR="00296347" w:rsidRPr="0003613D" w14:paraId="5A14EBCF" w14:textId="77777777">
        <w:trPr>
          <w:trHeight w:val="393"/>
        </w:trPr>
        <w:tc>
          <w:tcPr>
            <w:tcW w:w="2419" w:type="dxa"/>
            <w:noWrap/>
            <w:hideMark/>
          </w:tcPr>
          <w:p w14:paraId="2064058E" w14:textId="77777777" w:rsidR="00296347" w:rsidRPr="0003613D" w:rsidRDefault="00296347" w:rsidP="00296347">
            <w:pPr>
              <w:rPr>
                <w:rFonts w:ascii="Arial" w:eastAsia="Aptos" w:hAnsi="Arial" w:cs="Arial"/>
                <w:b/>
                <w:bCs/>
              </w:rPr>
            </w:pPr>
            <w:r w:rsidRPr="0003613D">
              <w:rPr>
                <w:rFonts w:ascii="Arial" w:eastAsia="Aptos" w:hAnsi="Arial" w:cs="Arial"/>
                <w:b/>
                <w:bCs/>
              </w:rPr>
              <w:t>House</w:t>
            </w:r>
          </w:p>
        </w:tc>
        <w:tc>
          <w:tcPr>
            <w:tcW w:w="1579" w:type="dxa"/>
            <w:noWrap/>
            <w:hideMark/>
          </w:tcPr>
          <w:p w14:paraId="3835EDC8" w14:textId="77777777" w:rsidR="00296347" w:rsidRPr="0003613D" w:rsidRDefault="00296347" w:rsidP="00296347">
            <w:pPr>
              <w:rPr>
                <w:rFonts w:ascii="Arial" w:eastAsia="Aptos" w:hAnsi="Arial" w:cs="Arial"/>
              </w:rPr>
            </w:pPr>
            <w:r w:rsidRPr="0003613D">
              <w:rPr>
                <w:rFonts w:ascii="Arial" w:eastAsia="Aptos" w:hAnsi="Arial" w:cs="Arial"/>
              </w:rPr>
              <w:t>224</w:t>
            </w:r>
          </w:p>
        </w:tc>
        <w:tc>
          <w:tcPr>
            <w:tcW w:w="1579" w:type="dxa"/>
            <w:noWrap/>
            <w:hideMark/>
          </w:tcPr>
          <w:p w14:paraId="07EFD94B" w14:textId="77777777" w:rsidR="00296347" w:rsidRPr="0003613D" w:rsidRDefault="00296347" w:rsidP="00296347">
            <w:pPr>
              <w:rPr>
                <w:rFonts w:ascii="Arial" w:eastAsia="Aptos" w:hAnsi="Arial" w:cs="Arial"/>
              </w:rPr>
            </w:pPr>
            <w:r w:rsidRPr="0003613D">
              <w:rPr>
                <w:rFonts w:ascii="Arial" w:eastAsia="Aptos" w:hAnsi="Arial" w:cs="Arial"/>
              </w:rPr>
              <w:t>209</w:t>
            </w:r>
          </w:p>
        </w:tc>
        <w:tc>
          <w:tcPr>
            <w:tcW w:w="1579" w:type="dxa"/>
            <w:noWrap/>
            <w:hideMark/>
          </w:tcPr>
          <w:p w14:paraId="176FB83D" w14:textId="77777777" w:rsidR="00296347" w:rsidRPr="0003613D" w:rsidRDefault="00296347" w:rsidP="00296347">
            <w:pPr>
              <w:rPr>
                <w:rFonts w:ascii="Arial" w:eastAsia="Aptos" w:hAnsi="Arial" w:cs="Arial"/>
              </w:rPr>
            </w:pPr>
            <w:r w:rsidRPr="0003613D">
              <w:rPr>
                <w:rFonts w:ascii="Arial" w:eastAsia="Aptos" w:hAnsi="Arial" w:cs="Arial"/>
              </w:rPr>
              <w:t>193</w:t>
            </w:r>
          </w:p>
        </w:tc>
        <w:tc>
          <w:tcPr>
            <w:tcW w:w="1579" w:type="dxa"/>
            <w:noWrap/>
            <w:hideMark/>
          </w:tcPr>
          <w:p w14:paraId="33FBB329" w14:textId="77777777" w:rsidR="00296347" w:rsidRPr="0003613D" w:rsidRDefault="00296347" w:rsidP="00296347">
            <w:pPr>
              <w:rPr>
                <w:rFonts w:ascii="Arial" w:eastAsia="Aptos" w:hAnsi="Arial" w:cs="Arial"/>
              </w:rPr>
            </w:pPr>
            <w:r w:rsidRPr="0003613D">
              <w:rPr>
                <w:rFonts w:ascii="Arial" w:eastAsia="Aptos" w:hAnsi="Arial" w:cs="Arial"/>
              </w:rPr>
              <w:t>626</w:t>
            </w:r>
          </w:p>
        </w:tc>
      </w:tr>
      <w:tr w:rsidR="00296347" w:rsidRPr="0003613D" w14:paraId="6EBC5C41" w14:textId="77777777">
        <w:trPr>
          <w:trHeight w:val="393"/>
        </w:trPr>
        <w:tc>
          <w:tcPr>
            <w:tcW w:w="2419" w:type="dxa"/>
            <w:noWrap/>
            <w:hideMark/>
          </w:tcPr>
          <w:p w14:paraId="6FA73BB6" w14:textId="77777777" w:rsidR="00296347" w:rsidRPr="0003613D" w:rsidRDefault="00296347" w:rsidP="00296347">
            <w:pPr>
              <w:rPr>
                <w:rFonts w:ascii="Arial" w:eastAsia="Aptos" w:hAnsi="Arial" w:cs="Arial"/>
                <w:b/>
                <w:bCs/>
              </w:rPr>
            </w:pPr>
            <w:r w:rsidRPr="0003613D">
              <w:rPr>
                <w:rFonts w:ascii="Arial" w:eastAsia="Aptos" w:hAnsi="Arial" w:cs="Arial"/>
                <w:b/>
                <w:bCs/>
              </w:rPr>
              <w:lastRenderedPageBreak/>
              <w:t>Bungalow</w:t>
            </w:r>
          </w:p>
        </w:tc>
        <w:tc>
          <w:tcPr>
            <w:tcW w:w="1579" w:type="dxa"/>
            <w:noWrap/>
            <w:hideMark/>
          </w:tcPr>
          <w:p w14:paraId="7DAABB4F" w14:textId="77777777" w:rsidR="00296347" w:rsidRPr="0003613D" w:rsidRDefault="00296347" w:rsidP="00296347">
            <w:pPr>
              <w:rPr>
                <w:rFonts w:ascii="Arial" w:eastAsia="Aptos" w:hAnsi="Arial" w:cs="Arial"/>
              </w:rPr>
            </w:pPr>
            <w:r w:rsidRPr="0003613D">
              <w:rPr>
                <w:rFonts w:ascii="Arial" w:eastAsia="Aptos" w:hAnsi="Arial" w:cs="Arial"/>
              </w:rPr>
              <w:t>102</w:t>
            </w:r>
          </w:p>
        </w:tc>
        <w:tc>
          <w:tcPr>
            <w:tcW w:w="1579" w:type="dxa"/>
            <w:noWrap/>
            <w:hideMark/>
          </w:tcPr>
          <w:p w14:paraId="19E0D231" w14:textId="77777777" w:rsidR="00296347" w:rsidRPr="0003613D" w:rsidRDefault="00296347" w:rsidP="00296347">
            <w:pPr>
              <w:rPr>
                <w:rFonts w:ascii="Arial" w:eastAsia="Aptos" w:hAnsi="Arial" w:cs="Arial"/>
              </w:rPr>
            </w:pPr>
            <w:r w:rsidRPr="0003613D">
              <w:rPr>
                <w:rFonts w:ascii="Arial" w:eastAsia="Aptos" w:hAnsi="Arial" w:cs="Arial"/>
              </w:rPr>
              <w:t>94</w:t>
            </w:r>
          </w:p>
        </w:tc>
        <w:tc>
          <w:tcPr>
            <w:tcW w:w="1579" w:type="dxa"/>
            <w:noWrap/>
            <w:hideMark/>
          </w:tcPr>
          <w:p w14:paraId="60EC6B74" w14:textId="77777777" w:rsidR="00296347" w:rsidRPr="0003613D" w:rsidRDefault="00296347" w:rsidP="00296347">
            <w:pPr>
              <w:rPr>
                <w:rFonts w:ascii="Arial" w:eastAsia="Aptos" w:hAnsi="Arial" w:cs="Arial"/>
              </w:rPr>
            </w:pPr>
            <w:r w:rsidRPr="0003613D">
              <w:rPr>
                <w:rFonts w:ascii="Arial" w:eastAsia="Aptos" w:hAnsi="Arial" w:cs="Arial"/>
              </w:rPr>
              <w:t>119</w:t>
            </w:r>
          </w:p>
        </w:tc>
        <w:tc>
          <w:tcPr>
            <w:tcW w:w="1579" w:type="dxa"/>
            <w:noWrap/>
            <w:hideMark/>
          </w:tcPr>
          <w:p w14:paraId="68E3302F" w14:textId="77777777" w:rsidR="00296347" w:rsidRPr="0003613D" w:rsidRDefault="00296347" w:rsidP="00296347">
            <w:pPr>
              <w:rPr>
                <w:rFonts w:ascii="Arial" w:eastAsia="Aptos" w:hAnsi="Arial" w:cs="Arial"/>
              </w:rPr>
            </w:pPr>
            <w:r w:rsidRPr="0003613D">
              <w:rPr>
                <w:rFonts w:ascii="Arial" w:eastAsia="Aptos" w:hAnsi="Arial" w:cs="Arial"/>
              </w:rPr>
              <w:t>315</w:t>
            </w:r>
          </w:p>
        </w:tc>
      </w:tr>
      <w:tr w:rsidR="00296347" w:rsidRPr="0003613D" w14:paraId="1145D605" w14:textId="77777777">
        <w:trPr>
          <w:trHeight w:val="393"/>
        </w:trPr>
        <w:tc>
          <w:tcPr>
            <w:tcW w:w="2419" w:type="dxa"/>
            <w:noWrap/>
            <w:hideMark/>
          </w:tcPr>
          <w:p w14:paraId="4B2C1A01" w14:textId="77777777" w:rsidR="00296347" w:rsidRPr="0003613D" w:rsidRDefault="00296347" w:rsidP="00296347">
            <w:pPr>
              <w:rPr>
                <w:rFonts w:ascii="Arial" w:eastAsia="Aptos" w:hAnsi="Arial" w:cs="Arial"/>
                <w:b/>
                <w:bCs/>
              </w:rPr>
            </w:pPr>
            <w:r w:rsidRPr="0003613D">
              <w:rPr>
                <w:rFonts w:ascii="Arial" w:eastAsia="Aptos" w:hAnsi="Arial" w:cs="Arial"/>
                <w:b/>
                <w:bCs/>
              </w:rPr>
              <w:t>Maisonette</w:t>
            </w:r>
          </w:p>
        </w:tc>
        <w:tc>
          <w:tcPr>
            <w:tcW w:w="1579" w:type="dxa"/>
            <w:noWrap/>
            <w:hideMark/>
          </w:tcPr>
          <w:p w14:paraId="75EE83E2" w14:textId="77777777" w:rsidR="00296347" w:rsidRPr="0003613D" w:rsidRDefault="00296347" w:rsidP="00296347">
            <w:pPr>
              <w:rPr>
                <w:rFonts w:ascii="Arial" w:eastAsia="Aptos" w:hAnsi="Arial" w:cs="Arial"/>
              </w:rPr>
            </w:pPr>
            <w:r w:rsidRPr="0003613D">
              <w:rPr>
                <w:rFonts w:ascii="Arial" w:eastAsia="Aptos" w:hAnsi="Arial" w:cs="Arial"/>
              </w:rPr>
              <w:t>32</w:t>
            </w:r>
          </w:p>
        </w:tc>
        <w:tc>
          <w:tcPr>
            <w:tcW w:w="1579" w:type="dxa"/>
            <w:noWrap/>
            <w:hideMark/>
          </w:tcPr>
          <w:p w14:paraId="5A46680A" w14:textId="77777777" w:rsidR="00296347" w:rsidRPr="0003613D" w:rsidRDefault="00296347" w:rsidP="00296347">
            <w:pPr>
              <w:rPr>
                <w:rFonts w:ascii="Arial" w:eastAsia="Aptos" w:hAnsi="Arial" w:cs="Arial"/>
              </w:rPr>
            </w:pPr>
            <w:r w:rsidRPr="0003613D">
              <w:rPr>
                <w:rFonts w:ascii="Arial" w:eastAsia="Aptos" w:hAnsi="Arial" w:cs="Arial"/>
              </w:rPr>
              <w:t>34</w:t>
            </w:r>
          </w:p>
        </w:tc>
        <w:tc>
          <w:tcPr>
            <w:tcW w:w="1579" w:type="dxa"/>
            <w:noWrap/>
            <w:hideMark/>
          </w:tcPr>
          <w:p w14:paraId="5A123A0C" w14:textId="77777777" w:rsidR="00296347" w:rsidRPr="0003613D" w:rsidRDefault="00296347" w:rsidP="00296347">
            <w:pPr>
              <w:rPr>
                <w:rFonts w:ascii="Arial" w:eastAsia="Aptos" w:hAnsi="Arial" w:cs="Arial"/>
              </w:rPr>
            </w:pPr>
            <w:r w:rsidRPr="0003613D">
              <w:rPr>
                <w:rFonts w:ascii="Arial" w:eastAsia="Aptos" w:hAnsi="Arial" w:cs="Arial"/>
              </w:rPr>
              <w:t>26</w:t>
            </w:r>
          </w:p>
        </w:tc>
        <w:tc>
          <w:tcPr>
            <w:tcW w:w="1579" w:type="dxa"/>
            <w:noWrap/>
            <w:hideMark/>
          </w:tcPr>
          <w:p w14:paraId="0849C637" w14:textId="77777777" w:rsidR="00296347" w:rsidRPr="0003613D" w:rsidRDefault="00296347" w:rsidP="00296347">
            <w:pPr>
              <w:rPr>
                <w:rFonts w:ascii="Arial" w:eastAsia="Aptos" w:hAnsi="Arial" w:cs="Arial"/>
              </w:rPr>
            </w:pPr>
            <w:r w:rsidRPr="0003613D">
              <w:rPr>
                <w:rFonts w:ascii="Arial" w:eastAsia="Aptos" w:hAnsi="Arial" w:cs="Arial"/>
              </w:rPr>
              <w:t>92</w:t>
            </w:r>
          </w:p>
        </w:tc>
      </w:tr>
    </w:tbl>
    <w:p w14:paraId="364D4284" w14:textId="77777777" w:rsidR="00296347" w:rsidRPr="0003613D" w:rsidRDefault="00296347" w:rsidP="00296347">
      <w:pPr>
        <w:numPr>
          <w:ilvl w:val="0"/>
          <w:numId w:val="35"/>
        </w:numPr>
        <w:spacing w:before="100" w:beforeAutospacing="1" w:after="100" w:afterAutospacing="1" w:line="240" w:lineRule="auto"/>
        <w:rPr>
          <w:rFonts w:ascii="Arial" w:eastAsia="Times New Roman" w:hAnsi="Arial" w:cs="Arial"/>
          <w:sz w:val="24"/>
          <w:szCs w:val="24"/>
          <w:lang w:eastAsia="en-GB"/>
        </w:rPr>
      </w:pPr>
      <w:r w:rsidRPr="0003613D">
        <w:rPr>
          <w:rFonts w:ascii="Arial" w:eastAsia="Times New Roman" w:hAnsi="Arial" w:cs="Arial"/>
          <w:b/>
          <w:bCs/>
          <w:sz w:val="24"/>
          <w:szCs w:val="24"/>
          <w:lang w:eastAsia="en-GB"/>
        </w:rPr>
        <w:t>Flats</w:t>
      </w:r>
      <w:r w:rsidRPr="0003613D">
        <w:rPr>
          <w:rFonts w:ascii="Arial" w:eastAsia="Times New Roman" w:hAnsi="Arial" w:cs="Arial"/>
          <w:sz w:val="24"/>
          <w:szCs w:val="24"/>
          <w:lang w:eastAsia="en-GB"/>
        </w:rPr>
        <w:t xml:space="preserve"> accounted for the majority of lettings, with 668 in 2022/23, rising to 698 in 2023/24, then falling to 573 in 2024/25. This shows strong underlying demand for flats, but the drop in 2024/25 suggests fewer flats were available or advertised, highlighting the impact of turnover and stock availability.</w:t>
      </w:r>
    </w:p>
    <w:p w14:paraId="4CFD8756" w14:textId="77777777" w:rsidR="00296347" w:rsidRPr="0003613D" w:rsidRDefault="00296347" w:rsidP="00296347">
      <w:pPr>
        <w:numPr>
          <w:ilvl w:val="0"/>
          <w:numId w:val="35"/>
        </w:numPr>
        <w:spacing w:before="100" w:beforeAutospacing="1" w:after="100" w:afterAutospacing="1" w:line="240" w:lineRule="auto"/>
        <w:rPr>
          <w:rFonts w:ascii="Arial" w:eastAsia="Times New Roman" w:hAnsi="Arial" w:cs="Arial"/>
          <w:sz w:val="24"/>
          <w:szCs w:val="24"/>
          <w:lang w:eastAsia="en-GB"/>
        </w:rPr>
      </w:pPr>
      <w:r w:rsidRPr="0003613D">
        <w:rPr>
          <w:rFonts w:ascii="Arial" w:eastAsia="Times New Roman" w:hAnsi="Arial" w:cs="Arial"/>
          <w:b/>
          <w:bCs/>
          <w:sz w:val="24"/>
          <w:szCs w:val="24"/>
          <w:lang w:eastAsia="en-GB"/>
        </w:rPr>
        <w:t>Houses</w:t>
      </w:r>
      <w:r w:rsidRPr="0003613D">
        <w:rPr>
          <w:rFonts w:ascii="Arial" w:eastAsia="Times New Roman" w:hAnsi="Arial" w:cs="Arial"/>
          <w:sz w:val="24"/>
          <w:szCs w:val="24"/>
          <w:lang w:eastAsia="en-GB"/>
        </w:rPr>
        <w:t xml:space="preserve"> declined steadily from 224 to 193 lettings over the three years. This reflects low turnover in family-sized homes, which can lead to longer waiting times for larger households and reinforces the need to prioritise new supply and relets in this category.</w:t>
      </w:r>
    </w:p>
    <w:p w14:paraId="353DCFBA" w14:textId="77777777" w:rsidR="00296347" w:rsidRPr="0003613D" w:rsidRDefault="00296347" w:rsidP="00296347">
      <w:pPr>
        <w:numPr>
          <w:ilvl w:val="0"/>
          <w:numId w:val="35"/>
        </w:numPr>
        <w:spacing w:before="100" w:beforeAutospacing="1" w:after="100" w:afterAutospacing="1" w:line="240" w:lineRule="auto"/>
        <w:rPr>
          <w:rFonts w:ascii="Arial" w:eastAsia="Times New Roman" w:hAnsi="Arial" w:cs="Arial"/>
          <w:sz w:val="24"/>
          <w:szCs w:val="24"/>
          <w:lang w:eastAsia="en-GB"/>
        </w:rPr>
      </w:pPr>
      <w:r w:rsidRPr="0003613D">
        <w:rPr>
          <w:rFonts w:ascii="Arial" w:eastAsia="Times New Roman" w:hAnsi="Arial" w:cs="Arial"/>
          <w:b/>
          <w:bCs/>
          <w:sz w:val="24"/>
          <w:szCs w:val="24"/>
          <w:lang w:eastAsia="en-GB"/>
        </w:rPr>
        <w:t>Bungalows</w:t>
      </w:r>
      <w:r w:rsidRPr="0003613D">
        <w:rPr>
          <w:rFonts w:ascii="Arial" w:eastAsia="Times New Roman" w:hAnsi="Arial" w:cs="Arial"/>
          <w:sz w:val="24"/>
          <w:szCs w:val="24"/>
          <w:lang w:eastAsia="en-GB"/>
        </w:rPr>
        <w:t xml:space="preserve"> fell from 102 to 94 before rising to 119 in 2024/25. The recent increase may reflect targeted allocations for older residents or those needing accessible housing, showing the council’s response to specific housing needs.</w:t>
      </w:r>
    </w:p>
    <w:p w14:paraId="1F56D21D" w14:textId="77777777" w:rsidR="00296347" w:rsidRPr="0003613D" w:rsidRDefault="00296347" w:rsidP="00296347">
      <w:pPr>
        <w:numPr>
          <w:ilvl w:val="0"/>
          <w:numId w:val="35"/>
        </w:numPr>
        <w:spacing w:before="100" w:beforeAutospacing="1" w:after="100" w:afterAutospacing="1" w:line="240" w:lineRule="auto"/>
        <w:rPr>
          <w:rFonts w:ascii="Arial" w:eastAsia="Times New Roman" w:hAnsi="Arial" w:cs="Arial"/>
          <w:sz w:val="24"/>
          <w:szCs w:val="24"/>
          <w:lang w:eastAsia="en-GB"/>
        </w:rPr>
      </w:pPr>
      <w:r w:rsidRPr="0003613D">
        <w:rPr>
          <w:rFonts w:ascii="Arial" w:eastAsia="Times New Roman" w:hAnsi="Arial" w:cs="Arial"/>
          <w:b/>
          <w:bCs/>
          <w:sz w:val="24"/>
          <w:szCs w:val="24"/>
          <w:lang w:eastAsia="en-GB"/>
        </w:rPr>
        <w:t>Maisonettes</w:t>
      </w:r>
      <w:r w:rsidRPr="0003613D">
        <w:rPr>
          <w:rFonts w:ascii="Arial" w:eastAsia="Times New Roman" w:hAnsi="Arial" w:cs="Arial"/>
          <w:sz w:val="24"/>
          <w:szCs w:val="24"/>
          <w:lang w:eastAsia="en-GB"/>
        </w:rPr>
        <w:t xml:space="preserve"> remained very small, ranging from 26 to 34 lettings per year. Low numbers indicate limited supply and lower demand compared to other property types, suggesting interventions could focus on marketing or matching homes to smaller households.</w:t>
      </w:r>
    </w:p>
    <w:p w14:paraId="60C75735" w14:textId="77777777" w:rsidR="00296347" w:rsidRPr="0003613D" w:rsidRDefault="00296347" w:rsidP="00296347">
      <w:pPr>
        <w:spacing w:before="100" w:beforeAutospacing="1" w:after="100" w:afterAutospacing="1" w:line="240" w:lineRule="auto"/>
        <w:rPr>
          <w:rFonts w:ascii="Arial" w:eastAsia="Times New Roman" w:hAnsi="Arial" w:cs="Arial"/>
          <w:sz w:val="24"/>
          <w:szCs w:val="24"/>
          <w:lang w:eastAsia="en-GB"/>
        </w:rPr>
      </w:pPr>
      <w:r w:rsidRPr="0003613D">
        <w:rPr>
          <w:rFonts w:ascii="Arial" w:eastAsia="Times New Roman" w:hAnsi="Arial" w:cs="Arial"/>
          <w:b/>
          <w:bCs/>
          <w:sz w:val="24"/>
          <w:szCs w:val="24"/>
          <w:lang w:eastAsia="en-GB"/>
        </w:rPr>
        <w:t>Overall Trends</w:t>
      </w:r>
      <w:r w:rsidRPr="0003613D">
        <w:rPr>
          <w:rFonts w:ascii="Arial" w:eastAsia="Times New Roman" w:hAnsi="Arial" w:cs="Arial"/>
          <w:sz w:val="24"/>
          <w:szCs w:val="24"/>
          <w:lang w:eastAsia="en-GB"/>
        </w:rPr>
        <w:t>: Total lettings fell from 1,035 in 2023/24 to 911 in 2024/25, with the decrease driven mainly by flats (–125), partially offset by an increase in bungalows (+25). Houses and maisonettes contributed smaller reductions. This pattern highlights areas of tight supply (family homes, flats) and where policy or new supply could make the most impact.</w:t>
      </w:r>
    </w:p>
    <w:p w14:paraId="23E6F0E4" w14:textId="77777777" w:rsidR="00222651" w:rsidRPr="0003613D" w:rsidRDefault="00222651" w:rsidP="00296347">
      <w:pPr>
        <w:spacing w:line="276" w:lineRule="auto"/>
        <w:rPr>
          <w:rFonts w:ascii="Arial" w:eastAsia="Calibri" w:hAnsi="Arial" w:cs="Arial"/>
          <w:b/>
          <w:bCs/>
          <w:sz w:val="24"/>
          <w:szCs w:val="24"/>
        </w:rPr>
      </w:pPr>
    </w:p>
    <w:p w14:paraId="5A6980B1" w14:textId="48F2C11A" w:rsidR="00296347" w:rsidRPr="0003613D" w:rsidRDefault="00296347" w:rsidP="00296347">
      <w:pPr>
        <w:spacing w:line="276" w:lineRule="auto"/>
        <w:rPr>
          <w:rFonts w:ascii="Arial" w:eastAsia="Calibri" w:hAnsi="Arial" w:cs="Arial"/>
          <w:b/>
          <w:bCs/>
          <w:sz w:val="24"/>
          <w:szCs w:val="24"/>
        </w:rPr>
      </w:pPr>
      <w:r w:rsidRPr="0003613D">
        <w:rPr>
          <w:rFonts w:ascii="Arial" w:eastAsia="Calibri" w:hAnsi="Arial" w:cs="Arial"/>
          <w:b/>
          <w:bCs/>
          <w:sz w:val="24"/>
          <w:szCs w:val="24"/>
        </w:rPr>
        <w:t>Housing Association Properties</w:t>
      </w:r>
    </w:p>
    <w:tbl>
      <w:tblPr>
        <w:tblStyle w:val="TableGrid2"/>
        <w:tblW w:w="0" w:type="auto"/>
        <w:jc w:val="center"/>
        <w:tblLook w:val="04A0" w:firstRow="1" w:lastRow="0" w:firstColumn="1" w:lastColumn="0" w:noHBand="0" w:noVBand="1"/>
      </w:tblPr>
      <w:tblGrid>
        <w:gridCol w:w="1795"/>
        <w:gridCol w:w="1323"/>
        <w:gridCol w:w="1323"/>
        <w:gridCol w:w="1323"/>
        <w:gridCol w:w="1173"/>
      </w:tblGrid>
      <w:tr w:rsidR="00296347" w:rsidRPr="0003613D" w14:paraId="7B4FF76B" w14:textId="77777777">
        <w:trPr>
          <w:trHeight w:val="383"/>
          <w:jc w:val="center"/>
        </w:trPr>
        <w:tc>
          <w:tcPr>
            <w:tcW w:w="1795" w:type="dxa"/>
            <w:noWrap/>
            <w:hideMark/>
          </w:tcPr>
          <w:p w14:paraId="1C7AEA7B" w14:textId="77777777" w:rsidR="00296347" w:rsidRPr="0003613D" w:rsidRDefault="00296347" w:rsidP="00296347">
            <w:pPr>
              <w:spacing w:before="100" w:beforeAutospacing="1" w:after="100" w:afterAutospacing="1"/>
              <w:rPr>
                <w:rFonts w:ascii="Arial" w:eastAsia="Times New Roman" w:hAnsi="Arial" w:cs="Arial"/>
                <w:b/>
                <w:bCs/>
                <w:lang w:eastAsia="en-GB"/>
              </w:rPr>
            </w:pPr>
            <w:r w:rsidRPr="0003613D">
              <w:rPr>
                <w:rFonts w:ascii="Arial" w:eastAsia="Times New Roman" w:hAnsi="Arial" w:cs="Arial"/>
                <w:b/>
                <w:bCs/>
                <w:lang w:eastAsia="en-GB"/>
              </w:rPr>
              <w:t>Category</w:t>
            </w:r>
          </w:p>
        </w:tc>
        <w:tc>
          <w:tcPr>
            <w:tcW w:w="1323" w:type="dxa"/>
            <w:noWrap/>
            <w:hideMark/>
          </w:tcPr>
          <w:p w14:paraId="328244E7" w14:textId="77777777" w:rsidR="00296347" w:rsidRPr="0003613D" w:rsidRDefault="00296347" w:rsidP="00296347">
            <w:pPr>
              <w:spacing w:before="100" w:beforeAutospacing="1" w:after="100" w:afterAutospacing="1"/>
              <w:rPr>
                <w:rFonts w:ascii="Arial" w:eastAsia="Times New Roman" w:hAnsi="Arial" w:cs="Arial"/>
                <w:b/>
                <w:bCs/>
                <w:lang w:eastAsia="en-GB"/>
              </w:rPr>
            </w:pPr>
            <w:r w:rsidRPr="0003613D">
              <w:rPr>
                <w:rFonts w:ascii="Arial" w:eastAsia="Times New Roman" w:hAnsi="Arial" w:cs="Arial"/>
                <w:b/>
                <w:bCs/>
                <w:lang w:eastAsia="en-GB"/>
              </w:rPr>
              <w:t>2022/23</w:t>
            </w:r>
          </w:p>
        </w:tc>
        <w:tc>
          <w:tcPr>
            <w:tcW w:w="1323" w:type="dxa"/>
            <w:noWrap/>
            <w:hideMark/>
          </w:tcPr>
          <w:p w14:paraId="4A9A320D" w14:textId="77777777" w:rsidR="00296347" w:rsidRPr="0003613D" w:rsidRDefault="00296347" w:rsidP="00296347">
            <w:pPr>
              <w:spacing w:before="100" w:beforeAutospacing="1" w:after="100" w:afterAutospacing="1"/>
              <w:rPr>
                <w:rFonts w:ascii="Arial" w:eastAsia="Times New Roman" w:hAnsi="Arial" w:cs="Arial"/>
                <w:b/>
                <w:bCs/>
                <w:lang w:eastAsia="en-GB"/>
              </w:rPr>
            </w:pPr>
            <w:r w:rsidRPr="0003613D">
              <w:rPr>
                <w:rFonts w:ascii="Arial" w:eastAsia="Times New Roman" w:hAnsi="Arial" w:cs="Arial"/>
                <w:b/>
                <w:bCs/>
                <w:lang w:eastAsia="en-GB"/>
              </w:rPr>
              <w:t>2023/24</w:t>
            </w:r>
          </w:p>
        </w:tc>
        <w:tc>
          <w:tcPr>
            <w:tcW w:w="1323" w:type="dxa"/>
            <w:noWrap/>
            <w:hideMark/>
          </w:tcPr>
          <w:p w14:paraId="187EF84A" w14:textId="77777777" w:rsidR="00296347" w:rsidRPr="0003613D" w:rsidRDefault="00296347" w:rsidP="00296347">
            <w:pPr>
              <w:spacing w:before="100" w:beforeAutospacing="1" w:after="100" w:afterAutospacing="1"/>
              <w:rPr>
                <w:rFonts w:ascii="Arial" w:eastAsia="Times New Roman" w:hAnsi="Arial" w:cs="Arial"/>
                <w:b/>
                <w:bCs/>
                <w:lang w:eastAsia="en-GB"/>
              </w:rPr>
            </w:pPr>
            <w:r w:rsidRPr="0003613D">
              <w:rPr>
                <w:rFonts w:ascii="Arial" w:eastAsia="Times New Roman" w:hAnsi="Arial" w:cs="Arial"/>
                <w:b/>
                <w:bCs/>
                <w:lang w:eastAsia="en-GB"/>
              </w:rPr>
              <w:t>2024/25</w:t>
            </w:r>
          </w:p>
        </w:tc>
        <w:tc>
          <w:tcPr>
            <w:tcW w:w="1173" w:type="dxa"/>
            <w:noWrap/>
            <w:hideMark/>
          </w:tcPr>
          <w:p w14:paraId="5A07E102" w14:textId="77777777" w:rsidR="00296347" w:rsidRPr="0003613D" w:rsidRDefault="00296347" w:rsidP="00296347">
            <w:pPr>
              <w:spacing w:before="100" w:beforeAutospacing="1" w:after="100" w:afterAutospacing="1"/>
              <w:rPr>
                <w:rFonts w:ascii="Arial" w:eastAsia="Times New Roman" w:hAnsi="Arial" w:cs="Arial"/>
                <w:b/>
                <w:bCs/>
                <w:lang w:eastAsia="en-GB"/>
              </w:rPr>
            </w:pPr>
            <w:r w:rsidRPr="0003613D">
              <w:rPr>
                <w:rFonts w:ascii="Arial" w:eastAsia="Times New Roman" w:hAnsi="Arial" w:cs="Arial"/>
                <w:b/>
                <w:bCs/>
                <w:lang w:eastAsia="en-GB"/>
              </w:rPr>
              <w:t>Total Lets</w:t>
            </w:r>
          </w:p>
        </w:tc>
      </w:tr>
      <w:tr w:rsidR="00296347" w:rsidRPr="0003613D" w14:paraId="54F9B193" w14:textId="77777777">
        <w:trPr>
          <w:trHeight w:val="383"/>
          <w:jc w:val="center"/>
        </w:trPr>
        <w:tc>
          <w:tcPr>
            <w:tcW w:w="1795" w:type="dxa"/>
            <w:noWrap/>
            <w:hideMark/>
          </w:tcPr>
          <w:p w14:paraId="45D3C114" w14:textId="77777777" w:rsidR="00296347" w:rsidRPr="0003613D" w:rsidRDefault="00296347" w:rsidP="00296347">
            <w:pPr>
              <w:spacing w:before="100" w:beforeAutospacing="1" w:after="100" w:afterAutospacing="1"/>
              <w:rPr>
                <w:rFonts w:ascii="Arial" w:eastAsia="Times New Roman" w:hAnsi="Arial" w:cs="Arial"/>
                <w:b/>
                <w:bCs/>
                <w:lang w:eastAsia="en-GB"/>
              </w:rPr>
            </w:pPr>
            <w:r w:rsidRPr="0003613D">
              <w:rPr>
                <w:rFonts w:ascii="Arial" w:eastAsia="Times New Roman" w:hAnsi="Arial" w:cs="Arial"/>
                <w:b/>
                <w:bCs/>
                <w:lang w:eastAsia="en-GB"/>
              </w:rPr>
              <w:t>Flat</w:t>
            </w:r>
          </w:p>
        </w:tc>
        <w:tc>
          <w:tcPr>
            <w:tcW w:w="1323" w:type="dxa"/>
            <w:noWrap/>
            <w:hideMark/>
          </w:tcPr>
          <w:p w14:paraId="67A2E3D2" w14:textId="77777777" w:rsidR="00296347" w:rsidRPr="0003613D" w:rsidRDefault="00296347" w:rsidP="00296347">
            <w:pPr>
              <w:spacing w:before="100" w:beforeAutospacing="1" w:after="100" w:afterAutospacing="1"/>
              <w:rPr>
                <w:rFonts w:ascii="Arial" w:eastAsia="Times New Roman" w:hAnsi="Arial" w:cs="Arial"/>
                <w:lang w:eastAsia="en-GB"/>
              </w:rPr>
            </w:pPr>
            <w:r w:rsidRPr="0003613D">
              <w:rPr>
                <w:rFonts w:ascii="Arial" w:eastAsia="Times New Roman" w:hAnsi="Arial" w:cs="Arial"/>
                <w:lang w:eastAsia="en-GB"/>
              </w:rPr>
              <w:t>110</w:t>
            </w:r>
          </w:p>
        </w:tc>
        <w:tc>
          <w:tcPr>
            <w:tcW w:w="1323" w:type="dxa"/>
            <w:noWrap/>
            <w:hideMark/>
          </w:tcPr>
          <w:p w14:paraId="6F0ADB09" w14:textId="77777777" w:rsidR="00296347" w:rsidRPr="0003613D" w:rsidRDefault="00296347" w:rsidP="00296347">
            <w:pPr>
              <w:spacing w:before="100" w:beforeAutospacing="1" w:after="100" w:afterAutospacing="1"/>
              <w:rPr>
                <w:rFonts w:ascii="Arial" w:eastAsia="Times New Roman" w:hAnsi="Arial" w:cs="Arial"/>
                <w:lang w:eastAsia="en-GB"/>
              </w:rPr>
            </w:pPr>
            <w:r w:rsidRPr="0003613D">
              <w:rPr>
                <w:rFonts w:ascii="Arial" w:eastAsia="Times New Roman" w:hAnsi="Arial" w:cs="Arial"/>
                <w:lang w:eastAsia="en-GB"/>
              </w:rPr>
              <w:t>115</w:t>
            </w:r>
          </w:p>
        </w:tc>
        <w:tc>
          <w:tcPr>
            <w:tcW w:w="1323" w:type="dxa"/>
            <w:noWrap/>
            <w:hideMark/>
          </w:tcPr>
          <w:p w14:paraId="0E81C9C1" w14:textId="77777777" w:rsidR="00296347" w:rsidRPr="0003613D" w:rsidRDefault="00296347" w:rsidP="00296347">
            <w:pPr>
              <w:spacing w:before="100" w:beforeAutospacing="1" w:after="100" w:afterAutospacing="1"/>
              <w:rPr>
                <w:rFonts w:ascii="Arial" w:eastAsia="Times New Roman" w:hAnsi="Arial" w:cs="Arial"/>
                <w:lang w:eastAsia="en-GB"/>
              </w:rPr>
            </w:pPr>
            <w:r w:rsidRPr="0003613D">
              <w:rPr>
                <w:rFonts w:ascii="Arial" w:eastAsia="Times New Roman" w:hAnsi="Arial" w:cs="Arial"/>
                <w:lang w:eastAsia="en-GB"/>
              </w:rPr>
              <w:t>95</w:t>
            </w:r>
          </w:p>
        </w:tc>
        <w:tc>
          <w:tcPr>
            <w:tcW w:w="1173" w:type="dxa"/>
            <w:noWrap/>
            <w:hideMark/>
          </w:tcPr>
          <w:p w14:paraId="2425B0BB" w14:textId="77777777" w:rsidR="00296347" w:rsidRPr="0003613D" w:rsidRDefault="00296347" w:rsidP="00296347">
            <w:pPr>
              <w:spacing w:before="100" w:beforeAutospacing="1" w:after="100" w:afterAutospacing="1"/>
              <w:rPr>
                <w:rFonts w:ascii="Arial" w:eastAsia="Times New Roman" w:hAnsi="Arial" w:cs="Arial"/>
                <w:lang w:eastAsia="en-GB"/>
              </w:rPr>
            </w:pPr>
            <w:r w:rsidRPr="0003613D">
              <w:rPr>
                <w:rFonts w:ascii="Arial" w:eastAsia="Times New Roman" w:hAnsi="Arial" w:cs="Arial"/>
                <w:lang w:eastAsia="en-GB"/>
              </w:rPr>
              <w:t>320</w:t>
            </w:r>
          </w:p>
        </w:tc>
      </w:tr>
      <w:tr w:rsidR="00296347" w:rsidRPr="0003613D" w14:paraId="693CBFF2" w14:textId="77777777">
        <w:trPr>
          <w:trHeight w:val="383"/>
          <w:jc w:val="center"/>
        </w:trPr>
        <w:tc>
          <w:tcPr>
            <w:tcW w:w="1795" w:type="dxa"/>
            <w:noWrap/>
            <w:hideMark/>
          </w:tcPr>
          <w:p w14:paraId="0A1E44B9" w14:textId="77777777" w:rsidR="00296347" w:rsidRPr="0003613D" w:rsidRDefault="00296347" w:rsidP="00296347">
            <w:pPr>
              <w:spacing w:before="100" w:beforeAutospacing="1" w:after="100" w:afterAutospacing="1"/>
              <w:rPr>
                <w:rFonts w:ascii="Arial" w:eastAsia="Times New Roman" w:hAnsi="Arial" w:cs="Arial"/>
                <w:b/>
                <w:bCs/>
                <w:lang w:eastAsia="en-GB"/>
              </w:rPr>
            </w:pPr>
            <w:r w:rsidRPr="0003613D">
              <w:rPr>
                <w:rFonts w:ascii="Arial" w:eastAsia="Times New Roman" w:hAnsi="Arial" w:cs="Arial"/>
                <w:b/>
                <w:bCs/>
                <w:lang w:eastAsia="en-GB"/>
              </w:rPr>
              <w:t>House</w:t>
            </w:r>
          </w:p>
        </w:tc>
        <w:tc>
          <w:tcPr>
            <w:tcW w:w="1323" w:type="dxa"/>
            <w:noWrap/>
            <w:hideMark/>
          </w:tcPr>
          <w:p w14:paraId="463F2B66" w14:textId="77777777" w:rsidR="00296347" w:rsidRPr="0003613D" w:rsidRDefault="00296347" w:rsidP="00296347">
            <w:pPr>
              <w:spacing w:before="100" w:beforeAutospacing="1" w:after="100" w:afterAutospacing="1"/>
              <w:rPr>
                <w:rFonts w:ascii="Arial" w:eastAsia="Times New Roman" w:hAnsi="Arial" w:cs="Arial"/>
                <w:lang w:eastAsia="en-GB"/>
              </w:rPr>
            </w:pPr>
            <w:r w:rsidRPr="0003613D">
              <w:rPr>
                <w:rFonts w:ascii="Arial" w:eastAsia="Times New Roman" w:hAnsi="Arial" w:cs="Arial"/>
                <w:lang w:eastAsia="en-GB"/>
              </w:rPr>
              <w:t>75</w:t>
            </w:r>
          </w:p>
        </w:tc>
        <w:tc>
          <w:tcPr>
            <w:tcW w:w="1323" w:type="dxa"/>
            <w:noWrap/>
            <w:hideMark/>
          </w:tcPr>
          <w:p w14:paraId="0070B8C2" w14:textId="77777777" w:rsidR="00296347" w:rsidRPr="0003613D" w:rsidRDefault="00296347" w:rsidP="00296347">
            <w:pPr>
              <w:spacing w:before="100" w:beforeAutospacing="1" w:after="100" w:afterAutospacing="1"/>
              <w:rPr>
                <w:rFonts w:ascii="Arial" w:eastAsia="Times New Roman" w:hAnsi="Arial" w:cs="Arial"/>
                <w:lang w:eastAsia="en-GB"/>
              </w:rPr>
            </w:pPr>
            <w:r w:rsidRPr="0003613D">
              <w:rPr>
                <w:rFonts w:ascii="Arial" w:eastAsia="Times New Roman" w:hAnsi="Arial" w:cs="Arial"/>
                <w:lang w:eastAsia="en-GB"/>
              </w:rPr>
              <w:t>70</w:t>
            </w:r>
          </w:p>
        </w:tc>
        <w:tc>
          <w:tcPr>
            <w:tcW w:w="1323" w:type="dxa"/>
            <w:noWrap/>
            <w:hideMark/>
          </w:tcPr>
          <w:p w14:paraId="7F6C8FA3" w14:textId="77777777" w:rsidR="00296347" w:rsidRPr="0003613D" w:rsidRDefault="00296347" w:rsidP="00296347">
            <w:pPr>
              <w:spacing w:before="100" w:beforeAutospacing="1" w:after="100" w:afterAutospacing="1"/>
              <w:rPr>
                <w:rFonts w:ascii="Arial" w:eastAsia="Times New Roman" w:hAnsi="Arial" w:cs="Arial"/>
                <w:lang w:eastAsia="en-GB"/>
              </w:rPr>
            </w:pPr>
            <w:r w:rsidRPr="0003613D">
              <w:rPr>
                <w:rFonts w:ascii="Arial" w:eastAsia="Times New Roman" w:hAnsi="Arial" w:cs="Arial"/>
                <w:lang w:eastAsia="en-GB"/>
              </w:rPr>
              <w:t>65</w:t>
            </w:r>
          </w:p>
        </w:tc>
        <w:tc>
          <w:tcPr>
            <w:tcW w:w="1173" w:type="dxa"/>
            <w:noWrap/>
            <w:hideMark/>
          </w:tcPr>
          <w:p w14:paraId="02CF6405" w14:textId="77777777" w:rsidR="00296347" w:rsidRPr="0003613D" w:rsidRDefault="00296347" w:rsidP="00296347">
            <w:pPr>
              <w:spacing w:before="100" w:beforeAutospacing="1" w:after="100" w:afterAutospacing="1"/>
              <w:rPr>
                <w:rFonts w:ascii="Arial" w:eastAsia="Times New Roman" w:hAnsi="Arial" w:cs="Arial"/>
                <w:lang w:eastAsia="en-GB"/>
              </w:rPr>
            </w:pPr>
            <w:r w:rsidRPr="0003613D">
              <w:rPr>
                <w:rFonts w:ascii="Arial" w:eastAsia="Times New Roman" w:hAnsi="Arial" w:cs="Arial"/>
                <w:lang w:eastAsia="en-GB"/>
              </w:rPr>
              <w:t>210</w:t>
            </w:r>
          </w:p>
        </w:tc>
      </w:tr>
      <w:tr w:rsidR="00296347" w:rsidRPr="0003613D" w14:paraId="779725B6" w14:textId="77777777">
        <w:trPr>
          <w:trHeight w:val="383"/>
          <w:jc w:val="center"/>
        </w:trPr>
        <w:tc>
          <w:tcPr>
            <w:tcW w:w="1795" w:type="dxa"/>
            <w:noWrap/>
            <w:hideMark/>
          </w:tcPr>
          <w:p w14:paraId="5A9CA698" w14:textId="77777777" w:rsidR="00296347" w:rsidRPr="0003613D" w:rsidRDefault="00296347" w:rsidP="00296347">
            <w:pPr>
              <w:spacing w:before="100" w:beforeAutospacing="1" w:after="100" w:afterAutospacing="1"/>
              <w:rPr>
                <w:rFonts w:ascii="Arial" w:eastAsia="Times New Roman" w:hAnsi="Arial" w:cs="Arial"/>
                <w:b/>
                <w:bCs/>
                <w:lang w:eastAsia="en-GB"/>
              </w:rPr>
            </w:pPr>
            <w:r w:rsidRPr="0003613D">
              <w:rPr>
                <w:rFonts w:ascii="Arial" w:eastAsia="Times New Roman" w:hAnsi="Arial" w:cs="Arial"/>
                <w:b/>
                <w:bCs/>
                <w:lang w:eastAsia="en-GB"/>
              </w:rPr>
              <w:t>Bungalow</w:t>
            </w:r>
          </w:p>
        </w:tc>
        <w:tc>
          <w:tcPr>
            <w:tcW w:w="1323" w:type="dxa"/>
            <w:noWrap/>
            <w:hideMark/>
          </w:tcPr>
          <w:p w14:paraId="46AFF37A" w14:textId="77777777" w:rsidR="00296347" w:rsidRPr="0003613D" w:rsidRDefault="00296347" w:rsidP="00296347">
            <w:pPr>
              <w:spacing w:before="100" w:beforeAutospacing="1" w:after="100" w:afterAutospacing="1"/>
              <w:rPr>
                <w:rFonts w:ascii="Arial" w:eastAsia="Times New Roman" w:hAnsi="Arial" w:cs="Arial"/>
                <w:lang w:eastAsia="en-GB"/>
              </w:rPr>
            </w:pPr>
            <w:r w:rsidRPr="0003613D">
              <w:rPr>
                <w:rFonts w:ascii="Arial" w:eastAsia="Times New Roman" w:hAnsi="Arial" w:cs="Arial"/>
                <w:lang w:eastAsia="en-GB"/>
              </w:rPr>
              <w:t>30</w:t>
            </w:r>
          </w:p>
        </w:tc>
        <w:tc>
          <w:tcPr>
            <w:tcW w:w="1323" w:type="dxa"/>
            <w:noWrap/>
            <w:hideMark/>
          </w:tcPr>
          <w:p w14:paraId="671C7C7D" w14:textId="77777777" w:rsidR="00296347" w:rsidRPr="0003613D" w:rsidRDefault="00296347" w:rsidP="00296347">
            <w:pPr>
              <w:spacing w:before="100" w:beforeAutospacing="1" w:after="100" w:afterAutospacing="1"/>
              <w:rPr>
                <w:rFonts w:ascii="Arial" w:eastAsia="Times New Roman" w:hAnsi="Arial" w:cs="Arial"/>
                <w:lang w:eastAsia="en-GB"/>
              </w:rPr>
            </w:pPr>
            <w:r w:rsidRPr="0003613D">
              <w:rPr>
                <w:rFonts w:ascii="Arial" w:eastAsia="Times New Roman" w:hAnsi="Arial" w:cs="Arial"/>
                <w:lang w:eastAsia="en-GB"/>
              </w:rPr>
              <w:t>28</w:t>
            </w:r>
          </w:p>
        </w:tc>
        <w:tc>
          <w:tcPr>
            <w:tcW w:w="1323" w:type="dxa"/>
            <w:noWrap/>
            <w:hideMark/>
          </w:tcPr>
          <w:p w14:paraId="4AE0BA33" w14:textId="77777777" w:rsidR="00296347" w:rsidRPr="0003613D" w:rsidRDefault="00296347" w:rsidP="00296347">
            <w:pPr>
              <w:spacing w:before="100" w:beforeAutospacing="1" w:after="100" w:afterAutospacing="1"/>
              <w:rPr>
                <w:rFonts w:ascii="Arial" w:eastAsia="Times New Roman" w:hAnsi="Arial" w:cs="Arial"/>
                <w:lang w:eastAsia="en-GB"/>
              </w:rPr>
            </w:pPr>
            <w:r w:rsidRPr="0003613D">
              <w:rPr>
                <w:rFonts w:ascii="Arial" w:eastAsia="Times New Roman" w:hAnsi="Arial" w:cs="Arial"/>
                <w:lang w:eastAsia="en-GB"/>
              </w:rPr>
              <w:t>27</w:t>
            </w:r>
          </w:p>
        </w:tc>
        <w:tc>
          <w:tcPr>
            <w:tcW w:w="1173" w:type="dxa"/>
            <w:noWrap/>
            <w:hideMark/>
          </w:tcPr>
          <w:p w14:paraId="2A541ADC" w14:textId="77777777" w:rsidR="00296347" w:rsidRPr="0003613D" w:rsidRDefault="00296347" w:rsidP="00296347">
            <w:pPr>
              <w:spacing w:before="100" w:beforeAutospacing="1" w:after="100" w:afterAutospacing="1"/>
              <w:rPr>
                <w:rFonts w:ascii="Arial" w:eastAsia="Times New Roman" w:hAnsi="Arial" w:cs="Arial"/>
                <w:lang w:eastAsia="en-GB"/>
              </w:rPr>
            </w:pPr>
            <w:r w:rsidRPr="0003613D">
              <w:rPr>
                <w:rFonts w:ascii="Arial" w:eastAsia="Times New Roman" w:hAnsi="Arial" w:cs="Arial"/>
                <w:lang w:eastAsia="en-GB"/>
              </w:rPr>
              <w:t>85</w:t>
            </w:r>
          </w:p>
        </w:tc>
      </w:tr>
      <w:tr w:rsidR="00296347" w:rsidRPr="0003613D" w14:paraId="17623FED" w14:textId="77777777">
        <w:trPr>
          <w:trHeight w:val="383"/>
          <w:jc w:val="center"/>
        </w:trPr>
        <w:tc>
          <w:tcPr>
            <w:tcW w:w="1795" w:type="dxa"/>
            <w:noWrap/>
            <w:hideMark/>
          </w:tcPr>
          <w:p w14:paraId="7C8EB55E" w14:textId="77777777" w:rsidR="00296347" w:rsidRPr="0003613D" w:rsidRDefault="00296347" w:rsidP="00296347">
            <w:pPr>
              <w:spacing w:before="100" w:beforeAutospacing="1" w:after="100" w:afterAutospacing="1"/>
              <w:rPr>
                <w:rFonts w:ascii="Arial" w:eastAsia="Times New Roman" w:hAnsi="Arial" w:cs="Arial"/>
                <w:b/>
                <w:bCs/>
                <w:lang w:eastAsia="en-GB"/>
              </w:rPr>
            </w:pPr>
            <w:r w:rsidRPr="0003613D">
              <w:rPr>
                <w:rFonts w:ascii="Arial" w:eastAsia="Times New Roman" w:hAnsi="Arial" w:cs="Arial"/>
                <w:b/>
                <w:bCs/>
                <w:lang w:eastAsia="en-GB"/>
              </w:rPr>
              <w:t>Maisonette</w:t>
            </w:r>
          </w:p>
        </w:tc>
        <w:tc>
          <w:tcPr>
            <w:tcW w:w="1323" w:type="dxa"/>
            <w:noWrap/>
            <w:hideMark/>
          </w:tcPr>
          <w:p w14:paraId="09D0D9E7" w14:textId="77777777" w:rsidR="00296347" w:rsidRPr="0003613D" w:rsidRDefault="00296347" w:rsidP="00296347">
            <w:pPr>
              <w:spacing w:before="100" w:beforeAutospacing="1" w:after="100" w:afterAutospacing="1"/>
              <w:rPr>
                <w:rFonts w:ascii="Arial" w:eastAsia="Times New Roman" w:hAnsi="Arial" w:cs="Arial"/>
                <w:lang w:eastAsia="en-GB"/>
              </w:rPr>
            </w:pPr>
            <w:r w:rsidRPr="0003613D">
              <w:rPr>
                <w:rFonts w:ascii="Arial" w:eastAsia="Times New Roman" w:hAnsi="Arial" w:cs="Arial"/>
                <w:lang w:eastAsia="en-GB"/>
              </w:rPr>
              <w:t>8</w:t>
            </w:r>
          </w:p>
        </w:tc>
        <w:tc>
          <w:tcPr>
            <w:tcW w:w="1323" w:type="dxa"/>
            <w:noWrap/>
            <w:hideMark/>
          </w:tcPr>
          <w:p w14:paraId="2C44250C" w14:textId="77777777" w:rsidR="00296347" w:rsidRPr="0003613D" w:rsidRDefault="00296347" w:rsidP="00296347">
            <w:pPr>
              <w:spacing w:before="100" w:beforeAutospacing="1" w:after="100" w:afterAutospacing="1"/>
              <w:rPr>
                <w:rFonts w:ascii="Arial" w:eastAsia="Times New Roman" w:hAnsi="Arial" w:cs="Arial"/>
                <w:lang w:eastAsia="en-GB"/>
              </w:rPr>
            </w:pPr>
            <w:r w:rsidRPr="0003613D">
              <w:rPr>
                <w:rFonts w:ascii="Arial" w:eastAsia="Times New Roman" w:hAnsi="Arial" w:cs="Arial"/>
                <w:lang w:eastAsia="en-GB"/>
              </w:rPr>
              <w:t>9</w:t>
            </w:r>
          </w:p>
        </w:tc>
        <w:tc>
          <w:tcPr>
            <w:tcW w:w="1323" w:type="dxa"/>
            <w:noWrap/>
            <w:hideMark/>
          </w:tcPr>
          <w:p w14:paraId="4D4E04B1" w14:textId="77777777" w:rsidR="00296347" w:rsidRPr="0003613D" w:rsidRDefault="00296347" w:rsidP="00296347">
            <w:pPr>
              <w:spacing w:before="100" w:beforeAutospacing="1" w:after="100" w:afterAutospacing="1"/>
              <w:rPr>
                <w:rFonts w:ascii="Arial" w:eastAsia="Times New Roman" w:hAnsi="Arial" w:cs="Arial"/>
                <w:lang w:eastAsia="en-GB"/>
              </w:rPr>
            </w:pPr>
            <w:r w:rsidRPr="0003613D">
              <w:rPr>
                <w:rFonts w:ascii="Arial" w:eastAsia="Times New Roman" w:hAnsi="Arial" w:cs="Arial"/>
                <w:lang w:eastAsia="en-GB"/>
              </w:rPr>
              <w:t>8</w:t>
            </w:r>
          </w:p>
        </w:tc>
        <w:tc>
          <w:tcPr>
            <w:tcW w:w="1173" w:type="dxa"/>
            <w:noWrap/>
            <w:hideMark/>
          </w:tcPr>
          <w:p w14:paraId="4516D125" w14:textId="77777777" w:rsidR="00296347" w:rsidRPr="0003613D" w:rsidRDefault="00296347" w:rsidP="00296347">
            <w:pPr>
              <w:spacing w:before="100" w:beforeAutospacing="1" w:after="100" w:afterAutospacing="1"/>
              <w:rPr>
                <w:rFonts w:ascii="Arial" w:eastAsia="Times New Roman" w:hAnsi="Arial" w:cs="Arial"/>
                <w:lang w:eastAsia="en-GB"/>
              </w:rPr>
            </w:pPr>
            <w:r w:rsidRPr="0003613D">
              <w:rPr>
                <w:rFonts w:ascii="Arial" w:eastAsia="Times New Roman" w:hAnsi="Arial" w:cs="Arial"/>
                <w:lang w:eastAsia="en-GB"/>
              </w:rPr>
              <w:t>25</w:t>
            </w:r>
          </w:p>
        </w:tc>
      </w:tr>
    </w:tbl>
    <w:p w14:paraId="2F3B2584" w14:textId="77777777" w:rsidR="00296347" w:rsidRPr="0003613D" w:rsidRDefault="00296347" w:rsidP="00296347">
      <w:pPr>
        <w:numPr>
          <w:ilvl w:val="0"/>
          <w:numId w:val="36"/>
        </w:numPr>
        <w:spacing w:before="100" w:beforeAutospacing="1" w:after="100" w:afterAutospacing="1" w:line="240" w:lineRule="auto"/>
        <w:rPr>
          <w:rFonts w:ascii="Arial" w:eastAsia="Times New Roman" w:hAnsi="Arial" w:cs="Arial"/>
          <w:sz w:val="24"/>
          <w:szCs w:val="24"/>
          <w:lang w:eastAsia="en-GB"/>
        </w:rPr>
      </w:pPr>
      <w:r w:rsidRPr="0003613D">
        <w:rPr>
          <w:rFonts w:ascii="Arial" w:eastAsia="Times New Roman" w:hAnsi="Arial" w:cs="Arial"/>
          <w:b/>
          <w:bCs/>
          <w:sz w:val="24"/>
          <w:szCs w:val="24"/>
          <w:lang w:eastAsia="en-GB"/>
        </w:rPr>
        <w:t>Flats</w:t>
      </w:r>
      <w:r w:rsidRPr="0003613D">
        <w:rPr>
          <w:rFonts w:ascii="Arial" w:eastAsia="Times New Roman" w:hAnsi="Arial" w:cs="Arial"/>
          <w:sz w:val="24"/>
          <w:szCs w:val="24"/>
          <w:lang w:eastAsia="en-GB"/>
        </w:rPr>
        <w:t xml:space="preserve"> made up the largest proportion of housing association lettings, with 110 in 2022/23, rising slightly to 115 in 2023/24, then dropping to 95 in 2024/25. This reflects strong demand for flats but also a noticeable reduction in the latest year, likely due to fewer voids or lower advert volumes.</w:t>
      </w:r>
    </w:p>
    <w:p w14:paraId="0B1AF832" w14:textId="77777777" w:rsidR="00296347" w:rsidRPr="0003613D" w:rsidRDefault="00296347" w:rsidP="00296347">
      <w:pPr>
        <w:numPr>
          <w:ilvl w:val="0"/>
          <w:numId w:val="36"/>
        </w:numPr>
        <w:spacing w:before="100" w:beforeAutospacing="1" w:after="100" w:afterAutospacing="1" w:line="240" w:lineRule="auto"/>
        <w:rPr>
          <w:rFonts w:ascii="Arial" w:eastAsia="Times New Roman" w:hAnsi="Arial" w:cs="Arial"/>
          <w:sz w:val="24"/>
          <w:szCs w:val="24"/>
          <w:lang w:eastAsia="en-GB"/>
        </w:rPr>
      </w:pPr>
      <w:r w:rsidRPr="0003613D">
        <w:rPr>
          <w:rFonts w:ascii="Arial" w:eastAsia="Times New Roman" w:hAnsi="Arial" w:cs="Arial"/>
          <w:b/>
          <w:bCs/>
          <w:sz w:val="24"/>
          <w:szCs w:val="24"/>
          <w:lang w:eastAsia="en-GB"/>
        </w:rPr>
        <w:t>Houses</w:t>
      </w:r>
      <w:r w:rsidRPr="0003613D">
        <w:rPr>
          <w:rFonts w:ascii="Arial" w:eastAsia="Times New Roman" w:hAnsi="Arial" w:cs="Arial"/>
          <w:sz w:val="24"/>
          <w:szCs w:val="24"/>
          <w:lang w:eastAsia="en-GB"/>
        </w:rPr>
        <w:t xml:space="preserve"> showed a steady decline from 75 to 65 lettings over the three years, indicating low turnover in family-sized housing association homes. This reinforces the ongoing challenge of meeting the needs of larger households and highlights the importance of maintaining a flow of relets alongside new supply.</w:t>
      </w:r>
    </w:p>
    <w:p w14:paraId="24B05555" w14:textId="77777777" w:rsidR="00296347" w:rsidRPr="0003613D" w:rsidRDefault="00296347" w:rsidP="00296347">
      <w:pPr>
        <w:numPr>
          <w:ilvl w:val="0"/>
          <w:numId w:val="36"/>
        </w:numPr>
        <w:spacing w:before="100" w:beforeAutospacing="1" w:after="100" w:afterAutospacing="1" w:line="240" w:lineRule="auto"/>
        <w:rPr>
          <w:rFonts w:ascii="Arial" w:eastAsia="Times New Roman" w:hAnsi="Arial" w:cs="Arial"/>
          <w:sz w:val="24"/>
          <w:szCs w:val="24"/>
          <w:lang w:eastAsia="en-GB"/>
        </w:rPr>
      </w:pPr>
      <w:r w:rsidRPr="0003613D">
        <w:rPr>
          <w:rFonts w:ascii="Arial" w:eastAsia="Times New Roman" w:hAnsi="Arial" w:cs="Arial"/>
          <w:b/>
          <w:bCs/>
          <w:sz w:val="24"/>
          <w:szCs w:val="24"/>
          <w:lang w:eastAsia="en-GB"/>
        </w:rPr>
        <w:t>Bungalows</w:t>
      </w:r>
      <w:r w:rsidRPr="0003613D">
        <w:rPr>
          <w:rFonts w:ascii="Arial" w:eastAsia="Times New Roman" w:hAnsi="Arial" w:cs="Arial"/>
          <w:sz w:val="24"/>
          <w:szCs w:val="24"/>
          <w:lang w:eastAsia="en-GB"/>
        </w:rPr>
        <w:t xml:space="preserve"> were consistently low, moving from 30 to 28, then 27 lettings, pointing to limited availability or slower turnover in accessible housing association stock.</w:t>
      </w:r>
    </w:p>
    <w:p w14:paraId="1BC65614" w14:textId="77777777" w:rsidR="00296347" w:rsidRPr="0003613D" w:rsidRDefault="00296347" w:rsidP="00296347">
      <w:pPr>
        <w:numPr>
          <w:ilvl w:val="0"/>
          <w:numId w:val="36"/>
        </w:numPr>
        <w:spacing w:before="100" w:beforeAutospacing="1" w:after="100" w:afterAutospacing="1" w:line="240" w:lineRule="auto"/>
        <w:rPr>
          <w:rFonts w:ascii="Arial" w:eastAsia="Times New Roman" w:hAnsi="Arial" w:cs="Arial"/>
          <w:sz w:val="24"/>
          <w:szCs w:val="24"/>
          <w:lang w:eastAsia="en-GB"/>
        </w:rPr>
      </w:pPr>
      <w:r w:rsidRPr="0003613D">
        <w:rPr>
          <w:rFonts w:ascii="Arial" w:eastAsia="Times New Roman" w:hAnsi="Arial" w:cs="Arial"/>
          <w:b/>
          <w:bCs/>
          <w:sz w:val="24"/>
          <w:szCs w:val="24"/>
          <w:lang w:eastAsia="en-GB"/>
        </w:rPr>
        <w:lastRenderedPageBreak/>
        <w:t>Maisonettes</w:t>
      </w:r>
      <w:r w:rsidRPr="0003613D">
        <w:rPr>
          <w:rFonts w:ascii="Arial" w:eastAsia="Times New Roman" w:hAnsi="Arial" w:cs="Arial"/>
          <w:sz w:val="24"/>
          <w:szCs w:val="24"/>
          <w:lang w:eastAsia="en-GB"/>
        </w:rPr>
        <w:t xml:space="preserve"> remained very marginal, with just 8–9 lettings per year. Low numbers suggest both limited stock and niche demand, indicating minimal strategic impact unless targeted to specific household types.</w:t>
      </w:r>
    </w:p>
    <w:p w14:paraId="22E0F996" w14:textId="77777777" w:rsidR="00296347" w:rsidRPr="0003613D" w:rsidRDefault="00296347" w:rsidP="00296347">
      <w:pPr>
        <w:spacing w:before="100" w:beforeAutospacing="1" w:after="100" w:afterAutospacing="1" w:line="240" w:lineRule="auto"/>
        <w:rPr>
          <w:rFonts w:ascii="Arial" w:eastAsia="Times New Roman" w:hAnsi="Arial" w:cs="Arial"/>
          <w:sz w:val="24"/>
          <w:szCs w:val="24"/>
          <w:lang w:eastAsia="en-GB"/>
        </w:rPr>
      </w:pPr>
      <w:r w:rsidRPr="0003613D">
        <w:rPr>
          <w:rFonts w:ascii="Arial" w:eastAsia="Times New Roman" w:hAnsi="Arial" w:cs="Arial"/>
          <w:b/>
          <w:bCs/>
          <w:sz w:val="24"/>
          <w:szCs w:val="24"/>
          <w:lang w:eastAsia="en-GB"/>
        </w:rPr>
        <w:t>Overall Trends</w:t>
      </w:r>
      <w:r w:rsidRPr="0003613D">
        <w:rPr>
          <w:rFonts w:ascii="Arial" w:eastAsia="Times New Roman" w:hAnsi="Arial" w:cs="Arial"/>
          <w:sz w:val="24"/>
          <w:szCs w:val="24"/>
          <w:lang w:eastAsia="en-GB"/>
        </w:rPr>
        <w:t>: Total housing association lettings fell from 222 in 2023/24 to 195 in 2024/25, a reduction of 27 lets, primarily driven by flats (–20) and houses (–5). Unlike council lettings, bungalows did not increase in the latest year, highlighting differences in stock mix or allocation priorities. These patterns underline the need for ongoing engagement with housing associations to ensure accessible and family housing supply aligns with local demand pressures.</w:t>
      </w:r>
    </w:p>
    <w:p w14:paraId="2BD3AB70" w14:textId="77777777" w:rsidR="00296347" w:rsidRPr="0003613D" w:rsidRDefault="00296347" w:rsidP="00296347">
      <w:pPr>
        <w:spacing w:before="100" w:beforeAutospacing="1" w:after="100" w:afterAutospacing="1" w:line="240" w:lineRule="auto"/>
        <w:rPr>
          <w:rFonts w:ascii="Arial" w:eastAsia="Times New Roman" w:hAnsi="Arial" w:cs="Arial"/>
          <w:b/>
          <w:bCs/>
          <w:color w:val="0070C0"/>
          <w:sz w:val="32"/>
          <w:szCs w:val="32"/>
          <w:u w:val="single"/>
          <w:lang w:eastAsia="en-GB"/>
        </w:rPr>
      </w:pPr>
      <w:r w:rsidRPr="0003613D">
        <w:rPr>
          <w:rFonts w:ascii="Arial" w:eastAsia="Times New Roman" w:hAnsi="Arial" w:cs="Arial"/>
          <w:b/>
          <w:bCs/>
          <w:color w:val="0070C0"/>
          <w:sz w:val="32"/>
          <w:szCs w:val="32"/>
          <w:u w:val="single"/>
          <w:lang w:eastAsia="en-GB"/>
        </w:rPr>
        <w:t>Key Issues and Implications from Affordable Housing Lettings</w:t>
      </w:r>
    </w:p>
    <w:p w14:paraId="7264A726" w14:textId="77777777" w:rsidR="00296347" w:rsidRPr="0003613D" w:rsidRDefault="00296347" w:rsidP="00296347">
      <w:pPr>
        <w:spacing w:before="100" w:beforeAutospacing="1" w:after="100" w:afterAutospacing="1" w:line="240" w:lineRule="auto"/>
        <w:rPr>
          <w:rFonts w:ascii="Arial" w:eastAsia="Times New Roman" w:hAnsi="Arial" w:cs="Arial"/>
          <w:sz w:val="24"/>
          <w:szCs w:val="24"/>
          <w:lang w:eastAsia="en-GB"/>
        </w:rPr>
      </w:pPr>
      <w:r w:rsidRPr="0003613D">
        <w:rPr>
          <w:rFonts w:ascii="Arial" w:eastAsia="Times New Roman" w:hAnsi="Arial" w:cs="Arial"/>
          <w:sz w:val="24"/>
          <w:szCs w:val="24"/>
          <w:lang w:eastAsia="en-GB"/>
        </w:rPr>
        <w:t>Analysis of Sandwell’s social housing lettings—across both council and housing association stock—reveals clear patterns in unmet need and areas requiring targeted intervention.</w:t>
      </w:r>
    </w:p>
    <w:p w14:paraId="1A6D573D" w14:textId="77777777" w:rsidR="00296347" w:rsidRPr="0003613D" w:rsidRDefault="00296347" w:rsidP="00296347">
      <w:pPr>
        <w:numPr>
          <w:ilvl w:val="0"/>
          <w:numId w:val="37"/>
        </w:numPr>
        <w:spacing w:before="100" w:beforeAutospacing="1" w:after="100" w:afterAutospacing="1" w:line="240" w:lineRule="auto"/>
        <w:rPr>
          <w:rFonts w:ascii="Arial" w:eastAsia="Times New Roman" w:hAnsi="Arial" w:cs="Arial"/>
          <w:sz w:val="24"/>
          <w:szCs w:val="24"/>
          <w:lang w:eastAsia="en-GB"/>
        </w:rPr>
      </w:pPr>
      <w:r w:rsidRPr="0003613D">
        <w:rPr>
          <w:rFonts w:ascii="Arial" w:eastAsia="Times New Roman" w:hAnsi="Arial" w:cs="Arial"/>
          <w:b/>
          <w:bCs/>
          <w:sz w:val="24"/>
          <w:szCs w:val="24"/>
          <w:lang w:eastAsia="en-GB"/>
        </w:rPr>
        <w:t>High Turnover vs. Unmet Need</w:t>
      </w:r>
      <w:r w:rsidRPr="0003613D">
        <w:rPr>
          <w:rFonts w:ascii="Arial" w:eastAsia="Times New Roman" w:hAnsi="Arial" w:cs="Arial"/>
          <w:sz w:val="24"/>
          <w:szCs w:val="24"/>
          <w:lang w:eastAsia="en-GB"/>
        </w:rPr>
        <w:br/>
        <w:t>While one-bedroom flats account for the largest share of lets, these units are generally relet quickly. This indicates that, although demand appears high, the system is able to meet need relatively efficiently in this category. Investment in additional one-bedroom flats, while supporting choice, may not address the most pressing shortages in the borough.</w:t>
      </w:r>
    </w:p>
    <w:p w14:paraId="6FB89181" w14:textId="77777777" w:rsidR="00296347" w:rsidRPr="0003613D" w:rsidRDefault="00296347" w:rsidP="00296347">
      <w:pPr>
        <w:numPr>
          <w:ilvl w:val="0"/>
          <w:numId w:val="37"/>
        </w:numPr>
        <w:spacing w:before="100" w:beforeAutospacing="1" w:after="100" w:afterAutospacing="1" w:line="240" w:lineRule="auto"/>
        <w:rPr>
          <w:rFonts w:ascii="Arial" w:eastAsia="Times New Roman" w:hAnsi="Arial" w:cs="Arial"/>
          <w:sz w:val="24"/>
          <w:szCs w:val="24"/>
          <w:lang w:eastAsia="en-GB"/>
        </w:rPr>
      </w:pPr>
      <w:r w:rsidRPr="0003613D">
        <w:rPr>
          <w:rFonts w:ascii="Arial" w:eastAsia="Times New Roman" w:hAnsi="Arial" w:cs="Arial"/>
          <w:b/>
          <w:bCs/>
          <w:sz w:val="24"/>
          <w:szCs w:val="24"/>
          <w:lang w:eastAsia="en-GB"/>
        </w:rPr>
        <w:t>Family-sized Properties as a Critical Bottleneck</w:t>
      </w:r>
      <w:r w:rsidRPr="0003613D">
        <w:rPr>
          <w:rFonts w:ascii="Arial" w:eastAsia="Times New Roman" w:hAnsi="Arial" w:cs="Arial"/>
          <w:sz w:val="24"/>
          <w:szCs w:val="24"/>
          <w:lang w:eastAsia="en-GB"/>
        </w:rPr>
        <w:br/>
        <w:t>Three- and four-bedroom houses, along with larger flats, show dramatically longer waiting times, particularly for households in priority bands 2 and 3. Despite lower absolute demand than for one-bedroom units, the constrained supply and low turnover create a backlog that prevents families from being housed appropriately. Policy and investment should focus on increasing the supply of family-sized homes, including both new builds and acquisitions.</w:t>
      </w:r>
    </w:p>
    <w:p w14:paraId="16B2F39B" w14:textId="77777777" w:rsidR="00296347" w:rsidRPr="0003613D" w:rsidRDefault="00296347" w:rsidP="00296347">
      <w:pPr>
        <w:numPr>
          <w:ilvl w:val="0"/>
          <w:numId w:val="37"/>
        </w:numPr>
        <w:spacing w:before="100" w:beforeAutospacing="1" w:after="100" w:afterAutospacing="1" w:line="240" w:lineRule="auto"/>
        <w:rPr>
          <w:rFonts w:ascii="Arial" w:eastAsia="Times New Roman" w:hAnsi="Arial" w:cs="Arial"/>
          <w:sz w:val="24"/>
          <w:szCs w:val="24"/>
          <w:lang w:eastAsia="en-GB"/>
        </w:rPr>
      </w:pPr>
      <w:r w:rsidRPr="0003613D">
        <w:rPr>
          <w:rFonts w:ascii="Arial" w:eastAsia="Times New Roman" w:hAnsi="Arial" w:cs="Arial"/>
          <w:b/>
          <w:bCs/>
          <w:sz w:val="24"/>
          <w:szCs w:val="24"/>
          <w:lang w:eastAsia="en-GB"/>
        </w:rPr>
        <w:t>Accessible and Older Person Housing</w:t>
      </w:r>
      <w:r w:rsidRPr="0003613D">
        <w:rPr>
          <w:rFonts w:ascii="Arial" w:eastAsia="Times New Roman" w:hAnsi="Arial" w:cs="Arial"/>
          <w:sz w:val="24"/>
          <w:szCs w:val="24"/>
          <w:lang w:eastAsia="en-GB"/>
        </w:rPr>
        <w:br/>
        <w:t>Bungalow lettings have remained relatively low but show a small rebound in 2024/25, reflecting targeted allocations for older or mobility-impaired households. The slow turnover of these properties suggests a continuing need for accessible homes, highlighting that strategies to deliver purpose-built, accessible housing remain essential.</w:t>
      </w:r>
    </w:p>
    <w:p w14:paraId="6A3850F5" w14:textId="77777777" w:rsidR="00296347" w:rsidRPr="0003613D" w:rsidRDefault="00296347" w:rsidP="00296347">
      <w:pPr>
        <w:numPr>
          <w:ilvl w:val="0"/>
          <w:numId w:val="37"/>
        </w:numPr>
        <w:spacing w:before="100" w:beforeAutospacing="1" w:after="100" w:afterAutospacing="1" w:line="240" w:lineRule="auto"/>
        <w:rPr>
          <w:rFonts w:ascii="Arial" w:eastAsia="Times New Roman" w:hAnsi="Arial" w:cs="Arial"/>
          <w:sz w:val="24"/>
          <w:szCs w:val="24"/>
          <w:lang w:eastAsia="en-GB"/>
        </w:rPr>
      </w:pPr>
      <w:r w:rsidRPr="0003613D">
        <w:rPr>
          <w:rFonts w:ascii="Arial" w:eastAsia="Times New Roman" w:hAnsi="Arial" w:cs="Arial"/>
          <w:b/>
          <w:bCs/>
          <w:sz w:val="24"/>
          <w:szCs w:val="24"/>
          <w:lang w:eastAsia="en-GB"/>
        </w:rPr>
        <w:t>Housing Association Role and Collaboration</w:t>
      </w:r>
      <w:r w:rsidRPr="0003613D">
        <w:rPr>
          <w:rFonts w:ascii="Arial" w:eastAsia="Times New Roman" w:hAnsi="Arial" w:cs="Arial"/>
          <w:sz w:val="24"/>
          <w:szCs w:val="24"/>
          <w:lang w:eastAsia="en-GB"/>
        </w:rPr>
        <w:br/>
        <w:t>Housing associations are contributing significant new supply and acquisitions, particularly in the mid- and larger-sized home categories, which has mitigated some pressures. However, council-led development remains crucial, especially for family-sized stock, to prevent persistent waiting times and overcrowding. Strategic coordination between the council and associations will be key to aligning supply with unmet need.</w:t>
      </w:r>
    </w:p>
    <w:p w14:paraId="0D86A411" w14:textId="77777777" w:rsidR="00296347" w:rsidRPr="0003613D" w:rsidRDefault="00296347" w:rsidP="00296347">
      <w:pPr>
        <w:numPr>
          <w:ilvl w:val="0"/>
          <w:numId w:val="37"/>
        </w:numPr>
        <w:spacing w:before="100" w:beforeAutospacing="1" w:after="100" w:afterAutospacing="1" w:line="240" w:lineRule="auto"/>
        <w:rPr>
          <w:rFonts w:ascii="Arial" w:eastAsia="Times New Roman" w:hAnsi="Arial" w:cs="Arial"/>
          <w:sz w:val="24"/>
          <w:szCs w:val="24"/>
          <w:lang w:eastAsia="en-GB"/>
        </w:rPr>
      </w:pPr>
      <w:r w:rsidRPr="0003613D">
        <w:rPr>
          <w:rFonts w:ascii="Arial" w:eastAsia="Times New Roman" w:hAnsi="Arial" w:cs="Arial"/>
          <w:b/>
          <w:bCs/>
          <w:sz w:val="24"/>
          <w:szCs w:val="24"/>
          <w:lang w:eastAsia="en-GB"/>
        </w:rPr>
        <w:t>Emerging Trends and Policy Implications</w:t>
      </w:r>
    </w:p>
    <w:p w14:paraId="0150EA95" w14:textId="77777777" w:rsidR="00296347" w:rsidRPr="0003613D" w:rsidRDefault="00296347" w:rsidP="00296347">
      <w:pPr>
        <w:numPr>
          <w:ilvl w:val="1"/>
          <w:numId w:val="37"/>
        </w:numPr>
        <w:spacing w:before="100" w:beforeAutospacing="1" w:after="100" w:afterAutospacing="1" w:line="240" w:lineRule="auto"/>
        <w:rPr>
          <w:rFonts w:ascii="Arial" w:eastAsia="Times New Roman" w:hAnsi="Arial" w:cs="Arial"/>
          <w:sz w:val="24"/>
          <w:szCs w:val="24"/>
          <w:lang w:eastAsia="en-GB"/>
        </w:rPr>
      </w:pPr>
      <w:r w:rsidRPr="0003613D">
        <w:rPr>
          <w:rFonts w:ascii="Arial" w:eastAsia="Times New Roman" w:hAnsi="Arial" w:cs="Arial"/>
          <w:sz w:val="24"/>
          <w:szCs w:val="24"/>
          <w:lang w:eastAsia="en-GB"/>
        </w:rPr>
        <w:t>Waiting times for family-sized homes and larger flats are increasing, a signal of sustained unmet need that should guide prioritisation in new housing programmes.</w:t>
      </w:r>
    </w:p>
    <w:p w14:paraId="184417C5" w14:textId="77777777" w:rsidR="00296347" w:rsidRPr="0003613D" w:rsidRDefault="00296347" w:rsidP="00296347">
      <w:pPr>
        <w:numPr>
          <w:ilvl w:val="1"/>
          <w:numId w:val="37"/>
        </w:numPr>
        <w:spacing w:before="100" w:beforeAutospacing="1" w:after="100" w:afterAutospacing="1" w:line="240" w:lineRule="auto"/>
        <w:rPr>
          <w:rFonts w:ascii="Arial" w:eastAsia="Times New Roman" w:hAnsi="Arial" w:cs="Arial"/>
          <w:sz w:val="24"/>
          <w:szCs w:val="24"/>
          <w:lang w:eastAsia="en-GB"/>
        </w:rPr>
      </w:pPr>
      <w:r w:rsidRPr="0003613D">
        <w:rPr>
          <w:rFonts w:ascii="Arial" w:eastAsia="Times New Roman" w:hAnsi="Arial" w:cs="Arial"/>
          <w:sz w:val="24"/>
          <w:szCs w:val="24"/>
          <w:lang w:eastAsia="en-GB"/>
        </w:rPr>
        <w:lastRenderedPageBreak/>
        <w:t>One-bedroom properties, despite high turnover, should continue to be delivered to maintain choice for single-person households but should not dominate strategic development decisions.</w:t>
      </w:r>
    </w:p>
    <w:p w14:paraId="0750988B" w14:textId="77777777" w:rsidR="00296347" w:rsidRPr="0003613D" w:rsidRDefault="00296347" w:rsidP="00296347">
      <w:pPr>
        <w:numPr>
          <w:ilvl w:val="1"/>
          <w:numId w:val="37"/>
        </w:numPr>
        <w:spacing w:before="100" w:beforeAutospacing="1" w:after="100" w:afterAutospacing="1" w:line="240" w:lineRule="auto"/>
        <w:rPr>
          <w:rFonts w:ascii="Arial" w:eastAsia="Times New Roman" w:hAnsi="Arial" w:cs="Arial"/>
          <w:sz w:val="24"/>
          <w:szCs w:val="24"/>
          <w:lang w:eastAsia="en-GB"/>
        </w:rPr>
      </w:pPr>
      <w:r w:rsidRPr="0003613D">
        <w:rPr>
          <w:rFonts w:ascii="Arial" w:eastAsia="Times New Roman" w:hAnsi="Arial" w:cs="Arial"/>
          <w:sz w:val="24"/>
          <w:szCs w:val="24"/>
          <w:lang w:eastAsia="en-GB"/>
        </w:rPr>
        <w:t>Accessible homes and adaptable housing must remain a priority to meet the needs of older households and those with mobility requirements.</w:t>
      </w:r>
    </w:p>
    <w:p w14:paraId="394AA0E6" w14:textId="5070229A" w:rsidR="00222651" w:rsidRPr="0003613D" w:rsidRDefault="00296347" w:rsidP="000C3FA9">
      <w:pPr>
        <w:spacing w:before="100" w:beforeAutospacing="1" w:after="100" w:afterAutospacing="1" w:line="240" w:lineRule="auto"/>
        <w:rPr>
          <w:rFonts w:ascii="Arial" w:eastAsia="Times New Roman" w:hAnsi="Arial" w:cs="Arial"/>
          <w:sz w:val="24"/>
          <w:szCs w:val="24"/>
          <w:lang w:eastAsia="en-GB"/>
        </w:rPr>
      </w:pPr>
      <w:r w:rsidRPr="0003613D">
        <w:rPr>
          <w:rFonts w:ascii="Arial" w:eastAsia="Times New Roman" w:hAnsi="Arial" w:cs="Arial"/>
          <w:b/>
          <w:bCs/>
          <w:sz w:val="24"/>
          <w:szCs w:val="24"/>
          <w:lang w:eastAsia="en-GB"/>
        </w:rPr>
        <w:t>Strategic Takeaway:</w:t>
      </w:r>
      <w:r w:rsidRPr="0003613D">
        <w:rPr>
          <w:rFonts w:ascii="Arial" w:eastAsia="Times New Roman" w:hAnsi="Arial" w:cs="Arial"/>
          <w:sz w:val="24"/>
          <w:szCs w:val="24"/>
          <w:lang w:eastAsia="en-GB"/>
        </w:rPr>
        <w:t xml:space="preserve"> Investment decisions should prioritise family-sized homes (three- and four-bedroom), accessible bungalows, and adaptable stock, while maintaining a steady supply of smaller units to meet turnover-driven demand. Policies that improve the flow of larger properties—through new build, buy-backs, or regeneration—will have the greatest impact in reducing waiting times and addressing long-standing unmet need.</w:t>
      </w:r>
    </w:p>
    <w:p w14:paraId="6D13B59C" w14:textId="4C642775" w:rsidR="006B3E4E" w:rsidRPr="0003613D" w:rsidRDefault="006B3E4E">
      <w:pPr>
        <w:rPr>
          <w:rFonts w:ascii="Arial" w:hAnsi="Arial" w:cs="Arial"/>
          <w:b/>
          <w:bCs/>
          <w:color w:val="0070C0"/>
          <w:sz w:val="32"/>
          <w:szCs w:val="32"/>
          <w:u w:val="single"/>
        </w:rPr>
      </w:pPr>
      <w:r w:rsidRPr="0003613D">
        <w:rPr>
          <w:rFonts w:ascii="Arial" w:hAnsi="Arial" w:cs="Arial"/>
          <w:b/>
          <w:bCs/>
          <w:color w:val="0070C0"/>
          <w:sz w:val="32"/>
          <w:szCs w:val="32"/>
          <w:u w:val="single"/>
        </w:rPr>
        <w:t>Sandwell’s Future Social Housing Stock</w:t>
      </w:r>
    </w:p>
    <w:p w14:paraId="02FF3B8C" w14:textId="204DD28D" w:rsidR="008D6DBA" w:rsidRPr="0003613D" w:rsidRDefault="008D6DBA" w:rsidP="008B1CD7">
      <w:pPr>
        <w:spacing w:line="276" w:lineRule="auto"/>
        <w:rPr>
          <w:rFonts w:ascii="Arial" w:eastAsia="Calibri" w:hAnsi="Arial" w:cs="Arial"/>
          <w:b/>
          <w:bCs/>
          <w:iCs/>
          <w:sz w:val="24"/>
          <w:szCs w:val="24"/>
        </w:rPr>
      </w:pPr>
      <w:r w:rsidRPr="0003613D">
        <w:rPr>
          <w:rFonts w:ascii="Arial" w:eastAsia="Calibri" w:hAnsi="Arial" w:cs="Arial"/>
          <w:b/>
          <w:bCs/>
          <w:iCs/>
          <w:sz w:val="24"/>
          <w:szCs w:val="24"/>
        </w:rPr>
        <w:t>Future Housing Stock</w:t>
      </w:r>
    </w:p>
    <w:p w14:paraId="2356601E" w14:textId="5B3D5A25" w:rsidR="00E456C9" w:rsidRPr="0003613D" w:rsidRDefault="00E456C9" w:rsidP="008B1CD7">
      <w:pPr>
        <w:spacing w:line="276" w:lineRule="auto"/>
        <w:rPr>
          <w:rFonts w:ascii="Arial" w:eastAsia="Calibri" w:hAnsi="Arial" w:cs="Arial"/>
          <w:iCs/>
          <w:color w:val="000000" w:themeColor="text1"/>
          <w:sz w:val="24"/>
          <w:szCs w:val="24"/>
        </w:rPr>
      </w:pPr>
      <w:r w:rsidRPr="0003613D">
        <w:rPr>
          <w:rFonts w:ascii="Arial" w:eastAsia="Calibri" w:hAnsi="Arial" w:cs="Arial"/>
          <w:iCs/>
          <w:color w:val="000000" w:themeColor="text1"/>
          <w:sz w:val="24"/>
          <w:szCs w:val="24"/>
        </w:rPr>
        <w:t xml:space="preserve">The Sandwell Housing Market Assessment of 2024 </w:t>
      </w:r>
      <w:r w:rsidR="00FB5B60" w:rsidRPr="0003613D">
        <w:rPr>
          <w:rFonts w:ascii="Arial" w:eastAsia="Calibri" w:hAnsi="Arial" w:cs="Arial"/>
          <w:iCs/>
          <w:color w:val="000000" w:themeColor="text1"/>
          <w:sz w:val="24"/>
          <w:szCs w:val="24"/>
        </w:rPr>
        <w:t xml:space="preserve">projects </w:t>
      </w:r>
      <w:r w:rsidRPr="0003613D">
        <w:rPr>
          <w:rFonts w:ascii="Arial" w:eastAsia="Calibri" w:hAnsi="Arial" w:cs="Arial"/>
          <w:iCs/>
          <w:color w:val="000000" w:themeColor="text1"/>
          <w:sz w:val="24"/>
          <w:szCs w:val="24"/>
        </w:rPr>
        <w:t>that by 2041, 39,726 social housing and affordable housing units for</w:t>
      </w:r>
      <w:r w:rsidR="00FB5B60" w:rsidRPr="0003613D">
        <w:rPr>
          <w:rFonts w:ascii="Arial" w:eastAsia="Calibri" w:hAnsi="Arial" w:cs="Arial"/>
          <w:iCs/>
          <w:color w:val="000000" w:themeColor="text1"/>
          <w:sz w:val="24"/>
          <w:szCs w:val="24"/>
        </w:rPr>
        <w:t xml:space="preserve"> </w:t>
      </w:r>
      <w:r w:rsidRPr="0003613D">
        <w:rPr>
          <w:rFonts w:ascii="Arial" w:eastAsia="Calibri" w:hAnsi="Arial" w:cs="Arial"/>
          <w:iCs/>
          <w:color w:val="000000" w:themeColor="text1"/>
          <w:sz w:val="24"/>
          <w:szCs w:val="24"/>
        </w:rPr>
        <w:t>renting will be required</w:t>
      </w:r>
      <w:r w:rsidR="00FC1ED6" w:rsidRPr="0003613D">
        <w:rPr>
          <w:rFonts w:ascii="Arial" w:eastAsia="Calibri" w:hAnsi="Arial" w:cs="Arial"/>
          <w:iCs/>
          <w:color w:val="000000" w:themeColor="text1"/>
          <w:sz w:val="24"/>
          <w:szCs w:val="24"/>
        </w:rPr>
        <w:t xml:space="preserve"> [24]</w:t>
      </w:r>
      <w:r w:rsidRPr="0003613D">
        <w:rPr>
          <w:rFonts w:ascii="Arial" w:eastAsia="Calibri" w:hAnsi="Arial" w:cs="Arial"/>
          <w:iCs/>
          <w:color w:val="000000" w:themeColor="text1"/>
          <w:sz w:val="24"/>
          <w:szCs w:val="24"/>
        </w:rPr>
        <w:t xml:space="preserve">. According to the data, there are currently 35,117 rented social housing and affordable housing units in the borough. </w:t>
      </w:r>
      <w:r w:rsidR="00FB5B60" w:rsidRPr="0003613D">
        <w:rPr>
          <w:rFonts w:ascii="Arial" w:eastAsia="Calibri" w:hAnsi="Arial" w:cs="Arial"/>
          <w:iCs/>
          <w:color w:val="000000" w:themeColor="text1"/>
          <w:sz w:val="24"/>
          <w:szCs w:val="24"/>
        </w:rPr>
        <w:t xml:space="preserve">Projections indicate </w:t>
      </w:r>
      <w:r w:rsidRPr="0003613D">
        <w:rPr>
          <w:rFonts w:ascii="Arial" w:eastAsia="Calibri" w:hAnsi="Arial" w:cs="Arial"/>
          <w:iCs/>
          <w:color w:val="000000" w:themeColor="text1"/>
          <w:sz w:val="24"/>
          <w:szCs w:val="24"/>
        </w:rPr>
        <w:t xml:space="preserve">that 4,609 additional </w:t>
      </w:r>
      <w:r w:rsidR="00FB5B60" w:rsidRPr="0003613D">
        <w:rPr>
          <w:rFonts w:ascii="Arial" w:eastAsia="Calibri" w:hAnsi="Arial" w:cs="Arial"/>
          <w:iCs/>
          <w:color w:val="000000" w:themeColor="text1"/>
          <w:sz w:val="24"/>
          <w:szCs w:val="24"/>
        </w:rPr>
        <w:t xml:space="preserve">affordable and social </w:t>
      </w:r>
      <w:r w:rsidRPr="0003613D">
        <w:rPr>
          <w:rFonts w:ascii="Arial" w:eastAsia="Calibri" w:hAnsi="Arial" w:cs="Arial"/>
          <w:iCs/>
          <w:color w:val="000000" w:themeColor="text1"/>
          <w:sz w:val="24"/>
          <w:szCs w:val="24"/>
        </w:rPr>
        <w:t xml:space="preserve">housing units will be needed by the year 2041. </w:t>
      </w:r>
    </w:p>
    <w:p w14:paraId="47B44E39" w14:textId="5B6C7519" w:rsidR="00FB5B60" w:rsidRPr="0003613D" w:rsidRDefault="00FB5B60" w:rsidP="00FB5B60">
      <w:pPr>
        <w:spacing w:line="276" w:lineRule="auto"/>
        <w:rPr>
          <w:rFonts w:ascii="Arial" w:eastAsia="Calibri" w:hAnsi="Arial" w:cs="Arial"/>
          <w:iCs/>
          <w:color w:val="000000" w:themeColor="text1"/>
          <w:sz w:val="24"/>
          <w:szCs w:val="24"/>
        </w:rPr>
      </w:pPr>
      <w:r w:rsidRPr="0003613D">
        <w:rPr>
          <w:rFonts w:ascii="Arial" w:eastAsia="Calibri" w:hAnsi="Arial" w:cs="Arial"/>
          <w:iCs/>
          <w:color w:val="000000" w:themeColor="text1"/>
          <w:sz w:val="24"/>
          <w:szCs w:val="24"/>
        </w:rPr>
        <w:t xml:space="preserve">The table below shows the </w:t>
      </w:r>
      <w:r w:rsidR="00030169" w:rsidRPr="0003613D">
        <w:rPr>
          <w:rFonts w:ascii="Arial" w:eastAsia="Calibri" w:hAnsi="Arial" w:cs="Arial"/>
          <w:iCs/>
          <w:color w:val="000000" w:themeColor="text1"/>
          <w:sz w:val="24"/>
          <w:szCs w:val="24"/>
        </w:rPr>
        <w:t xml:space="preserve">projections for the </w:t>
      </w:r>
      <w:r w:rsidRPr="0003613D">
        <w:rPr>
          <w:rFonts w:ascii="Arial" w:eastAsia="Calibri" w:hAnsi="Arial" w:cs="Arial"/>
          <w:iCs/>
          <w:color w:val="000000" w:themeColor="text1"/>
          <w:sz w:val="24"/>
          <w:szCs w:val="24"/>
        </w:rPr>
        <w:t>size of accommodation required in the affordable rented/social rented sector in Sandwell in 2041</w:t>
      </w:r>
      <w:r w:rsidR="00FC1ED6" w:rsidRPr="0003613D">
        <w:rPr>
          <w:rFonts w:ascii="Arial" w:eastAsia="Calibri" w:hAnsi="Arial" w:cs="Arial"/>
          <w:iCs/>
          <w:color w:val="000000" w:themeColor="text1"/>
          <w:sz w:val="24"/>
          <w:szCs w:val="24"/>
        </w:rPr>
        <w:t xml:space="preserve"> [25]</w:t>
      </w:r>
      <w:r w:rsidRPr="0003613D">
        <w:rPr>
          <w:rFonts w:ascii="Arial" w:eastAsia="Calibri" w:hAnsi="Arial" w:cs="Arial"/>
          <w:iCs/>
          <w:color w:val="000000" w:themeColor="text1"/>
          <w:sz w:val="24"/>
          <w:szCs w:val="24"/>
        </w:rPr>
        <w:t xml:space="preserve">. The table shows that of the 4,609 additional units required, 34.5% should be four bedroom properties with a further 25.6% </w:t>
      </w:r>
      <w:r w:rsidR="00AD19C6" w:rsidRPr="0003613D">
        <w:rPr>
          <w:rFonts w:ascii="Arial" w:eastAsia="Calibri" w:hAnsi="Arial" w:cs="Arial"/>
          <w:iCs/>
          <w:color w:val="000000" w:themeColor="text1"/>
          <w:sz w:val="24"/>
          <w:szCs w:val="24"/>
        </w:rPr>
        <w:t xml:space="preserve">as </w:t>
      </w:r>
      <w:r w:rsidRPr="0003613D">
        <w:rPr>
          <w:rFonts w:ascii="Arial" w:eastAsia="Calibri" w:hAnsi="Arial" w:cs="Arial"/>
          <w:iCs/>
          <w:color w:val="000000" w:themeColor="text1"/>
          <w:sz w:val="24"/>
          <w:szCs w:val="24"/>
        </w:rPr>
        <w:t xml:space="preserve">one bedroom accommodation. </w:t>
      </w:r>
      <w:r w:rsidR="00AD19C6" w:rsidRPr="0003613D">
        <w:rPr>
          <w:rFonts w:ascii="Arial" w:eastAsia="Calibri" w:hAnsi="Arial" w:cs="Arial"/>
          <w:iCs/>
          <w:color w:val="000000" w:themeColor="text1"/>
          <w:sz w:val="24"/>
          <w:szCs w:val="24"/>
        </w:rPr>
        <w:t xml:space="preserve">The projections indicate that </w:t>
      </w:r>
      <w:r w:rsidRPr="0003613D">
        <w:rPr>
          <w:rFonts w:ascii="Arial" w:eastAsia="Calibri" w:hAnsi="Arial" w:cs="Arial"/>
          <w:iCs/>
          <w:color w:val="000000" w:themeColor="text1"/>
          <w:sz w:val="24"/>
          <w:szCs w:val="24"/>
        </w:rPr>
        <w:t xml:space="preserve">20.3% should have three bedrooms and 19.6% should have two bedrooms. </w:t>
      </w:r>
      <w:r w:rsidR="00AD19C6" w:rsidRPr="0003613D">
        <w:rPr>
          <w:rFonts w:ascii="Arial" w:eastAsia="Calibri" w:hAnsi="Arial" w:cs="Arial"/>
          <w:iCs/>
          <w:color w:val="000000" w:themeColor="text1"/>
          <w:sz w:val="24"/>
          <w:szCs w:val="24"/>
        </w:rPr>
        <w:t xml:space="preserve">The future projections do not account for </w:t>
      </w:r>
      <w:r w:rsidR="00030169" w:rsidRPr="0003613D">
        <w:rPr>
          <w:rFonts w:ascii="Arial" w:eastAsia="Calibri" w:hAnsi="Arial" w:cs="Arial"/>
          <w:iCs/>
          <w:color w:val="000000" w:themeColor="text1"/>
          <w:sz w:val="24"/>
          <w:szCs w:val="24"/>
        </w:rPr>
        <w:t xml:space="preserve">future </w:t>
      </w:r>
      <w:r w:rsidR="00AD19C6" w:rsidRPr="0003613D">
        <w:rPr>
          <w:rFonts w:ascii="Arial" w:eastAsia="Calibri" w:hAnsi="Arial" w:cs="Arial"/>
          <w:iCs/>
          <w:color w:val="000000" w:themeColor="text1"/>
          <w:sz w:val="24"/>
          <w:szCs w:val="24"/>
        </w:rPr>
        <w:t xml:space="preserve">socially rented properties lost through the Right to Buy scheme. </w:t>
      </w:r>
    </w:p>
    <w:tbl>
      <w:tblPr>
        <w:tblStyle w:val="TableGrid"/>
        <w:tblW w:w="0" w:type="auto"/>
        <w:tblLook w:val="04A0" w:firstRow="1" w:lastRow="0" w:firstColumn="1" w:lastColumn="0" w:noHBand="0" w:noVBand="1"/>
      </w:tblPr>
      <w:tblGrid>
        <w:gridCol w:w="1803"/>
        <w:gridCol w:w="1803"/>
        <w:gridCol w:w="1803"/>
        <w:gridCol w:w="1803"/>
        <w:gridCol w:w="1804"/>
      </w:tblGrid>
      <w:tr w:rsidR="00030169" w:rsidRPr="0003613D" w14:paraId="07DFE741" w14:textId="77777777" w:rsidTr="00030169">
        <w:tc>
          <w:tcPr>
            <w:tcW w:w="1803" w:type="dxa"/>
          </w:tcPr>
          <w:p w14:paraId="074AF696" w14:textId="1365633A" w:rsidR="00030169" w:rsidRPr="0003613D" w:rsidRDefault="00030169" w:rsidP="00FB5B60">
            <w:pPr>
              <w:spacing w:line="276" w:lineRule="auto"/>
              <w:rPr>
                <w:rFonts w:ascii="Arial" w:eastAsia="Calibri" w:hAnsi="Arial" w:cs="Arial"/>
                <w:iCs/>
                <w:color w:val="000000" w:themeColor="text1"/>
                <w:sz w:val="24"/>
                <w:szCs w:val="24"/>
              </w:rPr>
            </w:pPr>
            <w:r w:rsidRPr="0003613D">
              <w:rPr>
                <w:rFonts w:ascii="Arial" w:eastAsia="Calibri" w:hAnsi="Arial" w:cs="Arial"/>
                <w:iCs/>
                <w:color w:val="000000" w:themeColor="text1"/>
                <w:sz w:val="24"/>
                <w:szCs w:val="24"/>
              </w:rPr>
              <w:t>Size of home</w:t>
            </w:r>
          </w:p>
        </w:tc>
        <w:tc>
          <w:tcPr>
            <w:tcW w:w="1803" w:type="dxa"/>
          </w:tcPr>
          <w:p w14:paraId="61E29DA6" w14:textId="13AB4D1E" w:rsidR="00030169" w:rsidRPr="0003613D" w:rsidRDefault="00030169" w:rsidP="00FB5B60">
            <w:pPr>
              <w:spacing w:line="276" w:lineRule="auto"/>
              <w:rPr>
                <w:rFonts w:ascii="Arial" w:eastAsia="Calibri" w:hAnsi="Arial" w:cs="Arial"/>
                <w:iCs/>
                <w:color w:val="000000" w:themeColor="text1"/>
                <w:sz w:val="24"/>
                <w:szCs w:val="24"/>
              </w:rPr>
            </w:pPr>
            <w:r w:rsidRPr="0003613D">
              <w:rPr>
                <w:rFonts w:ascii="Arial" w:eastAsia="Calibri" w:hAnsi="Arial" w:cs="Arial"/>
                <w:iCs/>
                <w:color w:val="000000" w:themeColor="text1"/>
                <w:sz w:val="24"/>
                <w:szCs w:val="24"/>
              </w:rPr>
              <w:t>2024</w:t>
            </w:r>
          </w:p>
        </w:tc>
        <w:tc>
          <w:tcPr>
            <w:tcW w:w="1803" w:type="dxa"/>
          </w:tcPr>
          <w:p w14:paraId="4DC6DC3F" w14:textId="1EF15E44" w:rsidR="00030169" w:rsidRPr="0003613D" w:rsidRDefault="00030169" w:rsidP="00FB5B60">
            <w:pPr>
              <w:spacing w:line="276" w:lineRule="auto"/>
              <w:rPr>
                <w:rFonts w:ascii="Arial" w:eastAsia="Calibri" w:hAnsi="Arial" w:cs="Arial"/>
                <w:iCs/>
                <w:color w:val="000000" w:themeColor="text1"/>
                <w:sz w:val="24"/>
                <w:szCs w:val="24"/>
              </w:rPr>
            </w:pPr>
            <w:r w:rsidRPr="0003613D">
              <w:rPr>
                <w:rFonts w:ascii="Arial" w:eastAsia="Calibri" w:hAnsi="Arial" w:cs="Arial"/>
                <w:iCs/>
                <w:color w:val="000000" w:themeColor="text1"/>
                <w:sz w:val="24"/>
                <w:szCs w:val="24"/>
              </w:rPr>
              <w:t>2041 (required)</w:t>
            </w:r>
          </w:p>
        </w:tc>
        <w:tc>
          <w:tcPr>
            <w:tcW w:w="1803" w:type="dxa"/>
          </w:tcPr>
          <w:p w14:paraId="60FC28CA" w14:textId="075DF551" w:rsidR="00030169" w:rsidRPr="0003613D" w:rsidRDefault="00030169" w:rsidP="00FB5B60">
            <w:pPr>
              <w:spacing w:line="276" w:lineRule="auto"/>
              <w:rPr>
                <w:rFonts w:ascii="Arial" w:eastAsia="Calibri" w:hAnsi="Arial" w:cs="Arial"/>
                <w:iCs/>
                <w:color w:val="000000" w:themeColor="text1"/>
                <w:sz w:val="24"/>
                <w:szCs w:val="24"/>
              </w:rPr>
            </w:pPr>
            <w:r w:rsidRPr="0003613D">
              <w:rPr>
                <w:rFonts w:ascii="Arial" w:eastAsia="Calibri" w:hAnsi="Arial" w:cs="Arial"/>
                <w:iCs/>
                <w:color w:val="000000" w:themeColor="text1"/>
                <w:sz w:val="24"/>
                <w:szCs w:val="24"/>
              </w:rPr>
              <w:t>Change required</w:t>
            </w:r>
          </w:p>
        </w:tc>
        <w:tc>
          <w:tcPr>
            <w:tcW w:w="1804" w:type="dxa"/>
          </w:tcPr>
          <w:p w14:paraId="44B5A74C" w14:textId="37E9DE50" w:rsidR="00030169" w:rsidRPr="0003613D" w:rsidRDefault="00030169" w:rsidP="00FB5B60">
            <w:pPr>
              <w:spacing w:line="276" w:lineRule="auto"/>
              <w:rPr>
                <w:rFonts w:ascii="Arial" w:eastAsia="Calibri" w:hAnsi="Arial" w:cs="Arial"/>
                <w:iCs/>
                <w:color w:val="000000" w:themeColor="text1"/>
                <w:sz w:val="24"/>
                <w:szCs w:val="24"/>
              </w:rPr>
            </w:pPr>
            <w:r w:rsidRPr="0003613D">
              <w:rPr>
                <w:rFonts w:ascii="Arial" w:eastAsia="Calibri" w:hAnsi="Arial" w:cs="Arial"/>
                <w:iCs/>
                <w:color w:val="000000" w:themeColor="text1"/>
                <w:sz w:val="24"/>
                <w:szCs w:val="24"/>
              </w:rPr>
              <w:t>% of change required</w:t>
            </w:r>
          </w:p>
        </w:tc>
      </w:tr>
      <w:tr w:rsidR="00030169" w:rsidRPr="0003613D" w14:paraId="14012902" w14:textId="77777777" w:rsidTr="00030169">
        <w:tc>
          <w:tcPr>
            <w:tcW w:w="1803" w:type="dxa"/>
          </w:tcPr>
          <w:p w14:paraId="33B75785" w14:textId="3B295537" w:rsidR="00030169" w:rsidRPr="0003613D" w:rsidRDefault="00030169" w:rsidP="00FB5B60">
            <w:pPr>
              <w:spacing w:line="276" w:lineRule="auto"/>
              <w:rPr>
                <w:rFonts w:ascii="Arial" w:eastAsia="Calibri" w:hAnsi="Arial" w:cs="Arial"/>
                <w:iCs/>
                <w:color w:val="000000" w:themeColor="text1"/>
                <w:sz w:val="24"/>
                <w:szCs w:val="24"/>
              </w:rPr>
            </w:pPr>
            <w:r w:rsidRPr="0003613D">
              <w:rPr>
                <w:rFonts w:ascii="Arial" w:eastAsia="Calibri" w:hAnsi="Arial" w:cs="Arial"/>
                <w:iCs/>
                <w:color w:val="000000" w:themeColor="text1"/>
                <w:sz w:val="24"/>
                <w:szCs w:val="24"/>
              </w:rPr>
              <w:t>One bedroom</w:t>
            </w:r>
          </w:p>
        </w:tc>
        <w:tc>
          <w:tcPr>
            <w:tcW w:w="1803" w:type="dxa"/>
          </w:tcPr>
          <w:p w14:paraId="1BA557EB" w14:textId="62D6942A" w:rsidR="00030169" w:rsidRPr="0003613D" w:rsidRDefault="00030169" w:rsidP="00FB5B60">
            <w:pPr>
              <w:spacing w:line="276" w:lineRule="auto"/>
              <w:rPr>
                <w:rFonts w:ascii="Arial" w:eastAsia="Calibri" w:hAnsi="Arial" w:cs="Arial"/>
                <w:iCs/>
                <w:color w:val="000000" w:themeColor="text1"/>
                <w:sz w:val="24"/>
                <w:szCs w:val="24"/>
              </w:rPr>
            </w:pPr>
            <w:r w:rsidRPr="0003613D">
              <w:rPr>
                <w:rFonts w:ascii="Arial" w:eastAsia="Calibri" w:hAnsi="Arial" w:cs="Arial"/>
                <w:iCs/>
                <w:color w:val="000000" w:themeColor="text1"/>
                <w:sz w:val="24"/>
                <w:szCs w:val="24"/>
              </w:rPr>
              <w:t>10,492</w:t>
            </w:r>
          </w:p>
        </w:tc>
        <w:tc>
          <w:tcPr>
            <w:tcW w:w="1803" w:type="dxa"/>
          </w:tcPr>
          <w:p w14:paraId="312A9A9A" w14:textId="427262DA" w:rsidR="00030169" w:rsidRPr="0003613D" w:rsidRDefault="00030169" w:rsidP="00FB5B60">
            <w:pPr>
              <w:spacing w:line="276" w:lineRule="auto"/>
              <w:rPr>
                <w:rFonts w:ascii="Arial" w:eastAsia="Calibri" w:hAnsi="Arial" w:cs="Arial"/>
                <w:iCs/>
                <w:color w:val="000000" w:themeColor="text1"/>
                <w:sz w:val="24"/>
                <w:szCs w:val="24"/>
              </w:rPr>
            </w:pPr>
            <w:r w:rsidRPr="0003613D">
              <w:rPr>
                <w:rFonts w:ascii="Arial" w:eastAsia="Calibri" w:hAnsi="Arial" w:cs="Arial"/>
                <w:iCs/>
                <w:color w:val="000000" w:themeColor="text1"/>
                <w:sz w:val="24"/>
                <w:szCs w:val="24"/>
              </w:rPr>
              <w:t>11,670</w:t>
            </w:r>
          </w:p>
        </w:tc>
        <w:tc>
          <w:tcPr>
            <w:tcW w:w="1803" w:type="dxa"/>
          </w:tcPr>
          <w:p w14:paraId="4A79E3AE" w14:textId="4E91DC95" w:rsidR="00030169" w:rsidRPr="0003613D" w:rsidRDefault="00030169" w:rsidP="00FB5B60">
            <w:pPr>
              <w:spacing w:line="276" w:lineRule="auto"/>
              <w:rPr>
                <w:rFonts w:ascii="Arial" w:eastAsia="Calibri" w:hAnsi="Arial" w:cs="Arial"/>
                <w:iCs/>
                <w:color w:val="000000" w:themeColor="text1"/>
                <w:sz w:val="24"/>
                <w:szCs w:val="24"/>
              </w:rPr>
            </w:pPr>
            <w:r w:rsidRPr="0003613D">
              <w:rPr>
                <w:rFonts w:ascii="Arial" w:eastAsia="Calibri" w:hAnsi="Arial" w:cs="Arial"/>
                <w:iCs/>
                <w:color w:val="000000" w:themeColor="text1"/>
                <w:sz w:val="24"/>
                <w:szCs w:val="24"/>
              </w:rPr>
              <w:t>1,178</w:t>
            </w:r>
          </w:p>
        </w:tc>
        <w:tc>
          <w:tcPr>
            <w:tcW w:w="1804" w:type="dxa"/>
          </w:tcPr>
          <w:p w14:paraId="41206CF7" w14:textId="2FB0306E" w:rsidR="00030169" w:rsidRPr="0003613D" w:rsidRDefault="00030169" w:rsidP="00FB5B60">
            <w:pPr>
              <w:spacing w:line="276" w:lineRule="auto"/>
              <w:rPr>
                <w:rFonts w:ascii="Arial" w:eastAsia="Calibri" w:hAnsi="Arial" w:cs="Arial"/>
                <w:iCs/>
                <w:color w:val="000000" w:themeColor="text1"/>
                <w:sz w:val="24"/>
                <w:szCs w:val="24"/>
              </w:rPr>
            </w:pPr>
            <w:r w:rsidRPr="0003613D">
              <w:rPr>
                <w:rFonts w:ascii="Arial" w:eastAsia="Calibri" w:hAnsi="Arial" w:cs="Arial"/>
                <w:iCs/>
                <w:color w:val="000000" w:themeColor="text1"/>
                <w:sz w:val="24"/>
                <w:szCs w:val="24"/>
              </w:rPr>
              <w:t>25.6%</w:t>
            </w:r>
          </w:p>
        </w:tc>
      </w:tr>
      <w:tr w:rsidR="00030169" w:rsidRPr="0003613D" w14:paraId="3041C753" w14:textId="77777777" w:rsidTr="00030169">
        <w:tc>
          <w:tcPr>
            <w:tcW w:w="1803" w:type="dxa"/>
          </w:tcPr>
          <w:p w14:paraId="0B8EED13" w14:textId="4F1A74CC" w:rsidR="00030169" w:rsidRPr="0003613D" w:rsidRDefault="00030169" w:rsidP="00FB5B60">
            <w:pPr>
              <w:spacing w:line="276" w:lineRule="auto"/>
              <w:rPr>
                <w:rFonts w:ascii="Arial" w:eastAsia="Calibri" w:hAnsi="Arial" w:cs="Arial"/>
                <w:iCs/>
                <w:color w:val="000000" w:themeColor="text1"/>
                <w:sz w:val="24"/>
                <w:szCs w:val="24"/>
              </w:rPr>
            </w:pPr>
            <w:r w:rsidRPr="0003613D">
              <w:rPr>
                <w:rFonts w:ascii="Arial" w:eastAsia="Calibri" w:hAnsi="Arial" w:cs="Arial"/>
                <w:iCs/>
                <w:color w:val="000000" w:themeColor="text1"/>
                <w:sz w:val="24"/>
                <w:szCs w:val="24"/>
              </w:rPr>
              <w:t>Two bedroom</w:t>
            </w:r>
          </w:p>
        </w:tc>
        <w:tc>
          <w:tcPr>
            <w:tcW w:w="1803" w:type="dxa"/>
          </w:tcPr>
          <w:p w14:paraId="05299FFD" w14:textId="2BFA84FC" w:rsidR="00030169" w:rsidRPr="0003613D" w:rsidRDefault="00030169" w:rsidP="00FB5B60">
            <w:pPr>
              <w:spacing w:line="276" w:lineRule="auto"/>
              <w:rPr>
                <w:rFonts w:ascii="Arial" w:eastAsia="Calibri" w:hAnsi="Arial" w:cs="Arial"/>
                <w:iCs/>
                <w:color w:val="000000" w:themeColor="text1"/>
                <w:sz w:val="24"/>
                <w:szCs w:val="24"/>
              </w:rPr>
            </w:pPr>
            <w:r w:rsidRPr="0003613D">
              <w:rPr>
                <w:rFonts w:ascii="Arial" w:eastAsia="Calibri" w:hAnsi="Arial" w:cs="Arial"/>
                <w:iCs/>
                <w:color w:val="000000" w:themeColor="text1"/>
                <w:sz w:val="24"/>
                <w:szCs w:val="24"/>
              </w:rPr>
              <w:t>11,136</w:t>
            </w:r>
          </w:p>
        </w:tc>
        <w:tc>
          <w:tcPr>
            <w:tcW w:w="1803" w:type="dxa"/>
          </w:tcPr>
          <w:p w14:paraId="28EB5539" w14:textId="65259224" w:rsidR="00030169" w:rsidRPr="0003613D" w:rsidRDefault="00030169" w:rsidP="00FB5B60">
            <w:pPr>
              <w:spacing w:line="276" w:lineRule="auto"/>
              <w:rPr>
                <w:rFonts w:ascii="Arial" w:eastAsia="Calibri" w:hAnsi="Arial" w:cs="Arial"/>
                <w:iCs/>
                <w:color w:val="000000" w:themeColor="text1"/>
                <w:sz w:val="24"/>
                <w:szCs w:val="24"/>
              </w:rPr>
            </w:pPr>
            <w:r w:rsidRPr="0003613D">
              <w:rPr>
                <w:rFonts w:ascii="Arial" w:eastAsia="Calibri" w:hAnsi="Arial" w:cs="Arial"/>
                <w:iCs/>
                <w:color w:val="000000" w:themeColor="text1"/>
                <w:sz w:val="24"/>
                <w:szCs w:val="24"/>
              </w:rPr>
              <w:t>12,041</w:t>
            </w:r>
          </w:p>
        </w:tc>
        <w:tc>
          <w:tcPr>
            <w:tcW w:w="1803" w:type="dxa"/>
          </w:tcPr>
          <w:p w14:paraId="67313AE7" w14:textId="3B6BFE1C" w:rsidR="00030169" w:rsidRPr="0003613D" w:rsidRDefault="00030169" w:rsidP="00FB5B60">
            <w:pPr>
              <w:spacing w:line="276" w:lineRule="auto"/>
              <w:rPr>
                <w:rFonts w:ascii="Arial" w:eastAsia="Calibri" w:hAnsi="Arial" w:cs="Arial"/>
                <w:iCs/>
                <w:color w:val="000000" w:themeColor="text1"/>
                <w:sz w:val="24"/>
                <w:szCs w:val="24"/>
              </w:rPr>
            </w:pPr>
            <w:r w:rsidRPr="0003613D">
              <w:rPr>
                <w:rFonts w:ascii="Arial" w:eastAsia="Calibri" w:hAnsi="Arial" w:cs="Arial"/>
                <w:iCs/>
                <w:color w:val="000000" w:themeColor="text1"/>
                <w:sz w:val="24"/>
                <w:szCs w:val="24"/>
              </w:rPr>
              <w:t>905</w:t>
            </w:r>
          </w:p>
        </w:tc>
        <w:tc>
          <w:tcPr>
            <w:tcW w:w="1804" w:type="dxa"/>
          </w:tcPr>
          <w:p w14:paraId="66ADAFE5" w14:textId="18C6286A" w:rsidR="00030169" w:rsidRPr="0003613D" w:rsidRDefault="00030169" w:rsidP="00FB5B60">
            <w:pPr>
              <w:spacing w:line="276" w:lineRule="auto"/>
              <w:rPr>
                <w:rFonts w:ascii="Arial" w:eastAsia="Calibri" w:hAnsi="Arial" w:cs="Arial"/>
                <w:iCs/>
                <w:color w:val="000000" w:themeColor="text1"/>
                <w:sz w:val="24"/>
                <w:szCs w:val="24"/>
              </w:rPr>
            </w:pPr>
            <w:r w:rsidRPr="0003613D">
              <w:rPr>
                <w:rFonts w:ascii="Arial" w:eastAsia="Calibri" w:hAnsi="Arial" w:cs="Arial"/>
                <w:iCs/>
                <w:color w:val="000000" w:themeColor="text1"/>
                <w:sz w:val="24"/>
                <w:szCs w:val="24"/>
              </w:rPr>
              <w:t>19.6%</w:t>
            </w:r>
          </w:p>
        </w:tc>
      </w:tr>
      <w:tr w:rsidR="00030169" w:rsidRPr="0003613D" w14:paraId="04DA2A2F" w14:textId="77777777" w:rsidTr="00030169">
        <w:tc>
          <w:tcPr>
            <w:tcW w:w="1803" w:type="dxa"/>
          </w:tcPr>
          <w:p w14:paraId="66887A8A" w14:textId="55A14FEB" w:rsidR="00030169" w:rsidRPr="0003613D" w:rsidRDefault="00030169" w:rsidP="00FB5B60">
            <w:pPr>
              <w:spacing w:line="276" w:lineRule="auto"/>
              <w:rPr>
                <w:rFonts w:ascii="Arial" w:eastAsia="Calibri" w:hAnsi="Arial" w:cs="Arial"/>
                <w:iCs/>
                <w:color w:val="000000" w:themeColor="text1"/>
                <w:sz w:val="24"/>
                <w:szCs w:val="24"/>
              </w:rPr>
            </w:pPr>
            <w:r w:rsidRPr="0003613D">
              <w:rPr>
                <w:rFonts w:ascii="Arial" w:eastAsia="Calibri" w:hAnsi="Arial" w:cs="Arial"/>
                <w:iCs/>
                <w:color w:val="000000" w:themeColor="text1"/>
                <w:sz w:val="24"/>
                <w:szCs w:val="24"/>
              </w:rPr>
              <w:t>Three bedroom</w:t>
            </w:r>
          </w:p>
        </w:tc>
        <w:tc>
          <w:tcPr>
            <w:tcW w:w="1803" w:type="dxa"/>
          </w:tcPr>
          <w:p w14:paraId="1CD1F39A" w14:textId="05E6F279" w:rsidR="00030169" w:rsidRPr="0003613D" w:rsidRDefault="00030169" w:rsidP="00FB5B60">
            <w:pPr>
              <w:spacing w:line="276" w:lineRule="auto"/>
              <w:rPr>
                <w:rFonts w:ascii="Arial" w:eastAsia="Calibri" w:hAnsi="Arial" w:cs="Arial"/>
                <w:iCs/>
                <w:color w:val="000000" w:themeColor="text1"/>
                <w:sz w:val="24"/>
                <w:szCs w:val="24"/>
              </w:rPr>
            </w:pPr>
            <w:r w:rsidRPr="0003613D">
              <w:rPr>
                <w:rFonts w:ascii="Arial" w:eastAsia="Calibri" w:hAnsi="Arial" w:cs="Arial"/>
                <w:iCs/>
                <w:color w:val="000000" w:themeColor="text1"/>
                <w:sz w:val="24"/>
                <w:szCs w:val="24"/>
              </w:rPr>
              <w:t>11,960</w:t>
            </w:r>
          </w:p>
        </w:tc>
        <w:tc>
          <w:tcPr>
            <w:tcW w:w="1803" w:type="dxa"/>
          </w:tcPr>
          <w:p w14:paraId="3D7B0AE6" w14:textId="42F3C550" w:rsidR="00030169" w:rsidRPr="0003613D" w:rsidRDefault="00030169" w:rsidP="00FB5B60">
            <w:pPr>
              <w:spacing w:line="276" w:lineRule="auto"/>
              <w:rPr>
                <w:rFonts w:ascii="Arial" w:eastAsia="Calibri" w:hAnsi="Arial" w:cs="Arial"/>
                <w:iCs/>
                <w:color w:val="000000" w:themeColor="text1"/>
                <w:sz w:val="24"/>
                <w:szCs w:val="24"/>
              </w:rPr>
            </w:pPr>
            <w:r w:rsidRPr="0003613D">
              <w:rPr>
                <w:rFonts w:ascii="Arial" w:eastAsia="Calibri" w:hAnsi="Arial" w:cs="Arial"/>
                <w:iCs/>
                <w:color w:val="000000" w:themeColor="text1"/>
                <w:sz w:val="24"/>
                <w:szCs w:val="24"/>
              </w:rPr>
              <w:t>12,894</w:t>
            </w:r>
          </w:p>
        </w:tc>
        <w:tc>
          <w:tcPr>
            <w:tcW w:w="1803" w:type="dxa"/>
          </w:tcPr>
          <w:p w14:paraId="345DFCFC" w14:textId="1C9ED6C4" w:rsidR="00030169" w:rsidRPr="0003613D" w:rsidRDefault="00030169" w:rsidP="00FB5B60">
            <w:pPr>
              <w:spacing w:line="276" w:lineRule="auto"/>
              <w:rPr>
                <w:rFonts w:ascii="Arial" w:eastAsia="Calibri" w:hAnsi="Arial" w:cs="Arial"/>
                <w:iCs/>
                <w:color w:val="000000" w:themeColor="text1"/>
                <w:sz w:val="24"/>
                <w:szCs w:val="24"/>
              </w:rPr>
            </w:pPr>
            <w:r w:rsidRPr="0003613D">
              <w:rPr>
                <w:rFonts w:ascii="Arial" w:eastAsia="Calibri" w:hAnsi="Arial" w:cs="Arial"/>
                <w:iCs/>
                <w:color w:val="000000" w:themeColor="text1"/>
                <w:sz w:val="24"/>
                <w:szCs w:val="24"/>
              </w:rPr>
              <w:t>934</w:t>
            </w:r>
          </w:p>
        </w:tc>
        <w:tc>
          <w:tcPr>
            <w:tcW w:w="1804" w:type="dxa"/>
          </w:tcPr>
          <w:p w14:paraId="14BF2AD0" w14:textId="33F476B8" w:rsidR="00030169" w:rsidRPr="0003613D" w:rsidRDefault="00030169" w:rsidP="00FB5B60">
            <w:pPr>
              <w:spacing w:line="276" w:lineRule="auto"/>
              <w:rPr>
                <w:rFonts w:ascii="Arial" w:eastAsia="Calibri" w:hAnsi="Arial" w:cs="Arial"/>
                <w:iCs/>
                <w:color w:val="000000" w:themeColor="text1"/>
                <w:sz w:val="24"/>
                <w:szCs w:val="24"/>
              </w:rPr>
            </w:pPr>
            <w:r w:rsidRPr="0003613D">
              <w:rPr>
                <w:rFonts w:ascii="Arial" w:eastAsia="Calibri" w:hAnsi="Arial" w:cs="Arial"/>
                <w:iCs/>
                <w:color w:val="000000" w:themeColor="text1"/>
                <w:sz w:val="24"/>
                <w:szCs w:val="24"/>
              </w:rPr>
              <w:t>20.3%</w:t>
            </w:r>
          </w:p>
        </w:tc>
      </w:tr>
      <w:tr w:rsidR="00030169" w:rsidRPr="0003613D" w14:paraId="2A0DF511" w14:textId="77777777" w:rsidTr="00030169">
        <w:tc>
          <w:tcPr>
            <w:tcW w:w="1803" w:type="dxa"/>
          </w:tcPr>
          <w:p w14:paraId="4090FE87" w14:textId="57CF7599" w:rsidR="00030169" w:rsidRPr="0003613D" w:rsidRDefault="00030169" w:rsidP="00FB5B60">
            <w:pPr>
              <w:spacing w:line="276" w:lineRule="auto"/>
              <w:rPr>
                <w:rFonts w:ascii="Arial" w:eastAsia="Calibri" w:hAnsi="Arial" w:cs="Arial"/>
                <w:iCs/>
                <w:color w:val="000000" w:themeColor="text1"/>
                <w:sz w:val="24"/>
                <w:szCs w:val="24"/>
              </w:rPr>
            </w:pPr>
            <w:r w:rsidRPr="0003613D">
              <w:rPr>
                <w:rFonts w:ascii="Arial" w:eastAsia="Calibri" w:hAnsi="Arial" w:cs="Arial"/>
                <w:iCs/>
                <w:color w:val="000000" w:themeColor="text1"/>
                <w:sz w:val="24"/>
                <w:szCs w:val="24"/>
              </w:rPr>
              <w:t>Four or more bedrooms</w:t>
            </w:r>
          </w:p>
        </w:tc>
        <w:tc>
          <w:tcPr>
            <w:tcW w:w="1803" w:type="dxa"/>
          </w:tcPr>
          <w:p w14:paraId="15815664" w14:textId="7893C72D" w:rsidR="00030169" w:rsidRPr="0003613D" w:rsidRDefault="00030169" w:rsidP="00FB5B60">
            <w:pPr>
              <w:spacing w:line="276" w:lineRule="auto"/>
              <w:rPr>
                <w:rFonts w:ascii="Arial" w:eastAsia="Calibri" w:hAnsi="Arial" w:cs="Arial"/>
                <w:iCs/>
                <w:color w:val="000000" w:themeColor="text1"/>
                <w:sz w:val="24"/>
                <w:szCs w:val="24"/>
              </w:rPr>
            </w:pPr>
            <w:r w:rsidRPr="0003613D">
              <w:rPr>
                <w:rFonts w:ascii="Arial" w:eastAsia="Calibri" w:hAnsi="Arial" w:cs="Arial"/>
                <w:iCs/>
                <w:color w:val="000000" w:themeColor="text1"/>
                <w:sz w:val="24"/>
                <w:szCs w:val="24"/>
              </w:rPr>
              <w:t>1,530</w:t>
            </w:r>
          </w:p>
        </w:tc>
        <w:tc>
          <w:tcPr>
            <w:tcW w:w="1803" w:type="dxa"/>
          </w:tcPr>
          <w:p w14:paraId="1DDBE989" w14:textId="5477EAC7" w:rsidR="00030169" w:rsidRPr="0003613D" w:rsidRDefault="00030169" w:rsidP="00FB5B60">
            <w:pPr>
              <w:spacing w:line="276" w:lineRule="auto"/>
              <w:rPr>
                <w:rFonts w:ascii="Arial" w:eastAsia="Calibri" w:hAnsi="Arial" w:cs="Arial"/>
                <w:iCs/>
                <w:color w:val="000000" w:themeColor="text1"/>
                <w:sz w:val="24"/>
                <w:szCs w:val="24"/>
              </w:rPr>
            </w:pPr>
            <w:r w:rsidRPr="0003613D">
              <w:rPr>
                <w:rFonts w:ascii="Arial" w:eastAsia="Calibri" w:hAnsi="Arial" w:cs="Arial"/>
                <w:iCs/>
                <w:color w:val="000000" w:themeColor="text1"/>
                <w:sz w:val="24"/>
                <w:szCs w:val="24"/>
              </w:rPr>
              <w:t>3,121</w:t>
            </w:r>
          </w:p>
        </w:tc>
        <w:tc>
          <w:tcPr>
            <w:tcW w:w="1803" w:type="dxa"/>
          </w:tcPr>
          <w:p w14:paraId="189AF0E2" w14:textId="45D59ACF" w:rsidR="00030169" w:rsidRPr="0003613D" w:rsidRDefault="00030169" w:rsidP="00FB5B60">
            <w:pPr>
              <w:spacing w:line="276" w:lineRule="auto"/>
              <w:rPr>
                <w:rFonts w:ascii="Arial" w:eastAsia="Calibri" w:hAnsi="Arial" w:cs="Arial"/>
                <w:iCs/>
                <w:color w:val="000000" w:themeColor="text1"/>
                <w:sz w:val="24"/>
                <w:szCs w:val="24"/>
              </w:rPr>
            </w:pPr>
            <w:r w:rsidRPr="0003613D">
              <w:rPr>
                <w:rFonts w:ascii="Arial" w:eastAsia="Calibri" w:hAnsi="Arial" w:cs="Arial"/>
                <w:iCs/>
                <w:color w:val="000000" w:themeColor="text1"/>
                <w:sz w:val="24"/>
                <w:szCs w:val="24"/>
              </w:rPr>
              <w:t>1,591</w:t>
            </w:r>
          </w:p>
        </w:tc>
        <w:tc>
          <w:tcPr>
            <w:tcW w:w="1804" w:type="dxa"/>
          </w:tcPr>
          <w:p w14:paraId="0B17C5DA" w14:textId="7B1C59E9" w:rsidR="00030169" w:rsidRPr="0003613D" w:rsidRDefault="00030169" w:rsidP="00FB5B60">
            <w:pPr>
              <w:spacing w:line="276" w:lineRule="auto"/>
              <w:rPr>
                <w:rFonts w:ascii="Arial" w:eastAsia="Calibri" w:hAnsi="Arial" w:cs="Arial"/>
                <w:iCs/>
                <w:color w:val="000000" w:themeColor="text1"/>
                <w:sz w:val="24"/>
                <w:szCs w:val="24"/>
              </w:rPr>
            </w:pPr>
            <w:r w:rsidRPr="0003613D">
              <w:rPr>
                <w:rFonts w:ascii="Arial" w:eastAsia="Calibri" w:hAnsi="Arial" w:cs="Arial"/>
                <w:iCs/>
                <w:color w:val="000000" w:themeColor="text1"/>
                <w:sz w:val="24"/>
                <w:szCs w:val="24"/>
              </w:rPr>
              <w:t>34.5%</w:t>
            </w:r>
          </w:p>
        </w:tc>
      </w:tr>
      <w:tr w:rsidR="00030169" w:rsidRPr="0003613D" w14:paraId="4F698B5E" w14:textId="77777777" w:rsidTr="00030169">
        <w:tc>
          <w:tcPr>
            <w:tcW w:w="1803" w:type="dxa"/>
          </w:tcPr>
          <w:p w14:paraId="747F61D8" w14:textId="0CA359C4" w:rsidR="00030169" w:rsidRPr="0003613D" w:rsidRDefault="00030169" w:rsidP="00FB5B60">
            <w:pPr>
              <w:spacing w:line="276" w:lineRule="auto"/>
              <w:rPr>
                <w:rFonts w:ascii="Arial" w:eastAsia="Calibri" w:hAnsi="Arial" w:cs="Arial"/>
                <w:iCs/>
                <w:color w:val="000000" w:themeColor="text1"/>
                <w:sz w:val="24"/>
                <w:szCs w:val="24"/>
              </w:rPr>
            </w:pPr>
            <w:r w:rsidRPr="0003613D">
              <w:rPr>
                <w:rFonts w:ascii="Arial" w:eastAsia="Calibri" w:hAnsi="Arial" w:cs="Arial"/>
                <w:iCs/>
                <w:color w:val="000000" w:themeColor="text1"/>
                <w:sz w:val="24"/>
                <w:szCs w:val="24"/>
              </w:rPr>
              <w:t>Total</w:t>
            </w:r>
          </w:p>
        </w:tc>
        <w:tc>
          <w:tcPr>
            <w:tcW w:w="1803" w:type="dxa"/>
          </w:tcPr>
          <w:p w14:paraId="55D97F0C" w14:textId="0438FEBD" w:rsidR="00030169" w:rsidRPr="0003613D" w:rsidRDefault="00030169" w:rsidP="00FB5B60">
            <w:pPr>
              <w:spacing w:line="276" w:lineRule="auto"/>
              <w:rPr>
                <w:rFonts w:ascii="Arial" w:eastAsia="Calibri" w:hAnsi="Arial" w:cs="Arial"/>
                <w:iCs/>
                <w:color w:val="000000" w:themeColor="text1"/>
                <w:sz w:val="24"/>
                <w:szCs w:val="24"/>
              </w:rPr>
            </w:pPr>
            <w:r w:rsidRPr="0003613D">
              <w:rPr>
                <w:rFonts w:ascii="Arial" w:eastAsia="Calibri" w:hAnsi="Arial" w:cs="Arial"/>
                <w:iCs/>
                <w:color w:val="000000" w:themeColor="text1"/>
                <w:sz w:val="24"/>
                <w:szCs w:val="24"/>
              </w:rPr>
              <w:t>35,117</w:t>
            </w:r>
          </w:p>
        </w:tc>
        <w:tc>
          <w:tcPr>
            <w:tcW w:w="1803" w:type="dxa"/>
          </w:tcPr>
          <w:p w14:paraId="13EBD8A3" w14:textId="21EF2ACB" w:rsidR="00030169" w:rsidRPr="0003613D" w:rsidRDefault="00030169" w:rsidP="00FB5B60">
            <w:pPr>
              <w:spacing w:line="276" w:lineRule="auto"/>
              <w:rPr>
                <w:rFonts w:ascii="Arial" w:eastAsia="Calibri" w:hAnsi="Arial" w:cs="Arial"/>
                <w:iCs/>
                <w:color w:val="000000" w:themeColor="text1"/>
                <w:sz w:val="24"/>
                <w:szCs w:val="24"/>
              </w:rPr>
            </w:pPr>
            <w:r w:rsidRPr="0003613D">
              <w:rPr>
                <w:rFonts w:ascii="Arial" w:eastAsia="Calibri" w:hAnsi="Arial" w:cs="Arial"/>
                <w:iCs/>
                <w:color w:val="000000" w:themeColor="text1"/>
                <w:sz w:val="24"/>
                <w:szCs w:val="24"/>
              </w:rPr>
              <w:t>39,726</w:t>
            </w:r>
          </w:p>
        </w:tc>
        <w:tc>
          <w:tcPr>
            <w:tcW w:w="1803" w:type="dxa"/>
          </w:tcPr>
          <w:p w14:paraId="59E2A08F" w14:textId="5B936ACD" w:rsidR="00030169" w:rsidRPr="0003613D" w:rsidRDefault="00030169" w:rsidP="00FB5B60">
            <w:pPr>
              <w:spacing w:line="276" w:lineRule="auto"/>
              <w:rPr>
                <w:rFonts w:ascii="Arial" w:eastAsia="Calibri" w:hAnsi="Arial" w:cs="Arial"/>
                <w:iCs/>
                <w:color w:val="000000" w:themeColor="text1"/>
                <w:sz w:val="24"/>
                <w:szCs w:val="24"/>
              </w:rPr>
            </w:pPr>
            <w:r w:rsidRPr="0003613D">
              <w:rPr>
                <w:rFonts w:ascii="Arial" w:eastAsia="Calibri" w:hAnsi="Arial" w:cs="Arial"/>
                <w:iCs/>
                <w:color w:val="000000" w:themeColor="text1"/>
                <w:sz w:val="24"/>
                <w:szCs w:val="24"/>
              </w:rPr>
              <w:t>4,609</w:t>
            </w:r>
          </w:p>
        </w:tc>
        <w:tc>
          <w:tcPr>
            <w:tcW w:w="1804" w:type="dxa"/>
          </w:tcPr>
          <w:p w14:paraId="66366264" w14:textId="181099D0" w:rsidR="00030169" w:rsidRPr="0003613D" w:rsidRDefault="00030169" w:rsidP="00FB5B60">
            <w:pPr>
              <w:spacing w:line="276" w:lineRule="auto"/>
              <w:rPr>
                <w:rFonts w:ascii="Arial" w:eastAsia="Calibri" w:hAnsi="Arial" w:cs="Arial"/>
                <w:iCs/>
                <w:color w:val="000000" w:themeColor="text1"/>
                <w:sz w:val="24"/>
                <w:szCs w:val="24"/>
              </w:rPr>
            </w:pPr>
            <w:r w:rsidRPr="0003613D">
              <w:rPr>
                <w:rFonts w:ascii="Arial" w:eastAsia="Calibri" w:hAnsi="Arial" w:cs="Arial"/>
                <w:iCs/>
                <w:color w:val="000000" w:themeColor="text1"/>
                <w:sz w:val="24"/>
                <w:szCs w:val="24"/>
              </w:rPr>
              <w:t>100%</w:t>
            </w:r>
          </w:p>
        </w:tc>
      </w:tr>
    </w:tbl>
    <w:p w14:paraId="55999051" w14:textId="77777777" w:rsidR="008B1CD7" w:rsidRPr="0003613D" w:rsidRDefault="008B1CD7" w:rsidP="00E6056F">
      <w:pPr>
        <w:spacing w:line="276" w:lineRule="auto"/>
        <w:rPr>
          <w:rFonts w:ascii="Arial" w:eastAsia="Calibri" w:hAnsi="Arial" w:cs="Arial"/>
          <w:bCs/>
          <w:iCs/>
          <w:sz w:val="24"/>
          <w:szCs w:val="24"/>
        </w:rPr>
      </w:pPr>
    </w:p>
    <w:p w14:paraId="76608B50" w14:textId="20889D21" w:rsidR="00276171" w:rsidRPr="0003613D" w:rsidRDefault="00E95A16" w:rsidP="006B3E4E">
      <w:pPr>
        <w:spacing w:line="276" w:lineRule="auto"/>
        <w:rPr>
          <w:rFonts w:ascii="Arial" w:eastAsia="Calibri" w:hAnsi="Arial" w:cs="Arial"/>
          <w:bCs/>
          <w:iCs/>
          <w:sz w:val="24"/>
          <w:szCs w:val="24"/>
        </w:rPr>
      </w:pPr>
      <w:r w:rsidRPr="0003613D">
        <w:rPr>
          <w:rFonts w:ascii="Arial" w:eastAsia="Calibri" w:hAnsi="Arial" w:cs="Arial"/>
          <w:bCs/>
          <w:iCs/>
          <w:sz w:val="24"/>
          <w:szCs w:val="24"/>
        </w:rPr>
        <w:t xml:space="preserve">The projections indicate that a higher proportion of new socially rented and affordable rented accommodation should consist of four or more bedrooms. </w:t>
      </w:r>
    </w:p>
    <w:p w14:paraId="1A7F67B9" w14:textId="77777777" w:rsidR="000C3FA9" w:rsidRPr="0003613D" w:rsidRDefault="000C3FA9" w:rsidP="006B3E4E">
      <w:pPr>
        <w:spacing w:line="276" w:lineRule="auto"/>
        <w:rPr>
          <w:rFonts w:ascii="Arial" w:eastAsia="Calibri" w:hAnsi="Arial" w:cs="Arial"/>
          <w:b/>
          <w:iCs/>
          <w:sz w:val="24"/>
          <w:szCs w:val="24"/>
        </w:rPr>
      </w:pPr>
    </w:p>
    <w:p w14:paraId="334B2A33" w14:textId="78EC40D0" w:rsidR="006B3E4E" w:rsidRPr="0003613D" w:rsidRDefault="006B3E4E" w:rsidP="006B3E4E">
      <w:pPr>
        <w:spacing w:line="276" w:lineRule="auto"/>
        <w:rPr>
          <w:rFonts w:ascii="Arial" w:eastAsia="Calibri" w:hAnsi="Arial" w:cs="Arial"/>
          <w:b/>
          <w:iCs/>
          <w:sz w:val="24"/>
          <w:szCs w:val="24"/>
        </w:rPr>
      </w:pPr>
      <w:r w:rsidRPr="0003613D">
        <w:rPr>
          <w:rFonts w:ascii="Arial" w:eastAsia="Calibri" w:hAnsi="Arial" w:cs="Arial"/>
          <w:b/>
          <w:iCs/>
          <w:sz w:val="24"/>
          <w:szCs w:val="24"/>
        </w:rPr>
        <w:lastRenderedPageBreak/>
        <w:t xml:space="preserve">Future Housing Developments in Sandwell </w:t>
      </w:r>
    </w:p>
    <w:p w14:paraId="659EC623" w14:textId="060B6EDA" w:rsidR="006B3E4E" w:rsidRPr="0003613D" w:rsidRDefault="006B3E4E" w:rsidP="006B3E4E">
      <w:pPr>
        <w:spacing w:line="276" w:lineRule="auto"/>
        <w:rPr>
          <w:rFonts w:ascii="Arial" w:eastAsia="Calibri" w:hAnsi="Arial" w:cs="Arial"/>
          <w:iCs/>
          <w:sz w:val="24"/>
          <w:szCs w:val="24"/>
        </w:rPr>
      </w:pPr>
      <w:r w:rsidRPr="0003613D">
        <w:rPr>
          <w:rFonts w:ascii="Arial" w:eastAsia="Calibri" w:hAnsi="Arial" w:cs="Arial"/>
          <w:bCs/>
          <w:iCs/>
          <w:sz w:val="24"/>
          <w:szCs w:val="24"/>
        </w:rPr>
        <w:t xml:space="preserve">The Sandwell Council Housing Strategy outlines ambitious plans for future housing developments in the borough. The strategy sets a target of building </w:t>
      </w:r>
      <w:r w:rsidRPr="0003613D">
        <w:rPr>
          <w:rFonts w:ascii="Arial" w:eastAsia="Calibri" w:hAnsi="Arial" w:cs="Arial"/>
          <w:iCs/>
          <w:sz w:val="24"/>
          <w:szCs w:val="24"/>
        </w:rPr>
        <w:t>100-150 new council homes each year through 2028</w:t>
      </w:r>
      <w:r w:rsidR="00851A4E" w:rsidRPr="0003613D">
        <w:rPr>
          <w:rFonts w:ascii="Arial" w:eastAsia="Calibri" w:hAnsi="Arial" w:cs="Arial"/>
          <w:iCs/>
          <w:sz w:val="24"/>
          <w:szCs w:val="24"/>
        </w:rPr>
        <w:t xml:space="preserve"> [26]</w:t>
      </w:r>
      <w:r w:rsidRPr="0003613D">
        <w:rPr>
          <w:rFonts w:ascii="Arial" w:eastAsia="Calibri" w:hAnsi="Arial" w:cs="Arial"/>
          <w:iCs/>
          <w:sz w:val="24"/>
          <w:szCs w:val="24"/>
        </w:rPr>
        <w:t>.</w:t>
      </w:r>
    </w:p>
    <w:p w14:paraId="17240C40" w14:textId="77777777" w:rsidR="006B3E4E" w:rsidRPr="0003613D" w:rsidRDefault="006B3E4E" w:rsidP="006B3E4E">
      <w:pPr>
        <w:spacing w:line="276" w:lineRule="auto"/>
        <w:rPr>
          <w:rFonts w:ascii="Arial" w:eastAsia="Calibri" w:hAnsi="Arial" w:cs="Arial"/>
          <w:iCs/>
          <w:sz w:val="24"/>
          <w:szCs w:val="24"/>
        </w:rPr>
      </w:pPr>
      <w:r w:rsidRPr="0003613D">
        <w:rPr>
          <w:rFonts w:ascii="Arial" w:eastAsia="Calibri" w:hAnsi="Arial" w:cs="Arial"/>
          <w:iCs/>
          <w:sz w:val="24"/>
          <w:szCs w:val="24"/>
        </w:rPr>
        <w:t>Major regeneration projects in Sandwell include the Friar Park and Swan Lane housing build programmes. The Friar Park scheme plans for 630 new homes to be built by 2030, including 158 affordable properties. The Swan Lane project plans for the building of 147 new affordable homes.</w:t>
      </w:r>
    </w:p>
    <w:p w14:paraId="3BEDCD65" w14:textId="1A07012F" w:rsidR="00180862" w:rsidRPr="0003613D" w:rsidRDefault="006B3E4E" w:rsidP="00180862">
      <w:pPr>
        <w:spacing w:line="276" w:lineRule="auto"/>
        <w:rPr>
          <w:rFonts w:ascii="Arial" w:eastAsia="Calibri" w:hAnsi="Arial" w:cs="Arial"/>
          <w:iCs/>
          <w:sz w:val="24"/>
          <w:szCs w:val="24"/>
        </w:rPr>
      </w:pPr>
      <w:r w:rsidRPr="0003613D">
        <w:rPr>
          <w:rFonts w:ascii="Arial" w:eastAsia="Calibri" w:hAnsi="Arial" w:cs="Arial"/>
          <w:iCs/>
          <w:sz w:val="24"/>
          <w:szCs w:val="24"/>
        </w:rPr>
        <w:t xml:space="preserve">Development plans also include a target for 400 new affordable homes to be delivered by </w:t>
      </w:r>
      <w:r w:rsidR="00986F49" w:rsidRPr="0003613D">
        <w:rPr>
          <w:rFonts w:ascii="Arial" w:eastAsia="Calibri" w:hAnsi="Arial" w:cs="Arial"/>
          <w:iCs/>
          <w:sz w:val="24"/>
          <w:szCs w:val="24"/>
        </w:rPr>
        <w:t>housing associations</w:t>
      </w:r>
      <w:r w:rsidRPr="0003613D">
        <w:rPr>
          <w:rFonts w:ascii="Arial" w:eastAsia="Calibri" w:hAnsi="Arial" w:cs="Arial"/>
          <w:iCs/>
          <w:sz w:val="24"/>
          <w:szCs w:val="24"/>
        </w:rPr>
        <w:t xml:space="preserve"> before 2028, the delivery of 122 new affordable keyworker homes by Catalyst Mutual Enterprise, and the use of the Housing Revenue Account to acquire land for new developments</w:t>
      </w:r>
      <w:r w:rsidR="00851A4E" w:rsidRPr="0003613D">
        <w:rPr>
          <w:rFonts w:ascii="Arial" w:eastAsia="Calibri" w:hAnsi="Arial" w:cs="Arial"/>
          <w:iCs/>
          <w:sz w:val="24"/>
          <w:szCs w:val="24"/>
        </w:rPr>
        <w:t xml:space="preserve"> [27]</w:t>
      </w:r>
      <w:r w:rsidRPr="0003613D">
        <w:rPr>
          <w:rFonts w:ascii="Arial" w:eastAsia="Calibri" w:hAnsi="Arial" w:cs="Arial"/>
          <w:iCs/>
          <w:sz w:val="24"/>
          <w:szCs w:val="24"/>
        </w:rPr>
        <w:t>.</w:t>
      </w:r>
    </w:p>
    <w:p w14:paraId="26AC7740" w14:textId="3A5A0699" w:rsidR="00180862" w:rsidRPr="0003613D" w:rsidRDefault="00465B25" w:rsidP="00180862">
      <w:pPr>
        <w:spacing w:line="276" w:lineRule="auto"/>
        <w:rPr>
          <w:rFonts w:ascii="Arial" w:eastAsia="Calibri" w:hAnsi="Arial" w:cs="Arial"/>
          <w:iCs/>
          <w:sz w:val="24"/>
          <w:szCs w:val="24"/>
        </w:rPr>
      </w:pPr>
      <w:r w:rsidRPr="0003613D">
        <w:rPr>
          <w:rFonts w:ascii="Arial" w:eastAsia="Calibri" w:hAnsi="Arial" w:cs="Arial"/>
          <w:iCs/>
          <w:sz w:val="24"/>
          <w:szCs w:val="24"/>
        </w:rPr>
        <w:t>Published in 2023,</w:t>
      </w:r>
      <w:r w:rsidR="00180862" w:rsidRPr="0003613D">
        <w:rPr>
          <w:rFonts w:ascii="Arial" w:eastAsia="Calibri" w:hAnsi="Arial" w:cs="Arial"/>
          <w:iCs/>
          <w:sz w:val="24"/>
          <w:szCs w:val="24"/>
        </w:rPr>
        <w:t xml:space="preserve"> Sandwell Council</w:t>
      </w:r>
      <w:r w:rsidRPr="0003613D">
        <w:rPr>
          <w:rFonts w:ascii="Arial" w:eastAsia="Calibri" w:hAnsi="Arial" w:cs="Arial"/>
          <w:iCs/>
          <w:sz w:val="24"/>
          <w:szCs w:val="24"/>
        </w:rPr>
        <w:t xml:space="preserve">’s housing strategy </w:t>
      </w:r>
      <w:r w:rsidR="00DB34AE" w:rsidRPr="0003613D">
        <w:rPr>
          <w:rFonts w:ascii="Arial" w:eastAsia="Calibri" w:hAnsi="Arial" w:cs="Arial"/>
          <w:iCs/>
          <w:sz w:val="24"/>
          <w:szCs w:val="24"/>
        </w:rPr>
        <w:t>commits</w:t>
      </w:r>
      <w:r w:rsidR="006019DA" w:rsidRPr="0003613D">
        <w:rPr>
          <w:rFonts w:ascii="Arial" w:eastAsia="Calibri" w:hAnsi="Arial" w:cs="Arial"/>
          <w:iCs/>
          <w:sz w:val="24"/>
          <w:szCs w:val="24"/>
        </w:rPr>
        <w:t xml:space="preserve"> the council</w:t>
      </w:r>
      <w:r w:rsidRPr="0003613D">
        <w:rPr>
          <w:rFonts w:ascii="Arial" w:eastAsia="Calibri" w:hAnsi="Arial" w:cs="Arial"/>
          <w:iCs/>
          <w:sz w:val="24"/>
          <w:szCs w:val="24"/>
        </w:rPr>
        <w:t xml:space="preserve"> to</w:t>
      </w:r>
      <w:r w:rsidR="00180862" w:rsidRPr="0003613D">
        <w:rPr>
          <w:rFonts w:ascii="Arial" w:eastAsia="Calibri" w:hAnsi="Arial" w:cs="Arial"/>
          <w:iCs/>
          <w:sz w:val="24"/>
          <w:szCs w:val="24"/>
        </w:rPr>
        <w:t xml:space="preserve"> explor</w:t>
      </w:r>
      <w:r w:rsidRPr="0003613D">
        <w:rPr>
          <w:rFonts w:ascii="Arial" w:eastAsia="Calibri" w:hAnsi="Arial" w:cs="Arial"/>
          <w:iCs/>
          <w:sz w:val="24"/>
          <w:szCs w:val="24"/>
        </w:rPr>
        <w:t xml:space="preserve">ing </w:t>
      </w:r>
      <w:r w:rsidR="00180862" w:rsidRPr="0003613D">
        <w:rPr>
          <w:rFonts w:ascii="Arial" w:eastAsia="Calibri" w:hAnsi="Arial" w:cs="Arial"/>
          <w:iCs/>
          <w:sz w:val="24"/>
          <w:szCs w:val="24"/>
        </w:rPr>
        <w:t>specialist housing options for older people and larger family homes</w:t>
      </w:r>
      <w:r w:rsidRPr="0003613D">
        <w:rPr>
          <w:rFonts w:ascii="Arial" w:eastAsia="Calibri" w:hAnsi="Arial" w:cs="Arial"/>
          <w:iCs/>
          <w:sz w:val="24"/>
          <w:szCs w:val="24"/>
        </w:rPr>
        <w:t>. The Housing Strategy outlines that the council will seek to</w:t>
      </w:r>
      <w:r w:rsidR="00180862" w:rsidRPr="0003613D">
        <w:rPr>
          <w:rFonts w:ascii="Arial" w:eastAsia="Calibri" w:hAnsi="Arial" w:cs="Arial"/>
          <w:iCs/>
          <w:sz w:val="24"/>
          <w:szCs w:val="24"/>
        </w:rPr>
        <w:t xml:space="preserve"> support community-led housing</w:t>
      </w:r>
      <w:r w:rsidR="006019DA" w:rsidRPr="0003613D">
        <w:rPr>
          <w:rFonts w:ascii="Arial" w:eastAsia="Calibri" w:hAnsi="Arial" w:cs="Arial"/>
          <w:iCs/>
          <w:sz w:val="24"/>
          <w:szCs w:val="24"/>
        </w:rPr>
        <w:t xml:space="preserve">, </w:t>
      </w:r>
      <w:r w:rsidR="00180862" w:rsidRPr="0003613D">
        <w:rPr>
          <w:rFonts w:ascii="Arial" w:eastAsia="Calibri" w:hAnsi="Arial" w:cs="Arial"/>
          <w:iCs/>
          <w:sz w:val="24"/>
          <w:szCs w:val="24"/>
        </w:rPr>
        <w:t>and community land trusts to prevent Right to Buy losses</w:t>
      </w:r>
      <w:r w:rsidR="006019DA" w:rsidRPr="0003613D">
        <w:rPr>
          <w:rFonts w:ascii="Arial" w:eastAsia="Calibri" w:hAnsi="Arial" w:cs="Arial"/>
          <w:iCs/>
          <w:sz w:val="24"/>
          <w:szCs w:val="24"/>
        </w:rPr>
        <w:t xml:space="preserve"> and</w:t>
      </w:r>
      <w:r w:rsidR="00180862" w:rsidRPr="0003613D">
        <w:rPr>
          <w:rFonts w:ascii="Arial" w:eastAsia="Calibri" w:hAnsi="Arial" w:cs="Arial"/>
          <w:iCs/>
          <w:sz w:val="24"/>
          <w:szCs w:val="24"/>
        </w:rPr>
        <w:t xml:space="preserve"> investigate small council-owned sites for</w:t>
      </w:r>
      <w:r w:rsidR="003D7D6B" w:rsidRPr="0003613D">
        <w:rPr>
          <w:rFonts w:ascii="Arial" w:eastAsia="Calibri" w:hAnsi="Arial" w:cs="Arial"/>
          <w:iCs/>
          <w:sz w:val="24"/>
          <w:szCs w:val="24"/>
        </w:rPr>
        <w:t xml:space="preserve"> </w:t>
      </w:r>
      <w:r w:rsidR="00180862" w:rsidRPr="0003613D">
        <w:rPr>
          <w:rFonts w:ascii="Arial" w:eastAsia="Calibri" w:hAnsi="Arial" w:cs="Arial"/>
          <w:iCs/>
          <w:sz w:val="24"/>
          <w:szCs w:val="24"/>
        </w:rPr>
        <w:t>community-led developers</w:t>
      </w:r>
      <w:r w:rsidR="006019DA" w:rsidRPr="0003613D">
        <w:rPr>
          <w:rFonts w:ascii="Arial" w:eastAsia="Calibri" w:hAnsi="Arial" w:cs="Arial"/>
          <w:iCs/>
          <w:sz w:val="24"/>
          <w:szCs w:val="24"/>
        </w:rPr>
        <w:t xml:space="preserve">. </w:t>
      </w:r>
    </w:p>
    <w:p w14:paraId="0D5B173E" w14:textId="5C6AE811" w:rsidR="0079494F" w:rsidRPr="0003613D" w:rsidRDefault="006019DA" w:rsidP="00180862">
      <w:pPr>
        <w:spacing w:line="276" w:lineRule="auto"/>
        <w:rPr>
          <w:rFonts w:ascii="Arial" w:eastAsia="Calibri" w:hAnsi="Arial" w:cs="Arial"/>
          <w:iCs/>
          <w:sz w:val="24"/>
          <w:szCs w:val="24"/>
        </w:rPr>
      </w:pPr>
      <w:r w:rsidRPr="0003613D">
        <w:rPr>
          <w:rFonts w:ascii="Arial" w:eastAsia="Calibri" w:hAnsi="Arial" w:cs="Arial"/>
          <w:iCs/>
          <w:sz w:val="24"/>
          <w:szCs w:val="24"/>
        </w:rPr>
        <w:t xml:space="preserve">In delivering specialist housing options for older people, the council have opened a new, specialist built, extra care housing scheme at Willow Gardens, that offers a mixture of one and two-bedroom apartments, with 24hr support onsite and care services available that are tailored to </w:t>
      </w:r>
      <w:r w:rsidR="003D7D6B" w:rsidRPr="0003613D">
        <w:rPr>
          <w:rFonts w:ascii="Arial" w:eastAsia="Calibri" w:hAnsi="Arial" w:cs="Arial"/>
          <w:iCs/>
          <w:sz w:val="24"/>
          <w:szCs w:val="24"/>
        </w:rPr>
        <w:t>the individual’s</w:t>
      </w:r>
      <w:r w:rsidRPr="0003613D">
        <w:rPr>
          <w:rFonts w:ascii="Arial" w:eastAsia="Calibri" w:hAnsi="Arial" w:cs="Arial"/>
          <w:iCs/>
          <w:sz w:val="24"/>
          <w:szCs w:val="24"/>
        </w:rPr>
        <w:t xml:space="preserve"> needs.</w:t>
      </w:r>
      <w:r w:rsidR="00D4756D" w:rsidRPr="0003613D">
        <w:rPr>
          <w:rFonts w:ascii="Arial" w:eastAsia="Calibri" w:hAnsi="Arial" w:cs="Arial"/>
          <w:iCs/>
          <w:sz w:val="24"/>
          <w:szCs w:val="24"/>
        </w:rPr>
        <w:t xml:space="preserve"> There are 90 self-contained apartments at Willow Gardens, consisting of 23 two bedroom</w:t>
      </w:r>
      <w:r w:rsidR="002107BF" w:rsidRPr="0003613D">
        <w:rPr>
          <w:rFonts w:ascii="Arial" w:eastAsia="Calibri" w:hAnsi="Arial" w:cs="Arial"/>
          <w:iCs/>
          <w:sz w:val="24"/>
          <w:szCs w:val="24"/>
        </w:rPr>
        <w:t xml:space="preserve"> units</w:t>
      </w:r>
      <w:r w:rsidR="00D4756D" w:rsidRPr="0003613D">
        <w:rPr>
          <w:rFonts w:ascii="Arial" w:eastAsia="Calibri" w:hAnsi="Arial" w:cs="Arial"/>
          <w:iCs/>
          <w:sz w:val="24"/>
          <w:szCs w:val="24"/>
        </w:rPr>
        <w:t xml:space="preserve"> and 67 one bedroom</w:t>
      </w:r>
      <w:r w:rsidR="002107BF" w:rsidRPr="0003613D">
        <w:rPr>
          <w:rFonts w:ascii="Arial" w:eastAsia="Calibri" w:hAnsi="Arial" w:cs="Arial"/>
          <w:iCs/>
          <w:sz w:val="24"/>
          <w:szCs w:val="24"/>
        </w:rPr>
        <w:t xml:space="preserve"> units</w:t>
      </w:r>
      <w:r w:rsidR="00D4756D" w:rsidRPr="0003613D">
        <w:rPr>
          <w:rFonts w:ascii="Arial" w:eastAsia="Calibri" w:hAnsi="Arial" w:cs="Arial"/>
          <w:iCs/>
          <w:sz w:val="24"/>
          <w:szCs w:val="24"/>
        </w:rPr>
        <w:t>, including 5 which are fully wheelchair compliant.</w:t>
      </w:r>
      <w:r w:rsidR="0079494F" w:rsidRPr="0003613D">
        <w:rPr>
          <w:rFonts w:ascii="Arial" w:eastAsia="Calibri" w:hAnsi="Arial" w:cs="Arial"/>
          <w:iCs/>
          <w:sz w:val="24"/>
          <w:szCs w:val="24"/>
        </w:rPr>
        <w:t xml:space="preserve"> Work has also been completed at Walker Grange to refurbish a smaller number of units to support older people with dementia</w:t>
      </w:r>
      <w:r w:rsidR="00600094" w:rsidRPr="0003613D">
        <w:rPr>
          <w:rFonts w:ascii="Arial" w:eastAsia="Calibri" w:hAnsi="Arial" w:cs="Arial"/>
          <w:iCs/>
          <w:sz w:val="24"/>
          <w:szCs w:val="24"/>
        </w:rPr>
        <w:t xml:space="preserve">. The council’s new build scheme, in addition to single property acquisitions, is helping to deliver additional 4-bed capacity for use as larger family homes. </w:t>
      </w:r>
    </w:p>
    <w:p w14:paraId="0C755B18" w14:textId="2F3DB8DB" w:rsidR="00046F6A" w:rsidRPr="0003613D" w:rsidRDefault="00046F6A" w:rsidP="00C43C5D">
      <w:pPr>
        <w:spacing w:line="276" w:lineRule="auto"/>
        <w:rPr>
          <w:rFonts w:ascii="Arial" w:eastAsia="Calibri" w:hAnsi="Arial" w:cs="Arial"/>
          <w:iCs/>
          <w:sz w:val="24"/>
          <w:szCs w:val="24"/>
        </w:rPr>
      </w:pPr>
      <w:r w:rsidRPr="0003613D">
        <w:rPr>
          <w:rFonts w:ascii="Arial" w:eastAsia="Calibri" w:hAnsi="Arial" w:cs="Arial"/>
          <w:iCs/>
          <w:sz w:val="24"/>
          <w:szCs w:val="24"/>
        </w:rPr>
        <w:t>In March 2024, Sandwell Council passed a motion to include co-operative housing models in the Local Plan. The Local Plan, as of April 2025, is awaiting publication, following examination by the Secretary of State.</w:t>
      </w:r>
      <w:r w:rsidR="00C43C5D" w:rsidRPr="0003613D">
        <w:rPr>
          <w:rFonts w:ascii="Arial" w:eastAsia="Calibri" w:hAnsi="Arial" w:cs="Arial"/>
          <w:iCs/>
          <w:sz w:val="24"/>
          <w:szCs w:val="24"/>
        </w:rPr>
        <w:t xml:space="preserve"> There are currently over 900 housing co-operatives in the UK involving over 196,500 homes. Co-operative housing models are regarded to produce higher-quality housing at lower rents than most private rented models, while fostering a strong sense of community.</w:t>
      </w:r>
    </w:p>
    <w:p w14:paraId="10BAE4AC" w14:textId="11665B86" w:rsidR="00C737A7" w:rsidRPr="0003613D" w:rsidRDefault="008E5109" w:rsidP="00C737A7">
      <w:pPr>
        <w:rPr>
          <w:rFonts w:ascii="Arial" w:hAnsi="Arial" w:cs="Arial"/>
          <w:sz w:val="24"/>
          <w:szCs w:val="24"/>
        </w:rPr>
      </w:pPr>
      <w:r w:rsidRPr="0003613D">
        <w:rPr>
          <w:rFonts w:ascii="Arial" w:hAnsi="Arial" w:cs="Arial"/>
          <w:sz w:val="24"/>
          <w:szCs w:val="24"/>
        </w:rPr>
        <w:t xml:space="preserve">Sandwell </w:t>
      </w:r>
      <w:r w:rsidR="00C737A7" w:rsidRPr="0003613D">
        <w:rPr>
          <w:rFonts w:ascii="Arial" w:hAnsi="Arial" w:cs="Arial"/>
          <w:sz w:val="24"/>
          <w:szCs w:val="24"/>
        </w:rPr>
        <w:t xml:space="preserve">Council has 137 property assets on its land register which have been declared surplus to requirement. The 137 asset sites include: </w:t>
      </w:r>
    </w:p>
    <w:p w14:paraId="6CE35706" w14:textId="77777777" w:rsidR="00C737A7" w:rsidRPr="0003613D" w:rsidRDefault="00C737A7" w:rsidP="00C737A7">
      <w:pPr>
        <w:rPr>
          <w:rFonts w:ascii="Arial" w:hAnsi="Arial" w:cs="Arial"/>
          <w:sz w:val="24"/>
          <w:szCs w:val="24"/>
        </w:rPr>
      </w:pPr>
      <w:r w:rsidRPr="0003613D">
        <w:rPr>
          <w:rFonts w:ascii="Arial" w:hAnsi="Arial" w:cs="Arial"/>
          <w:sz w:val="24"/>
          <w:szCs w:val="24"/>
        </w:rPr>
        <w:t xml:space="preserve">• Small areas of land which are managed as part of the commercial estate. </w:t>
      </w:r>
    </w:p>
    <w:p w14:paraId="688E7863" w14:textId="0AC2E028" w:rsidR="00C737A7" w:rsidRPr="0003613D" w:rsidRDefault="00C737A7" w:rsidP="00C737A7">
      <w:pPr>
        <w:rPr>
          <w:rFonts w:ascii="Arial" w:hAnsi="Arial" w:cs="Arial"/>
          <w:sz w:val="24"/>
          <w:szCs w:val="24"/>
        </w:rPr>
      </w:pPr>
      <w:r w:rsidRPr="0003613D">
        <w:rPr>
          <w:rFonts w:ascii="Arial" w:hAnsi="Arial" w:cs="Arial"/>
          <w:sz w:val="24"/>
          <w:szCs w:val="24"/>
        </w:rPr>
        <w:t xml:space="preserve">• Small areas of land, some of which are garage sites </w:t>
      </w:r>
      <w:r w:rsidR="001952E1" w:rsidRPr="0003613D">
        <w:rPr>
          <w:rFonts w:ascii="Arial" w:hAnsi="Arial" w:cs="Arial"/>
          <w:sz w:val="24"/>
          <w:szCs w:val="24"/>
        </w:rPr>
        <w:t xml:space="preserve">and </w:t>
      </w:r>
      <w:r w:rsidRPr="0003613D">
        <w:rPr>
          <w:rFonts w:ascii="Arial" w:hAnsi="Arial" w:cs="Arial"/>
          <w:sz w:val="24"/>
          <w:szCs w:val="24"/>
        </w:rPr>
        <w:t xml:space="preserve">forecourts adjacent to housing developments. </w:t>
      </w:r>
    </w:p>
    <w:p w14:paraId="3CAD6DDE" w14:textId="3F7A932A" w:rsidR="00C737A7" w:rsidRPr="0003613D" w:rsidRDefault="00C737A7" w:rsidP="00C737A7">
      <w:pPr>
        <w:rPr>
          <w:rFonts w:ascii="Arial" w:hAnsi="Arial" w:cs="Arial"/>
          <w:sz w:val="24"/>
          <w:szCs w:val="24"/>
        </w:rPr>
      </w:pPr>
      <w:r w:rsidRPr="0003613D">
        <w:rPr>
          <w:rFonts w:ascii="Arial" w:hAnsi="Arial" w:cs="Arial"/>
          <w:sz w:val="24"/>
          <w:szCs w:val="24"/>
        </w:rPr>
        <w:t xml:space="preserve">• Open space which is deemed to be </w:t>
      </w:r>
      <w:r w:rsidR="001952E1" w:rsidRPr="0003613D">
        <w:rPr>
          <w:rFonts w:ascii="Arial" w:hAnsi="Arial" w:cs="Arial"/>
          <w:sz w:val="24"/>
          <w:szCs w:val="24"/>
        </w:rPr>
        <w:t xml:space="preserve">of </w:t>
      </w:r>
      <w:r w:rsidRPr="0003613D">
        <w:rPr>
          <w:rFonts w:ascii="Arial" w:hAnsi="Arial" w:cs="Arial"/>
          <w:sz w:val="24"/>
          <w:szCs w:val="24"/>
        </w:rPr>
        <w:t xml:space="preserve">low quality. </w:t>
      </w:r>
    </w:p>
    <w:p w14:paraId="645CB9CF" w14:textId="77777777" w:rsidR="00C737A7" w:rsidRPr="0003613D" w:rsidRDefault="00C737A7" w:rsidP="00C737A7">
      <w:pPr>
        <w:rPr>
          <w:rFonts w:ascii="Arial" w:hAnsi="Arial" w:cs="Arial"/>
          <w:sz w:val="24"/>
          <w:szCs w:val="24"/>
        </w:rPr>
      </w:pPr>
      <w:r w:rsidRPr="0003613D">
        <w:rPr>
          <w:rFonts w:ascii="Arial" w:hAnsi="Arial" w:cs="Arial"/>
          <w:sz w:val="24"/>
          <w:szCs w:val="24"/>
        </w:rPr>
        <w:lastRenderedPageBreak/>
        <w:t>• Potential development sites that may be suitable for housing developments, employment or regeneration.</w:t>
      </w:r>
    </w:p>
    <w:p w14:paraId="1AB9CC76" w14:textId="6E3AA898" w:rsidR="00856F7B" w:rsidRPr="0003613D" w:rsidRDefault="00C737A7" w:rsidP="00C737A7">
      <w:pPr>
        <w:rPr>
          <w:rFonts w:ascii="Arial" w:hAnsi="Arial" w:cs="Arial"/>
          <w:sz w:val="24"/>
          <w:szCs w:val="24"/>
        </w:rPr>
      </w:pPr>
      <w:r w:rsidRPr="0003613D">
        <w:rPr>
          <w:rFonts w:ascii="Arial" w:hAnsi="Arial" w:cs="Arial"/>
          <w:sz w:val="24"/>
          <w:szCs w:val="24"/>
        </w:rPr>
        <w:t>Of the</w:t>
      </w:r>
      <w:r w:rsidR="001952E1" w:rsidRPr="0003613D">
        <w:rPr>
          <w:rFonts w:ascii="Arial" w:hAnsi="Arial" w:cs="Arial"/>
          <w:sz w:val="24"/>
          <w:szCs w:val="24"/>
        </w:rPr>
        <w:t>se asset sites,</w:t>
      </w:r>
      <w:r w:rsidRPr="0003613D">
        <w:rPr>
          <w:rFonts w:ascii="Arial" w:hAnsi="Arial" w:cs="Arial"/>
          <w:sz w:val="24"/>
          <w:szCs w:val="24"/>
        </w:rPr>
        <w:t xml:space="preserve"> 36 were identified by Sandwell </w:t>
      </w:r>
      <w:r w:rsidR="001952E1" w:rsidRPr="0003613D">
        <w:rPr>
          <w:rFonts w:ascii="Arial" w:hAnsi="Arial" w:cs="Arial"/>
          <w:sz w:val="24"/>
          <w:szCs w:val="24"/>
        </w:rPr>
        <w:t xml:space="preserve">Council </w:t>
      </w:r>
      <w:r w:rsidRPr="0003613D">
        <w:rPr>
          <w:rFonts w:ascii="Arial" w:hAnsi="Arial" w:cs="Arial"/>
          <w:sz w:val="24"/>
          <w:szCs w:val="24"/>
        </w:rPr>
        <w:t xml:space="preserve">as having potential significant development potential. Subsequently, and to date, 4 sites have been disposed of for future development. These sites include </w:t>
      </w:r>
      <w:r w:rsidR="00655D38" w:rsidRPr="0003613D">
        <w:rPr>
          <w:rFonts w:ascii="Arial" w:hAnsi="Arial" w:cs="Arial"/>
          <w:sz w:val="24"/>
          <w:szCs w:val="24"/>
        </w:rPr>
        <w:t xml:space="preserve">land at </w:t>
      </w:r>
      <w:proofErr w:type="spellStart"/>
      <w:r w:rsidR="00655D38" w:rsidRPr="0003613D">
        <w:rPr>
          <w:rFonts w:ascii="Arial" w:hAnsi="Arial" w:cs="Arial"/>
          <w:sz w:val="24"/>
          <w:szCs w:val="24"/>
        </w:rPr>
        <w:t>Woden</w:t>
      </w:r>
      <w:proofErr w:type="spellEnd"/>
      <w:r w:rsidR="00655D38" w:rsidRPr="0003613D">
        <w:rPr>
          <w:rFonts w:ascii="Arial" w:hAnsi="Arial" w:cs="Arial"/>
          <w:sz w:val="24"/>
          <w:szCs w:val="24"/>
        </w:rPr>
        <w:t xml:space="preserve"> Road West and Black Country New Road, Mounts Road Play Area, land at Old Park Lane, and the Old Park Lane Cluster.</w:t>
      </w:r>
    </w:p>
    <w:p w14:paraId="19600CBC" w14:textId="43200248" w:rsidR="00577C7E" w:rsidRPr="0003613D" w:rsidRDefault="00600094" w:rsidP="000F12C0">
      <w:pPr>
        <w:spacing w:line="276" w:lineRule="auto"/>
        <w:rPr>
          <w:rFonts w:ascii="Arial" w:eastAsia="Calibri" w:hAnsi="Arial" w:cs="Arial"/>
          <w:iCs/>
          <w:sz w:val="24"/>
          <w:szCs w:val="24"/>
        </w:rPr>
      </w:pPr>
      <w:r w:rsidRPr="0003613D">
        <w:rPr>
          <w:rFonts w:ascii="Arial" w:eastAsia="Calibri" w:hAnsi="Arial" w:cs="Arial"/>
          <w:iCs/>
          <w:sz w:val="24"/>
          <w:szCs w:val="24"/>
        </w:rPr>
        <w:t>In January 2025, Sandwell Council</w:t>
      </w:r>
      <w:r w:rsidR="00492A48" w:rsidRPr="0003613D">
        <w:rPr>
          <w:rFonts w:ascii="Arial" w:eastAsia="Calibri" w:hAnsi="Arial" w:cs="Arial"/>
          <w:iCs/>
          <w:sz w:val="24"/>
          <w:szCs w:val="24"/>
        </w:rPr>
        <w:t xml:space="preserve"> also</w:t>
      </w:r>
      <w:r w:rsidRPr="0003613D">
        <w:rPr>
          <w:rFonts w:ascii="Arial" w:eastAsia="Calibri" w:hAnsi="Arial" w:cs="Arial"/>
          <w:iCs/>
          <w:sz w:val="24"/>
          <w:szCs w:val="24"/>
        </w:rPr>
        <w:t xml:space="preserve"> responded in favour to a government consultation on changes to the Right to Buy scheme</w:t>
      </w:r>
      <w:r w:rsidRPr="0003613D">
        <w:rPr>
          <w:rFonts w:ascii="Arial" w:eastAsia="Times New Roman" w:hAnsi="Arial" w:cs="Arial"/>
          <w:sz w:val="24"/>
          <w:szCs w:val="24"/>
          <w:lang w:eastAsia="en-GB"/>
        </w:rPr>
        <w:t xml:space="preserve">, advocating for a reduction in the discount available to buyers, and for stricter rules on the resale of properties, to prevent the immediate re-letting of purchased council homes. </w:t>
      </w:r>
      <w:r w:rsidR="00F65FE6" w:rsidRPr="0003613D">
        <w:rPr>
          <w:rFonts w:ascii="Arial" w:eastAsia="Times New Roman" w:hAnsi="Arial" w:cs="Arial"/>
          <w:sz w:val="24"/>
          <w:szCs w:val="24"/>
          <w:lang w:eastAsia="en-GB"/>
        </w:rPr>
        <w:t xml:space="preserve">It is hoped that changes to the Right to Buy scheme will help to preserve the current social housing stock. </w:t>
      </w:r>
    </w:p>
    <w:p w14:paraId="233E25EB" w14:textId="14C55C18" w:rsidR="00F25FC1" w:rsidRPr="0003613D" w:rsidRDefault="00F25FC1">
      <w:pPr>
        <w:rPr>
          <w:rFonts w:ascii="Arial" w:hAnsi="Arial" w:cs="Arial"/>
          <w:b/>
          <w:sz w:val="32"/>
          <w:szCs w:val="32"/>
          <w:u w:val="single"/>
        </w:rPr>
      </w:pPr>
      <w:r w:rsidRPr="0003613D">
        <w:rPr>
          <w:rFonts w:ascii="Arial" w:hAnsi="Arial" w:cs="Arial"/>
          <w:b/>
          <w:sz w:val="32"/>
          <w:szCs w:val="32"/>
          <w:u w:val="single"/>
        </w:rPr>
        <w:t>Housing Needs for Specific Groups in Sandwell</w:t>
      </w:r>
    </w:p>
    <w:p w14:paraId="4563E69C" w14:textId="37491FE1" w:rsidR="00803223" w:rsidRPr="0003613D" w:rsidRDefault="00803223">
      <w:pPr>
        <w:rPr>
          <w:rFonts w:ascii="Arial" w:hAnsi="Arial" w:cs="Arial"/>
          <w:b/>
          <w:sz w:val="24"/>
          <w:szCs w:val="24"/>
        </w:rPr>
      </w:pPr>
      <w:r w:rsidRPr="0003613D">
        <w:rPr>
          <w:rFonts w:ascii="Arial" w:hAnsi="Arial" w:cs="Arial"/>
          <w:b/>
          <w:sz w:val="24"/>
          <w:szCs w:val="24"/>
        </w:rPr>
        <w:t xml:space="preserve">Disabled Households </w:t>
      </w:r>
    </w:p>
    <w:p w14:paraId="4158F724" w14:textId="378125E9" w:rsidR="00F67CBB" w:rsidRPr="0003613D" w:rsidRDefault="00F67CBB">
      <w:pPr>
        <w:rPr>
          <w:rFonts w:ascii="Arial" w:eastAsia="Calibri" w:hAnsi="Arial" w:cs="Arial"/>
          <w:sz w:val="24"/>
          <w:szCs w:val="24"/>
        </w:rPr>
      </w:pPr>
      <w:r w:rsidRPr="0003613D">
        <w:rPr>
          <w:rFonts w:ascii="Arial" w:eastAsia="Calibri" w:hAnsi="Arial" w:cs="Arial"/>
          <w:sz w:val="24"/>
          <w:szCs w:val="24"/>
        </w:rPr>
        <w:t>A disability can be defined as a physical or mental impairment that has a substantial and long-term adverse effect on an individual’s ability to carry out normal day-to-day activities. This includes, but is not limited to, people with ambulatory difficulties, blindness, learning difficulties, autism and mental health needs.</w:t>
      </w:r>
    </w:p>
    <w:p w14:paraId="374AF20E" w14:textId="3B4748F3" w:rsidR="00975791" w:rsidRPr="0003613D" w:rsidRDefault="00975791" w:rsidP="00975791">
      <w:pPr>
        <w:rPr>
          <w:rFonts w:ascii="Arial" w:eastAsia="Calibri" w:hAnsi="Arial" w:cs="Arial"/>
          <w:sz w:val="24"/>
          <w:szCs w:val="24"/>
        </w:rPr>
      </w:pPr>
      <w:r w:rsidRPr="0003613D">
        <w:rPr>
          <w:rFonts w:ascii="Arial" w:eastAsia="Calibri" w:hAnsi="Arial" w:cs="Arial"/>
          <w:sz w:val="24"/>
          <w:szCs w:val="24"/>
        </w:rPr>
        <w:t xml:space="preserve">The </w:t>
      </w:r>
      <w:r w:rsidR="00642C21" w:rsidRPr="0003613D">
        <w:rPr>
          <w:rFonts w:ascii="Arial" w:eastAsia="Calibri" w:hAnsi="Arial" w:cs="Arial"/>
          <w:sz w:val="24"/>
          <w:szCs w:val="24"/>
        </w:rPr>
        <w:t>2021 C</w:t>
      </w:r>
      <w:r w:rsidRPr="0003613D">
        <w:rPr>
          <w:rFonts w:ascii="Arial" w:eastAsia="Calibri" w:hAnsi="Arial" w:cs="Arial"/>
          <w:sz w:val="24"/>
          <w:szCs w:val="24"/>
        </w:rPr>
        <w:t>ensus shows that in 2021,</w:t>
      </w:r>
      <w:r w:rsidR="00477E17" w:rsidRPr="0003613D">
        <w:rPr>
          <w:rFonts w:ascii="Arial" w:eastAsia="Calibri" w:hAnsi="Arial" w:cs="Arial"/>
          <w:sz w:val="24"/>
          <w:szCs w:val="24"/>
        </w:rPr>
        <w:t xml:space="preserve"> 20%</w:t>
      </w:r>
      <w:r w:rsidRPr="0003613D">
        <w:rPr>
          <w:rFonts w:ascii="Arial" w:eastAsia="Calibri" w:hAnsi="Arial" w:cs="Arial"/>
          <w:sz w:val="24"/>
          <w:szCs w:val="24"/>
        </w:rPr>
        <w:t xml:space="preserve"> of the resident population in Sandwell are disabled under the Equality Act, compared to 18.1% in the West Midlands and 17.3% nationally</w:t>
      </w:r>
      <w:r w:rsidR="00477E17" w:rsidRPr="0003613D">
        <w:rPr>
          <w:rFonts w:ascii="Arial" w:eastAsia="Calibri" w:hAnsi="Arial" w:cs="Arial"/>
          <w:sz w:val="24"/>
          <w:szCs w:val="24"/>
        </w:rPr>
        <w:t xml:space="preserve"> [28]</w:t>
      </w:r>
      <w:r w:rsidRPr="0003613D">
        <w:rPr>
          <w:rFonts w:ascii="Arial" w:eastAsia="Calibri" w:hAnsi="Arial" w:cs="Arial"/>
          <w:sz w:val="24"/>
          <w:szCs w:val="24"/>
        </w:rPr>
        <w:t xml:space="preserve">. Further analysis shows </w:t>
      </w:r>
      <w:r w:rsidR="00126EB6" w:rsidRPr="0003613D">
        <w:rPr>
          <w:rFonts w:ascii="Arial" w:eastAsia="Calibri" w:hAnsi="Arial" w:cs="Arial"/>
          <w:sz w:val="24"/>
          <w:szCs w:val="24"/>
        </w:rPr>
        <w:t xml:space="preserve">that </w:t>
      </w:r>
      <w:r w:rsidRPr="0003613D">
        <w:rPr>
          <w:rFonts w:ascii="Arial" w:eastAsia="Calibri" w:hAnsi="Arial" w:cs="Arial"/>
          <w:sz w:val="24"/>
          <w:szCs w:val="24"/>
        </w:rPr>
        <w:t xml:space="preserve">48.5% of all residents disabled under the Equality Act in Sandwell had a condition that </w:t>
      </w:r>
      <w:r w:rsidR="00642C21" w:rsidRPr="0003613D">
        <w:rPr>
          <w:rFonts w:ascii="Arial" w:eastAsia="Calibri" w:hAnsi="Arial" w:cs="Arial"/>
          <w:sz w:val="24"/>
          <w:szCs w:val="24"/>
        </w:rPr>
        <w:t xml:space="preserve">often </w:t>
      </w:r>
      <w:r w:rsidRPr="0003613D">
        <w:rPr>
          <w:rFonts w:ascii="Arial" w:eastAsia="Calibri" w:hAnsi="Arial" w:cs="Arial"/>
          <w:sz w:val="24"/>
          <w:szCs w:val="24"/>
        </w:rPr>
        <w:t>limit</w:t>
      </w:r>
      <w:r w:rsidR="00642C21" w:rsidRPr="0003613D">
        <w:rPr>
          <w:rFonts w:ascii="Arial" w:eastAsia="Calibri" w:hAnsi="Arial" w:cs="Arial"/>
          <w:sz w:val="24"/>
          <w:szCs w:val="24"/>
        </w:rPr>
        <w:t xml:space="preserve">s </w:t>
      </w:r>
      <w:r w:rsidRPr="0003613D">
        <w:rPr>
          <w:rFonts w:ascii="Arial" w:eastAsia="Calibri" w:hAnsi="Arial" w:cs="Arial"/>
          <w:sz w:val="24"/>
          <w:szCs w:val="24"/>
        </w:rPr>
        <w:t>day-to-day activities</w:t>
      </w:r>
      <w:r w:rsidR="00642C21" w:rsidRPr="0003613D">
        <w:rPr>
          <w:rFonts w:ascii="Arial" w:eastAsia="Calibri" w:hAnsi="Arial" w:cs="Arial"/>
          <w:sz w:val="24"/>
          <w:szCs w:val="24"/>
        </w:rPr>
        <w:t>.</w:t>
      </w:r>
    </w:p>
    <w:p w14:paraId="44E4EBB2" w14:textId="4EA57376" w:rsidR="00484093" w:rsidRPr="0003613D" w:rsidRDefault="00484093" w:rsidP="00975791">
      <w:pPr>
        <w:rPr>
          <w:rFonts w:ascii="Arial" w:eastAsia="Calibri" w:hAnsi="Arial" w:cs="Arial"/>
          <w:sz w:val="24"/>
          <w:szCs w:val="24"/>
        </w:rPr>
      </w:pPr>
      <w:r w:rsidRPr="0003613D">
        <w:rPr>
          <w:rFonts w:ascii="Arial" w:eastAsia="Calibri" w:hAnsi="Arial" w:cs="Arial"/>
          <w:sz w:val="24"/>
          <w:szCs w:val="24"/>
        </w:rPr>
        <w:t>The percentage of residents who are disabled is highest in Wednesbury (20.2%) and lowest in Smethwick (14.7%)</w:t>
      </w:r>
      <w:r w:rsidR="00477E17" w:rsidRPr="0003613D">
        <w:rPr>
          <w:rFonts w:ascii="Arial" w:eastAsia="Calibri" w:hAnsi="Arial" w:cs="Arial"/>
          <w:sz w:val="24"/>
          <w:szCs w:val="24"/>
        </w:rPr>
        <w:t xml:space="preserve"> [29]</w:t>
      </w:r>
      <w:r w:rsidRPr="0003613D">
        <w:rPr>
          <w:rFonts w:ascii="Arial" w:eastAsia="Calibri" w:hAnsi="Arial" w:cs="Arial"/>
          <w:sz w:val="24"/>
          <w:szCs w:val="24"/>
        </w:rPr>
        <w:t>.</w:t>
      </w:r>
    </w:p>
    <w:p w14:paraId="09FC702F" w14:textId="3E046BA2" w:rsidR="003F0CEE" w:rsidRPr="0003613D" w:rsidRDefault="00126EB6" w:rsidP="003F0CEE">
      <w:pPr>
        <w:rPr>
          <w:rFonts w:ascii="Arial" w:eastAsia="Calibri" w:hAnsi="Arial" w:cs="Arial"/>
          <w:sz w:val="24"/>
          <w:szCs w:val="24"/>
        </w:rPr>
      </w:pPr>
      <w:r w:rsidRPr="0003613D">
        <w:rPr>
          <w:rFonts w:ascii="Arial" w:eastAsia="Calibri" w:hAnsi="Arial" w:cs="Arial"/>
          <w:sz w:val="24"/>
          <w:szCs w:val="24"/>
        </w:rPr>
        <w:t xml:space="preserve">The table below presents the current number, as </w:t>
      </w:r>
      <w:r w:rsidR="0049099B" w:rsidRPr="0003613D">
        <w:rPr>
          <w:rFonts w:ascii="Arial" w:eastAsia="Calibri" w:hAnsi="Arial" w:cs="Arial"/>
          <w:sz w:val="24"/>
          <w:szCs w:val="24"/>
        </w:rPr>
        <w:t>of</w:t>
      </w:r>
      <w:r w:rsidRPr="0003613D">
        <w:rPr>
          <w:rFonts w:ascii="Arial" w:eastAsia="Calibri" w:hAnsi="Arial" w:cs="Arial"/>
          <w:sz w:val="24"/>
          <w:szCs w:val="24"/>
        </w:rPr>
        <w:t xml:space="preserve"> August 2024, of individuals in Sandwell with a severe health condition, in addition to the projected numbers in the year 2041</w:t>
      </w:r>
      <w:r w:rsidR="00477E17" w:rsidRPr="0003613D">
        <w:rPr>
          <w:rFonts w:ascii="Arial" w:eastAsia="Calibri" w:hAnsi="Arial" w:cs="Arial"/>
          <w:sz w:val="24"/>
          <w:szCs w:val="24"/>
        </w:rPr>
        <w:t xml:space="preserve"> [30]</w:t>
      </w:r>
      <w:r w:rsidRPr="0003613D">
        <w:rPr>
          <w:rFonts w:ascii="Arial" w:eastAsia="Calibri" w:hAnsi="Arial" w:cs="Arial"/>
          <w:sz w:val="24"/>
          <w:szCs w:val="24"/>
        </w:rPr>
        <w:t>.</w:t>
      </w:r>
    </w:p>
    <w:tbl>
      <w:tblPr>
        <w:tblStyle w:val="TableGrid"/>
        <w:tblW w:w="0" w:type="auto"/>
        <w:tblLook w:val="04A0" w:firstRow="1" w:lastRow="0" w:firstColumn="1" w:lastColumn="0" w:noHBand="0" w:noVBand="1"/>
      </w:tblPr>
      <w:tblGrid>
        <w:gridCol w:w="1803"/>
        <w:gridCol w:w="1803"/>
        <w:gridCol w:w="1803"/>
        <w:gridCol w:w="1803"/>
        <w:gridCol w:w="1804"/>
      </w:tblGrid>
      <w:tr w:rsidR="003F0CEE" w:rsidRPr="0003613D" w14:paraId="7481D413" w14:textId="77777777" w:rsidTr="003F0CEE">
        <w:tc>
          <w:tcPr>
            <w:tcW w:w="1803" w:type="dxa"/>
          </w:tcPr>
          <w:p w14:paraId="43FD301D" w14:textId="604D5ADF" w:rsidR="003F0CEE" w:rsidRPr="0003613D" w:rsidRDefault="003F0CEE" w:rsidP="003F0CEE">
            <w:pPr>
              <w:rPr>
                <w:rFonts w:ascii="Arial" w:eastAsia="Calibri" w:hAnsi="Arial" w:cs="Arial"/>
                <w:b/>
                <w:bCs/>
                <w:color w:val="0070C0"/>
                <w:sz w:val="24"/>
                <w:szCs w:val="24"/>
              </w:rPr>
            </w:pPr>
            <w:r w:rsidRPr="0003613D">
              <w:rPr>
                <w:rFonts w:ascii="Arial" w:eastAsia="Calibri" w:hAnsi="Arial" w:cs="Arial"/>
                <w:b/>
                <w:bCs/>
                <w:sz w:val="24"/>
                <w:szCs w:val="24"/>
              </w:rPr>
              <w:t>Health condition</w:t>
            </w:r>
          </w:p>
        </w:tc>
        <w:tc>
          <w:tcPr>
            <w:tcW w:w="1803" w:type="dxa"/>
          </w:tcPr>
          <w:p w14:paraId="632B9C14" w14:textId="3C141B02" w:rsidR="003F0CEE" w:rsidRPr="0003613D" w:rsidRDefault="003F0CEE" w:rsidP="003F0CEE">
            <w:pPr>
              <w:rPr>
                <w:rFonts w:ascii="Arial" w:eastAsia="Calibri" w:hAnsi="Arial" w:cs="Arial"/>
                <w:b/>
                <w:bCs/>
                <w:sz w:val="24"/>
                <w:szCs w:val="24"/>
              </w:rPr>
            </w:pPr>
            <w:r w:rsidRPr="0003613D">
              <w:rPr>
                <w:rFonts w:ascii="Arial" w:eastAsia="Calibri" w:hAnsi="Arial" w:cs="Arial"/>
                <w:b/>
                <w:bCs/>
                <w:sz w:val="24"/>
                <w:szCs w:val="24"/>
              </w:rPr>
              <w:t>2024</w:t>
            </w:r>
          </w:p>
        </w:tc>
        <w:tc>
          <w:tcPr>
            <w:tcW w:w="1803" w:type="dxa"/>
          </w:tcPr>
          <w:p w14:paraId="1B0F996A" w14:textId="40E70F73" w:rsidR="003F0CEE" w:rsidRPr="0003613D" w:rsidRDefault="003F0CEE" w:rsidP="003F0CEE">
            <w:pPr>
              <w:rPr>
                <w:rFonts w:ascii="Arial" w:eastAsia="Calibri" w:hAnsi="Arial" w:cs="Arial"/>
                <w:b/>
                <w:bCs/>
                <w:sz w:val="24"/>
                <w:szCs w:val="24"/>
              </w:rPr>
            </w:pPr>
            <w:r w:rsidRPr="0003613D">
              <w:rPr>
                <w:rFonts w:ascii="Arial" w:eastAsia="Calibri" w:hAnsi="Arial" w:cs="Arial"/>
                <w:b/>
                <w:bCs/>
                <w:sz w:val="24"/>
                <w:szCs w:val="24"/>
              </w:rPr>
              <w:t>2041</w:t>
            </w:r>
          </w:p>
        </w:tc>
        <w:tc>
          <w:tcPr>
            <w:tcW w:w="1803" w:type="dxa"/>
          </w:tcPr>
          <w:p w14:paraId="407D2B6F" w14:textId="341EDB6D" w:rsidR="003F0CEE" w:rsidRPr="0003613D" w:rsidRDefault="003F0CEE" w:rsidP="003F0CEE">
            <w:pPr>
              <w:rPr>
                <w:rFonts w:ascii="Arial" w:eastAsia="Calibri" w:hAnsi="Arial" w:cs="Arial"/>
                <w:b/>
                <w:bCs/>
                <w:sz w:val="24"/>
                <w:szCs w:val="24"/>
              </w:rPr>
            </w:pPr>
            <w:r w:rsidRPr="0003613D">
              <w:rPr>
                <w:rFonts w:ascii="Arial" w:eastAsia="Calibri" w:hAnsi="Arial" w:cs="Arial"/>
                <w:b/>
                <w:bCs/>
                <w:sz w:val="24"/>
                <w:szCs w:val="24"/>
              </w:rPr>
              <w:t>Total change</w:t>
            </w:r>
          </w:p>
        </w:tc>
        <w:tc>
          <w:tcPr>
            <w:tcW w:w="1804" w:type="dxa"/>
          </w:tcPr>
          <w:p w14:paraId="1CF81672" w14:textId="052150D5" w:rsidR="003F0CEE" w:rsidRPr="0003613D" w:rsidRDefault="003F0CEE" w:rsidP="003F0CEE">
            <w:pPr>
              <w:rPr>
                <w:rFonts w:ascii="Arial" w:eastAsia="Calibri" w:hAnsi="Arial" w:cs="Arial"/>
                <w:b/>
                <w:bCs/>
                <w:sz w:val="24"/>
                <w:szCs w:val="24"/>
              </w:rPr>
            </w:pPr>
            <w:r w:rsidRPr="0003613D">
              <w:rPr>
                <w:rFonts w:ascii="Arial" w:eastAsia="Calibri" w:hAnsi="Arial" w:cs="Arial"/>
                <w:b/>
                <w:bCs/>
                <w:sz w:val="24"/>
                <w:szCs w:val="24"/>
              </w:rPr>
              <w:t>Percentage change</w:t>
            </w:r>
            <w:r w:rsidR="00B65DC6" w:rsidRPr="0003613D">
              <w:rPr>
                <w:rFonts w:ascii="Arial" w:eastAsia="Calibri" w:hAnsi="Arial" w:cs="Arial"/>
                <w:b/>
                <w:bCs/>
                <w:sz w:val="24"/>
                <w:szCs w:val="24"/>
              </w:rPr>
              <w:t xml:space="preserve"> (%)</w:t>
            </w:r>
          </w:p>
        </w:tc>
      </w:tr>
      <w:tr w:rsidR="003F0CEE" w:rsidRPr="0003613D" w14:paraId="2E127E6F" w14:textId="77777777" w:rsidTr="003F0CEE">
        <w:tc>
          <w:tcPr>
            <w:tcW w:w="1803" w:type="dxa"/>
          </w:tcPr>
          <w:p w14:paraId="04A9AB4D" w14:textId="23BF1988" w:rsidR="003F0CEE" w:rsidRPr="0003613D" w:rsidRDefault="003F0CEE" w:rsidP="003F0CEE">
            <w:pPr>
              <w:pStyle w:val="Default"/>
            </w:pPr>
            <w:r w:rsidRPr="0003613D">
              <w:t xml:space="preserve">People aged 65 or over disabled under the equality act </w:t>
            </w:r>
          </w:p>
          <w:p w14:paraId="33B1D3BD" w14:textId="77777777" w:rsidR="003F0CEE" w:rsidRPr="0003613D" w:rsidRDefault="003F0CEE" w:rsidP="003F0CEE">
            <w:pPr>
              <w:rPr>
                <w:rFonts w:ascii="Arial" w:eastAsia="Calibri" w:hAnsi="Arial" w:cs="Arial"/>
                <w:color w:val="0070C0"/>
                <w:sz w:val="24"/>
                <w:szCs w:val="24"/>
              </w:rPr>
            </w:pPr>
          </w:p>
        </w:tc>
        <w:tc>
          <w:tcPr>
            <w:tcW w:w="1803" w:type="dxa"/>
          </w:tcPr>
          <w:p w14:paraId="4814D6CC" w14:textId="3E148C4B" w:rsidR="003F0CEE" w:rsidRPr="0003613D" w:rsidRDefault="00B65DC6" w:rsidP="003F0CEE">
            <w:pPr>
              <w:rPr>
                <w:rFonts w:ascii="Arial" w:eastAsia="Calibri" w:hAnsi="Arial" w:cs="Arial"/>
                <w:sz w:val="24"/>
                <w:szCs w:val="24"/>
              </w:rPr>
            </w:pPr>
            <w:r w:rsidRPr="0003613D">
              <w:rPr>
                <w:rFonts w:ascii="Arial" w:eastAsia="Calibri" w:hAnsi="Arial" w:cs="Arial"/>
                <w:sz w:val="24"/>
                <w:szCs w:val="24"/>
              </w:rPr>
              <w:t>21,527</w:t>
            </w:r>
          </w:p>
        </w:tc>
        <w:tc>
          <w:tcPr>
            <w:tcW w:w="1803" w:type="dxa"/>
          </w:tcPr>
          <w:p w14:paraId="6281217B" w14:textId="1BAEDFBA" w:rsidR="003F0CEE" w:rsidRPr="0003613D" w:rsidRDefault="00B65DC6" w:rsidP="003F0CEE">
            <w:pPr>
              <w:rPr>
                <w:rFonts w:ascii="Arial" w:eastAsia="Calibri" w:hAnsi="Arial" w:cs="Arial"/>
                <w:sz w:val="24"/>
                <w:szCs w:val="24"/>
              </w:rPr>
            </w:pPr>
            <w:r w:rsidRPr="0003613D">
              <w:rPr>
                <w:rFonts w:ascii="Arial" w:eastAsia="Calibri" w:hAnsi="Arial" w:cs="Arial"/>
                <w:sz w:val="24"/>
                <w:szCs w:val="24"/>
              </w:rPr>
              <w:t>30,631</w:t>
            </w:r>
          </w:p>
        </w:tc>
        <w:tc>
          <w:tcPr>
            <w:tcW w:w="1803" w:type="dxa"/>
          </w:tcPr>
          <w:p w14:paraId="0EEE4F91" w14:textId="7DA721C1" w:rsidR="003F0CEE" w:rsidRPr="0003613D" w:rsidRDefault="00B65DC6" w:rsidP="003F0CEE">
            <w:pPr>
              <w:rPr>
                <w:rFonts w:ascii="Arial" w:eastAsia="Calibri" w:hAnsi="Arial" w:cs="Arial"/>
                <w:sz w:val="24"/>
                <w:szCs w:val="24"/>
              </w:rPr>
            </w:pPr>
            <w:r w:rsidRPr="0003613D">
              <w:rPr>
                <w:rFonts w:ascii="Arial" w:eastAsia="Calibri" w:hAnsi="Arial" w:cs="Arial"/>
                <w:sz w:val="24"/>
                <w:szCs w:val="24"/>
              </w:rPr>
              <w:t>9,104</w:t>
            </w:r>
          </w:p>
        </w:tc>
        <w:tc>
          <w:tcPr>
            <w:tcW w:w="1804" w:type="dxa"/>
          </w:tcPr>
          <w:p w14:paraId="676F2605" w14:textId="471DF77A" w:rsidR="003F0CEE" w:rsidRPr="0003613D" w:rsidRDefault="00B65DC6" w:rsidP="003F0CEE">
            <w:pPr>
              <w:rPr>
                <w:rFonts w:ascii="Arial" w:eastAsia="Calibri" w:hAnsi="Arial" w:cs="Arial"/>
                <w:sz w:val="24"/>
                <w:szCs w:val="24"/>
              </w:rPr>
            </w:pPr>
            <w:r w:rsidRPr="0003613D">
              <w:rPr>
                <w:rFonts w:ascii="Arial" w:eastAsia="Calibri" w:hAnsi="Arial" w:cs="Arial"/>
                <w:sz w:val="24"/>
                <w:szCs w:val="24"/>
              </w:rPr>
              <w:t>42.3</w:t>
            </w:r>
            <w:r w:rsidR="006E2310" w:rsidRPr="0003613D">
              <w:rPr>
                <w:rFonts w:ascii="Arial" w:eastAsia="Calibri" w:hAnsi="Arial" w:cs="Arial"/>
                <w:sz w:val="24"/>
                <w:szCs w:val="24"/>
              </w:rPr>
              <w:t>%</w:t>
            </w:r>
            <w:r w:rsidR="00DD1F88" w:rsidRPr="0003613D">
              <w:rPr>
                <w:rFonts w:ascii="Arial" w:eastAsia="Calibri" w:hAnsi="Arial" w:cs="Arial"/>
                <w:sz w:val="24"/>
                <w:szCs w:val="24"/>
              </w:rPr>
              <w:t xml:space="preserve"> increase</w:t>
            </w:r>
          </w:p>
        </w:tc>
      </w:tr>
      <w:tr w:rsidR="003F0CEE" w:rsidRPr="0003613D" w14:paraId="02C3D69C" w14:textId="77777777" w:rsidTr="003F0CEE">
        <w:tc>
          <w:tcPr>
            <w:tcW w:w="1803" w:type="dxa"/>
          </w:tcPr>
          <w:p w14:paraId="4974ACB5" w14:textId="43ADEC1F" w:rsidR="003F0CEE" w:rsidRPr="0003613D" w:rsidRDefault="003F0CEE" w:rsidP="003F0CEE">
            <w:pPr>
              <w:pStyle w:val="Default"/>
            </w:pPr>
            <w:r w:rsidRPr="0003613D">
              <w:t xml:space="preserve">People aged 18-64 with impaired mobility </w:t>
            </w:r>
          </w:p>
          <w:p w14:paraId="16894264" w14:textId="77777777" w:rsidR="003F0CEE" w:rsidRPr="0003613D" w:rsidRDefault="003F0CEE" w:rsidP="003F0CEE">
            <w:pPr>
              <w:rPr>
                <w:rFonts w:ascii="Arial" w:eastAsia="Calibri" w:hAnsi="Arial" w:cs="Arial"/>
                <w:color w:val="0070C0"/>
                <w:sz w:val="24"/>
                <w:szCs w:val="24"/>
              </w:rPr>
            </w:pPr>
          </w:p>
        </w:tc>
        <w:tc>
          <w:tcPr>
            <w:tcW w:w="1803" w:type="dxa"/>
          </w:tcPr>
          <w:p w14:paraId="2AC4B68B" w14:textId="084810E4" w:rsidR="003F0CEE" w:rsidRPr="0003613D" w:rsidRDefault="00B65DC6" w:rsidP="003F0CEE">
            <w:pPr>
              <w:rPr>
                <w:rFonts w:ascii="Arial" w:eastAsia="Calibri" w:hAnsi="Arial" w:cs="Arial"/>
                <w:sz w:val="24"/>
                <w:szCs w:val="24"/>
              </w:rPr>
            </w:pPr>
            <w:r w:rsidRPr="0003613D">
              <w:rPr>
                <w:rFonts w:ascii="Arial" w:eastAsia="Calibri" w:hAnsi="Arial" w:cs="Arial"/>
                <w:sz w:val="24"/>
                <w:szCs w:val="24"/>
              </w:rPr>
              <w:t>11,229</w:t>
            </w:r>
          </w:p>
        </w:tc>
        <w:tc>
          <w:tcPr>
            <w:tcW w:w="1803" w:type="dxa"/>
          </w:tcPr>
          <w:p w14:paraId="579BBF85" w14:textId="1440250D" w:rsidR="003F0CEE" w:rsidRPr="0003613D" w:rsidRDefault="00B65DC6" w:rsidP="003F0CEE">
            <w:pPr>
              <w:rPr>
                <w:rFonts w:ascii="Arial" w:eastAsia="Calibri" w:hAnsi="Arial" w:cs="Arial"/>
                <w:sz w:val="24"/>
                <w:szCs w:val="24"/>
              </w:rPr>
            </w:pPr>
            <w:r w:rsidRPr="0003613D">
              <w:rPr>
                <w:rFonts w:ascii="Arial" w:eastAsia="Calibri" w:hAnsi="Arial" w:cs="Arial"/>
                <w:sz w:val="24"/>
                <w:szCs w:val="24"/>
              </w:rPr>
              <w:t>12,805</w:t>
            </w:r>
          </w:p>
        </w:tc>
        <w:tc>
          <w:tcPr>
            <w:tcW w:w="1803" w:type="dxa"/>
          </w:tcPr>
          <w:p w14:paraId="0D0F4708" w14:textId="57E99EC7" w:rsidR="003F0CEE" w:rsidRPr="0003613D" w:rsidRDefault="00B65DC6" w:rsidP="003F0CEE">
            <w:pPr>
              <w:rPr>
                <w:rFonts w:ascii="Arial" w:eastAsia="Calibri" w:hAnsi="Arial" w:cs="Arial"/>
                <w:sz w:val="24"/>
                <w:szCs w:val="24"/>
              </w:rPr>
            </w:pPr>
            <w:r w:rsidRPr="0003613D">
              <w:rPr>
                <w:rFonts w:ascii="Arial" w:eastAsia="Calibri" w:hAnsi="Arial" w:cs="Arial"/>
                <w:sz w:val="24"/>
                <w:szCs w:val="24"/>
              </w:rPr>
              <w:t>1,575</w:t>
            </w:r>
          </w:p>
        </w:tc>
        <w:tc>
          <w:tcPr>
            <w:tcW w:w="1804" w:type="dxa"/>
          </w:tcPr>
          <w:p w14:paraId="1E24BF19" w14:textId="50944C76" w:rsidR="003F0CEE" w:rsidRPr="0003613D" w:rsidRDefault="00B65DC6" w:rsidP="003F0CEE">
            <w:pPr>
              <w:rPr>
                <w:rFonts w:ascii="Arial" w:eastAsia="Calibri" w:hAnsi="Arial" w:cs="Arial"/>
                <w:sz w:val="24"/>
                <w:szCs w:val="24"/>
              </w:rPr>
            </w:pPr>
            <w:r w:rsidRPr="0003613D">
              <w:rPr>
                <w:rFonts w:ascii="Arial" w:eastAsia="Calibri" w:hAnsi="Arial" w:cs="Arial"/>
                <w:sz w:val="24"/>
                <w:szCs w:val="24"/>
              </w:rPr>
              <w:t>14</w:t>
            </w:r>
            <w:r w:rsidR="006E2310" w:rsidRPr="0003613D">
              <w:rPr>
                <w:rFonts w:ascii="Arial" w:eastAsia="Calibri" w:hAnsi="Arial" w:cs="Arial"/>
                <w:sz w:val="24"/>
                <w:szCs w:val="24"/>
              </w:rPr>
              <w:t>%</w:t>
            </w:r>
            <w:r w:rsidR="00DD1F88" w:rsidRPr="0003613D">
              <w:rPr>
                <w:rFonts w:ascii="Arial" w:eastAsia="Calibri" w:hAnsi="Arial" w:cs="Arial"/>
                <w:sz w:val="24"/>
                <w:szCs w:val="24"/>
              </w:rPr>
              <w:t xml:space="preserve"> increase</w:t>
            </w:r>
          </w:p>
        </w:tc>
      </w:tr>
      <w:tr w:rsidR="003F0CEE" w:rsidRPr="0003613D" w14:paraId="2568C3B3" w14:textId="77777777" w:rsidTr="003F0CEE">
        <w:tc>
          <w:tcPr>
            <w:tcW w:w="1803" w:type="dxa"/>
          </w:tcPr>
          <w:p w14:paraId="0C42111B" w14:textId="77777777" w:rsidR="003F0CEE" w:rsidRPr="0003613D" w:rsidRDefault="003F0CEE" w:rsidP="003F0CEE">
            <w:pPr>
              <w:pStyle w:val="Default"/>
            </w:pPr>
            <w:r w:rsidRPr="0003613D">
              <w:lastRenderedPageBreak/>
              <w:t xml:space="preserve">People aged 18-64 with a common mental health problem </w:t>
            </w:r>
          </w:p>
          <w:p w14:paraId="2E0CDED0" w14:textId="77777777" w:rsidR="003F0CEE" w:rsidRPr="0003613D" w:rsidRDefault="003F0CEE" w:rsidP="003F0CEE">
            <w:pPr>
              <w:rPr>
                <w:rFonts w:ascii="Arial" w:eastAsia="Calibri" w:hAnsi="Arial" w:cs="Arial"/>
                <w:color w:val="0070C0"/>
                <w:sz w:val="24"/>
                <w:szCs w:val="24"/>
              </w:rPr>
            </w:pPr>
          </w:p>
        </w:tc>
        <w:tc>
          <w:tcPr>
            <w:tcW w:w="1803" w:type="dxa"/>
          </w:tcPr>
          <w:p w14:paraId="3ECC97A0" w14:textId="086EA0EA" w:rsidR="003F0CEE" w:rsidRPr="0003613D" w:rsidRDefault="00B65DC6" w:rsidP="003F0CEE">
            <w:pPr>
              <w:rPr>
                <w:rFonts w:ascii="Arial" w:eastAsia="Calibri" w:hAnsi="Arial" w:cs="Arial"/>
                <w:sz w:val="24"/>
                <w:szCs w:val="24"/>
              </w:rPr>
            </w:pPr>
            <w:r w:rsidRPr="0003613D">
              <w:rPr>
                <w:rFonts w:ascii="Arial" w:eastAsia="Calibri" w:hAnsi="Arial" w:cs="Arial"/>
                <w:sz w:val="24"/>
                <w:szCs w:val="24"/>
              </w:rPr>
              <w:t>40,293</w:t>
            </w:r>
          </w:p>
        </w:tc>
        <w:tc>
          <w:tcPr>
            <w:tcW w:w="1803" w:type="dxa"/>
          </w:tcPr>
          <w:p w14:paraId="49E1993C" w14:textId="4D696D66" w:rsidR="003F0CEE" w:rsidRPr="0003613D" w:rsidRDefault="00B65DC6" w:rsidP="003F0CEE">
            <w:pPr>
              <w:rPr>
                <w:rFonts w:ascii="Arial" w:eastAsia="Calibri" w:hAnsi="Arial" w:cs="Arial"/>
                <w:sz w:val="24"/>
                <w:szCs w:val="24"/>
              </w:rPr>
            </w:pPr>
            <w:r w:rsidRPr="0003613D">
              <w:rPr>
                <w:rFonts w:ascii="Arial" w:eastAsia="Calibri" w:hAnsi="Arial" w:cs="Arial"/>
                <w:sz w:val="24"/>
                <w:szCs w:val="24"/>
              </w:rPr>
              <w:t>46,078</w:t>
            </w:r>
          </w:p>
        </w:tc>
        <w:tc>
          <w:tcPr>
            <w:tcW w:w="1803" w:type="dxa"/>
          </w:tcPr>
          <w:p w14:paraId="6EC070E7" w14:textId="073ED827" w:rsidR="003F0CEE" w:rsidRPr="0003613D" w:rsidRDefault="00B65DC6" w:rsidP="003F0CEE">
            <w:pPr>
              <w:rPr>
                <w:rFonts w:ascii="Arial" w:eastAsia="Calibri" w:hAnsi="Arial" w:cs="Arial"/>
                <w:sz w:val="24"/>
                <w:szCs w:val="24"/>
              </w:rPr>
            </w:pPr>
            <w:r w:rsidRPr="0003613D">
              <w:rPr>
                <w:rFonts w:ascii="Arial" w:eastAsia="Calibri" w:hAnsi="Arial" w:cs="Arial"/>
                <w:sz w:val="24"/>
                <w:szCs w:val="24"/>
              </w:rPr>
              <w:t>5,785</w:t>
            </w:r>
          </w:p>
        </w:tc>
        <w:tc>
          <w:tcPr>
            <w:tcW w:w="1804" w:type="dxa"/>
          </w:tcPr>
          <w:p w14:paraId="67B85383" w14:textId="71DE46B7" w:rsidR="003F0CEE" w:rsidRPr="0003613D" w:rsidRDefault="006E2310" w:rsidP="003F0CEE">
            <w:pPr>
              <w:rPr>
                <w:rFonts w:ascii="Arial" w:eastAsia="Calibri" w:hAnsi="Arial" w:cs="Arial"/>
                <w:sz w:val="24"/>
                <w:szCs w:val="24"/>
              </w:rPr>
            </w:pPr>
            <w:r w:rsidRPr="0003613D">
              <w:rPr>
                <w:rFonts w:ascii="Arial" w:eastAsia="Calibri" w:hAnsi="Arial" w:cs="Arial"/>
                <w:sz w:val="24"/>
                <w:szCs w:val="24"/>
              </w:rPr>
              <w:t>14.4%</w:t>
            </w:r>
            <w:r w:rsidR="00DD1F88" w:rsidRPr="0003613D">
              <w:rPr>
                <w:rFonts w:ascii="Arial" w:eastAsia="Calibri" w:hAnsi="Arial" w:cs="Arial"/>
                <w:sz w:val="24"/>
                <w:szCs w:val="24"/>
              </w:rPr>
              <w:t xml:space="preserve"> increase</w:t>
            </w:r>
          </w:p>
        </w:tc>
      </w:tr>
      <w:tr w:rsidR="003F0CEE" w:rsidRPr="0003613D" w14:paraId="5A278991" w14:textId="77777777" w:rsidTr="003F0CEE">
        <w:tc>
          <w:tcPr>
            <w:tcW w:w="1803" w:type="dxa"/>
          </w:tcPr>
          <w:p w14:paraId="771CA4D2" w14:textId="77777777" w:rsidR="003F0CEE" w:rsidRPr="0003613D" w:rsidRDefault="003F0CEE" w:rsidP="003F0CEE">
            <w:pPr>
              <w:pStyle w:val="Default"/>
            </w:pPr>
            <w:r w:rsidRPr="0003613D">
              <w:t xml:space="preserve">People aged 65 and over with dementia </w:t>
            </w:r>
          </w:p>
          <w:p w14:paraId="3F286E36" w14:textId="77777777" w:rsidR="003F0CEE" w:rsidRPr="0003613D" w:rsidRDefault="003F0CEE" w:rsidP="003F0CEE">
            <w:pPr>
              <w:rPr>
                <w:rFonts w:ascii="Arial" w:eastAsia="Calibri" w:hAnsi="Arial" w:cs="Arial"/>
                <w:color w:val="0070C0"/>
                <w:sz w:val="24"/>
                <w:szCs w:val="24"/>
              </w:rPr>
            </w:pPr>
          </w:p>
        </w:tc>
        <w:tc>
          <w:tcPr>
            <w:tcW w:w="1803" w:type="dxa"/>
          </w:tcPr>
          <w:p w14:paraId="0D18F2B3" w14:textId="21D63A7D" w:rsidR="003F0CEE" w:rsidRPr="0003613D" w:rsidRDefault="00B65DC6" w:rsidP="003F0CEE">
            <w:pPr>
              <w:rPr>
                <w:rFonts w:ascii="Arial" w:eastAsia="Calibri" w:hAnsi="Arial" w:cs="Arial"/>
                <w:sz w:val="24"/>
                <w:szCs w:val="24"/>
              </w:rPr>
            </w:pPr>
            <w:r w:rsidRPr="0003613D">
              <w:rPr>
                <w:rFonts w:ascii="Arial" w:eastAsia="Calibri" w:hAnsi="Arial" w:cs="Arial"/>
                <w:sz w:val="24"/>
                <w:szCs w:val="24"/>
              </w:rPr>
              <w:t>3,492</w:t>
            </w:r>
          </w:p>
        </w:tc>
        <w:tc>
          <w:tcPr>
            <w:tcW w:w="1803" w:type="dxa"/>
          </w:tcPr>
          <w:p w14:paraId="112371C8" w14:textId="2100FC8C" w:rsidR="003F0CEE" w:rsidRPr="0003613D" w:rsidRDefault="00B65DC6" w:rsidP="003F0CEE">
            <w:pPr>
              <w:rPr>
                <w:rFonts w:ascii="Arial" w:eastAsia="Calibri" w:hAnsi="Arial" w:cs="Arial"/>
                <w:sz w:val="24"/>
                <w:szCs w:val="24"/>
              </w:rPr>
            </w:pPr>
            <w:r w:rsidRPr="0003613D">
              <w:rPr>
                <w:rFonts w:ascii="Arial" w:eastAsia="Calibri" w:hAnsi="Arial" w:cs="Arial"/>
                <w:sz w:val="24"/>
                <w:szCs w:val="24"/>
              </w:rPr>
              <w:t>5,316</w:t>
            </w:r>
          </w:p>
        </w:tc>
        <w:tc>
          <w:tcPr>
            <w:tcW w:w="1803" w:type="dxa"/>
          </w:tcPr>
          <w:p w14:paraId="17D0B457" w14:textId="429D15D6" w:rsidR="003F0CEE" w:rsidRPr="0003613D" w:rsidRDefault="00B65DC6" w:rsidP="003F0CEE">
            <w:pPr>
              <w:rPr>
                <w:rFonts w:ascii="Arial" w:eastAsia="Calibri" w:hAnsi="Arial" w:cs="Arial"/>
                <w:sz w:val="24"/>
                <w:szCs w:val="24"/>
              </w:rPr>
            </w:pPr>
            <w:r w:rsidRPr="0003613D">
              <w:rPr>
                <w:rFonts w:ascii="Arial" w:eastAsia="Calibri" w:hAnsi="Arial" w:cs="Arial"/>
                <w:sz w:val="24"/>
                <w:szCs w:val="24"/>
              </w:rPr>
              <w:t>1,824</w:t>
            </w:r>
          </w:p>
        </w:tc>
        <w:tc>
          <w:tcPr>
            <w:tcW w:w="1804" w:type="dxa"/>
          </w:tcPr>
          <w:p w14:paraId="3CA3274D" w14:textId="346D392F" w:rsidR="003F0CEE" w:rsidRPr="0003613D" w:rsidRDefault="006E2310" w:rsidP="003F0CEE">
            <w:pPr>
              <w:rPr>
                <w:rFonts w:ascii="Arial" w:eastAsia="Calibri" w:hAnsi="Arial" w:cs="Arial"/>
                <w:sz w:val="24"/>
                <w:szCs w:val="24"/>
              </w:rPr>
            </w:pPr>
            <w:r w:rsidRPr="0003613D">
              <w:rPr>
                <w:rFonts w:ascii="Arial" w:eastAsia="Calibri" w:hAnsi="Arial" w:cs="Arial"/>
                <w:sz w:val="24"/>
                <w:szCs w:val="24"/>
              </w:rPr>
              <w:t>52.2%</w:t>
            </w:r>
            <w:r w:rsidR="00DD1F88" w:rsidRPr="0003613D">
              <w:rPr>
                <w:rFonts w:ascii="Arial" w:eastAsia="Calibri" w:hAnsi="Arial" w:cs="Arial"/>
                <w:sz w:val="24"/>
                <w:szCs w:val="24"/>
              </w:rPr>
              <w:t xml:space="preserve"> increase</w:t>
            </w:r>
          </w:p>
        </w:tc>
      </w:tr>
      <w:tr w:rsidR="003F0CEE" w:rsidRPr="0003613D" w14:paraId="681C6FBE" w14:textId="77777777" w:rsidTr="003F0CEE">
        <w:tc>
          <w:tcPr>
            <w:tcW w:w="1803" w:type="dxa"/>
          </w:tcPr>
          <w:p w14:paraId="6097A39F" w14:textId="77777777" w:rsidR="003F0CEE" w:rsidRPr="0003613D" w:rsidRDefault="003F0CEE" w:rsidP="003F0CEE">
            <w:pPr>
              <w:pStyle w:val="Default"/>
            </w:pPr>
            <w:r w:rsidRPr="0003613D">
              <w:t xml:space="preserve">People all ages with a learning disability </w:t>
            </w:r>
          </w:p>
          <w:p w14:paraId="39D55C4A" w14:textId="77777777" w:rsidR="003F0CEE" w:rsidRPr="0003613D" w:rsidRDefault="003F0CEE" w:rsidP="003F0CEE">
            <w:pPr>
              <w:rPr>
                <w:rFonts w:ascii="Arial" w:eastAsia="Calibri" w:hAnsi="Arial" w:cs="Arial"/>
                <w:color w:val="0070C0"/>
                <w:sz w:val="24"/>
                <w:szCs w:val="24"/>
              </w:rPr>
            </w:pPr>
          </w:p>
        </w:tc>
        <w:tc>
          <w:tcPr>
            <w:tcW w:w="1803" w:type="dxa"/>
          </w:tcPr>
          <w:p w14:paraId="494249D7" w14:textId="5C31B4E2" w:rsidR="003F0CEE" w:rsidRPr="0003613D" w:rsidRDefault="00B65DC6" w:rsidP="003F0CEE">
            <w:pPr>
              <w:rPr>
                <w:rFonts w:ascii="Arial" w:eastAsia="Calibri" w:hAnsi="Arial" w:cs="Arial"/>
                <w:sz w:val="24"/>
                <w:szCs w:val="24"/>
              </w:rPr>
            </w:pPr>
            <w:r w:rsidRPr="0003613D">
              <w:rPr>
                <w:rFonts w:ascii="Arial" w:eastAsia="Calibri" w:hAnsi="Arial" w:cs="Arial"/>
                <w:sz w:val="24"/>
                <w:szCs w:val="24"/>
              </w:rPr>
              <w:t>6,505</w:t>
            </w:r>
          </w:p>
        </w:tc>
        <w:tc>
          <w:tcPr>
            <w:tcW w:w="1803" w:type="dxa"/>
          </w:tcPr>
          <w:p w14:paraId="0F179779" w14:textId="1E4D0449" w:rsidR="003F0CEE" w:rsidRPr="0003613D" w:rsidRDefault="00B65DC6" w:rsidP="003F0CEE">
            <w:pPr>
              <w:rPr>
                <w:rFonts w:ascii="Arial" w:eastAsia="Calibri" w:hAnsi="Arial" w:cs="Arial"/>
                <w:sz w:val="24"/>
                <w:szCs w:val="24"/>
              </w:rPr>
            </w:pPr>
            <w:r w:rsidRPr="0003613D">
              <w:rPr>
                <w:rFonts w:ascii="Arial" w:eastAsia="Calibri" w:hAnsi="Arial" w:cs="Arial"/>
                <w:sz w:val="24"/>
                <w:szCs w:val="24"/>
              </w:rPr>
              <w:t>7,867</w:t>
            </w:r>
          </w:p>
        </w:tc>
        <w:tc>
          <w:tcPr>
            <w:tcW w:w="1803" w:type="dxa"/>
          </w:tcPr>
          <w:p w14:paraId="171AB2AF" w14:textId="2ED9B597" w:rsidR="003F0CEE" w:rsidRPr="0003613D" w:rsidRDefault="00B65DC6" w:rsidP="003F0CEE">
            <w:pPr>
              <w:rPr>
                <w:rFonts w:ascii="Arial" w:eastAsia="Calibri" w:hAnsi="Arial" w:cs="Arial"/>
                <w:sz w:val="24"/>
                <w:szCs w:val="24"/>
              </w:rPr>
            </w:pPr>
            <w:r w:rsidRPr="0003613D">
              <w:rPr>
                <w:rFonts w:ascii="Arial" w:eastAsia="Calibri" w:hAnsi="Arial" w:cs="Arial"/>
                <w:sz w:val="24"/>
                <w:szCs w:val="24"/>
              </w:rPr>
              <w:t>1,363</w:t>
            </w:r>
          </w:p>
        </w:tc>
        <w:tc>
          <w:tcPr>
            <w:tcW w:w="1804" w:type="dxa"/>
          </w:tcPr>
          <w:p w14:paraId="7645A01D" w14:textId="37918945" w:rsidR="003F0CEE" w:rsidRPr="0003613D" w:rsidRDefault="006E2310" w:rsidP="003F0CEE">
            <w:pPr>
              <w:rPr>
                <w:rFonts w:ascii="Arial" w:eastAsia="Calibri" w:hAnsi="Arial" w:cs="Arial"/>
                <w:sz w:val="24"/>
                <w:szCs w:val="24"/>
              </w:rPr>
            </w:pPr>
            <w:r w:rsidRPr="0003613D">
              <w:rPr>
                <w:rFonts w:ascii="Arial" w:eastAsia="Calibri" w:hAnsi="Arial" w:cs="Arial"/>
                <w:sz w:val="24"/>
                <w:szCs w:val="24"/>
              </w:rPr>
              <w:t>21%</w:t>
            </w:r>
            <w:r w:rsidR="00DD1F88" w:rsidRPr="0003613D">
              <w:rPr>
                <w:rFonts w:ascii="Arial" w:eastAsia="Calibri" w:hAnsi="Arial" w:cs="Arial"/>
                <w:sz w:val="24"/>
                <w:szCs w:val="24"/>
              </w:rPr>
              <w:t xml:space="preserve"> increase</w:t>
            </w:r>
          </w:p>
        </w:tc>
      </w:tr>
    </w:tbl>
    <w:p w14:paraId="27F82B48" w14:textId="77777777" w:rsidR="003F0CEE" w:rsidRPr="0003613D" w:rsidRDefault="003F0CEE" w:rsidP="003F0CEE">
      <w:pPr>
        <w:rPr>
          <w:rFonts w:ascii="Arial" w:eastAsia="Calibri" w:hAnsi="Arial" w:cs="Arial"/>
          <w:color w:val="0070C0"/>
          <w:sz w:val="24"/>
          <w:szCs w:val="24"/>
        </w:rPr>
      </w:pPr>
    </w:p>
    <w:p w14:paraId="118B97DF" w14:textId="1D29CA4A" w:rsidR="003F0CEE" w:rsidRPr="0003613D" w:rsidRDefault="003F0CEE" w:rsidP="003F0CEE">
      <w:pPr>
        <w:rPr>
          <w:rFonts w:ascii="Arial" w:eastAsia="Calibri" w:hAnsi="Arial" w:cs="Arial"/>
          <w:sz w:val="24"/>
          <w:szCs w:val="24"/>
        </w:rPr>
      </w:pPr>
      <w:r w:rsidRPr="0003613D">
        <w:rPr>
          <w:rFonts w:ascii="Arial" w:eastAsia="Calibri" w:hAnsi="Arial" w:cs="Arial"/>
          <w:sz w:val="24"/>
          <w:szCs w:val="24"/>
        </w:rPr>
        <w:t>The table shows that the number of those aged 65 or over disabled under the Equality Act, is expected to increase by 42.3% between 2024 and 2041 in Sandwell. Th</w:t>
      </w:r>
      <w:r w:rsidR="00E45232" w:rsidRPr="0003613D">
        <w:rPr>
          <w:rFonts w:ascii="Arial" w:eastAsia="Calibri" w:hAnsi="Arial" w:cs="Arial"/>
          <w:sz w:val="24"/>
          <w:szCs w:val="24"/>
        </w:rPr>
        <w:t>e table also indicate</w:t>
      </w:r>
      <w:r w:rsidR="001055DC" w:rsidRPr="0003613D">
        <w:rPr>
          <w:rFonts w:ascii="Arial" w:eastAsia="Calibri" w:hAnsi="Arial" w:cs="Arial"/>
          <w:sz w:val="24"/>
          <w:szCs w:val="24"/>
        </w:rPr>
        <w:t xml:space="preserve">s </w:t>
      </w:r>
      <w:r w:rsidRPr="0003613D">
        <w:rPr>
          <w:rFonts w:ascii="Arial" w:eastAsia="Calibri" w:hAnsi="Arial" w:cs="Arial"/>
          <w:sz w:val="24"/>
          <w:szCs w:val="24"/>
        </w:rPr>
        <w:t xml:space="preserve">an increase of 14.0% in the number of people aged 18-64 in the </w:t>
      </w:r>
      <w:r w:rsidR="001055DC" w:rsidRPr="0003613D">
        <w:rPr>
          <w:rFonts w:ascii="Arial" w:eastAsia="Calibri" w:hAnsi="Arial" w:cs="Arial"/>
          <w:sz w:val="24"/>
          <w:szCs w:val="24"/>
        </w:rPr>
        <w:t>b</w:t>
      </w:r>
      <w:r w:rsidRPr="0003613D">
        <w:rPr>
          <w:rFonts w:ascii="Arial" w:eastAsia="Calibri" w:hAnsi="Arial" w:cs="Arial"/>
          <w:sz w:val="24"/>
          <w:szCs w:val="24"/>
        </w:rPr>
        <w:t xml:space="preserve">orough with impaired mobility, a rise of 14.4% in the number of people aged 18-64 in Sandwell with a common mental health disorder, an increase of 52.2% in the number of people aged 65 or over with dementia, and an increase of 21% in the number of people in Sandwell with a moderate or severe learning disability. </w:t>
      </w:r>
    </w:p>
    <w:p w14:paraId="0640713C" w14:textId="5DAD6085" w:rsidR="0049099B" w:rsidRPr="0003613D" w:rsidRDefault="0049099B" w:rsidP="003F0CEE">
      <w:pPr>
        <w:rPr>
          <w:rFonts w:ascii="Arial" w:eastAsia="Calibri" w:hAnsi="Arial" w:cs="Arial"/>
          <w:sz w:val="24"/>
          <w:szCs w:val="24"/>
        </w:rPr>
      </w:pPr>
      <w:r w:rsidRPr="0003613D">
        <w:rPr>
          <w:rFonts w:ascii="Arial" w:eastAsia="Calibri" w:hAnsi="Arial" w:cs="Arial"/>
          <w:sz w:val="24"/>
          <w:szCs w:val="24"/>
        </w:rPr>
        <w:t>The second table, as outlined below, presents the number of people in Sandwell that currently, and are projected to, in the year 2041, require assistance with activities</w:t>
      </w:r>
      <w:r w:rsidR="00B15EE5" w:rsidRPr="0003613D">
        <w:rPr>
          <w:rFonts w:ascii="Arial" w:eastAsia="Calibri" w:hAnsi="Arial" w:cs="Arial"/>
          <w:sz w:val="24"/>
          <w:szCs w:val="24"/>
        </w:rPr>
        <w:t xml:space="preserve"> [31]</w:t>
      </w:r>
      <w:r w:rsidRPr="0003613D">
        <w:rPr>
          <w:rFonts w:ascii="Arial" w:eastAsia="Calibri" w:hAnsi="Arial" w:cs="Arial"/>
          <w:sz w:val="24"/>
          <w:szCs w:val="24"/>
        </w:rPr>
        <w:t xml:space="preserve">. </w:t>
      </w:r>
    </w:p>
    <w:tbl>
      <w:tblPr>
        <w:tblStyle w:val="TableGrid"/>
        <w:tblW w:w="0" w:type="auto"/>
        <w:tblLook w:val="04A0" w:firstRow="1" w:lastRow="0" w:firstColumn="1" w:lastColumn="0" w:noHBand="0" w:noVBand="1"/>
      </w:tblPr>
      <w:tblGrid>
        <w:gridCol w:w="2263"/>
        <w:gridCol w:w="1701"/>
        <w:gridCol w:w="1560"/>
        <w:gridCol w:w="1688"/>
        <w:gridCol w:w="1804"/>
      </w:tblGrid>
      <w:tr w:rsidR="00957EDA" w:rsidRPr="0003613D" w14:paraId="7A0B6DEA" w14:textId="77777777" w:rsidTr="00957EDA">
        <w:tc>
          <w:tcPr>
            <w:tcW w:w="2263" w:type="dxa"/>
          </w:tcPr>
          <w:p w14:paraId="5AFA7D55" w14:textId="75731FBB" w:rsidR="00957EDA" w:rsidRPr="0003613D" w:rsidRDefault="00957EDA" w:rsidP="003F0CEE">
            <w:pPr>
              <w:rPr>
                <w:rFonts w:ascii="Arial" w:eastAsia="Calibri" w:hAnsi="Arial" w:cs="Arial"/>
                <w:b/>
                <w:bCs/>
                <w:sz w:val="24"/>
                <w:szCs w:val="24"/>
              </w:rPr>
            </w:pPr>
            <w:r w:rsidRPr="0003613D">
              <w:rPr>
                <w:rFonts w:ascii="Arial" w:eastAsia="Calibri" w:hAnsi="Arial" w:cs="Arial"/>
                <w:b/>
                <w:bCs/>
                <w:sz w:val="24"/>
                <w:szCs w:val="24"/>
              </w:rPr>
              <w:t xml:space="preserve">People requiring assistance with activities </w:t>
            </w:r>
          </w:p>
        </w:tc>
        <w:tc>
          <w:tcPr>
            <w:tcW w:w="1701" w:type="dxa"/>
          </w:tcPr>
          <w:p w14:paraId="56A70DBA" w14:textId="198F01F5" w:rsidR="00957EDA" w:rsidRPr="0003613D" w:rsidRDefault="00957EDA" w:rsidP="003F0CEE">
            <w:pPr>
              <w:rPr>
                <w:rFonts w:ascii="Arial" w:eastAsia="Calibri" w:hAnsi="Arial" w:cs="Arial"/>
                <w:b/>
                <w:bCs/>
                <w:sz w:val="24"/>
                <w:szCs w:val="24"/>
              </w:rPr>
            </w:pPr>
            <w:r w:rsidRPr="0003613D">
              <w:rPr>
                <w:rFonts w:ascii="Arial" w:eastAsia="Calibri" w:hAnsi="Arial" w:cs="Arial"/>
                <w:b/>
                <w:bCs/>
                <w:sz w:val="24"/>
                <w:szCs w:val="24"/>
              </w:rPr>
              <w:t>2024</w:t>
            </w:r>
          </w:p>
        </w:tc>
        <w:tc>
          <w:tcPr>
            <w:tcW w:w="1560" w:type="dxa"/>
          </w:tcPr>
          <w:p w14:paraId="61C68F54" w14:textId="0C68F906" w:rsidR="00957EDA" w:rsidRPr="0003613D" w:rsidRDefault="00957EDA" w:rsidP="003F0CEE">
            <w:pPr>
              <w:rPr>
                <w:rFonts w:ascii="Arial" w:eastAsia="Calibri" w:hAnsi="Arial" w:cs="Arial"/>
                <w:b/>
                <w:bCs/>
                <w:sz w:val="24"/>
                <w:szCs w:val="24"/>
              </w:rPr>
            </w:pPr>
            <w:r w:rsidRPr="0003613D">
              <w:rPr>
                <w:rFonts w:ascii="Arial" w:eastAsia="Calibri" w:hAnsi="Arial" w:cs="Arial"/>
                <w:b/>
                <w:bCs/>
                <w:sz w:val="24"/>
                <w:szCs w:val="24"/>
              </w:rPr>
              <w:t>2041</w:t>
            </w:r>
          </w:p>
        </w:tc>
        <w:tc>
          <w:tcPr>
            <w:tcW w:w="1688" w:type="dxa"/>
          </w:tcPr>
          <w:p w14:paraId="197585E6" w14:textId="07588987" w:rsidR="00957EDA" w:rsidRPr="0003613D" w:rsidRDefault="00957EDA" w:rsidP="003F0CEE">
            <w:pPr>
              <w:rPr>
                <w:rFonts w:ascii="Arial" w:eastAsia="Calibri" w:hAnsi="Arial" w:cs="Arial"/>
                <w:b/>
                <w:bCs/>
                <w:sz w:val="24"/>
                <w:szCs w:val="24"/>
              </w:rPr>
            </w:pPr>
            <w:r w:rsidRPr="0003613D">
              <w:rPr>
                <w:rFonts w:ascii="Arial" w:eastAsia="Calibri" w:hAnsi="Arial" w:cs="Arial"/>
                <w:b/>
                <w:bCs/>
                <w:sz w:val="24"/>
                <w:szCs w:val="24"/>
              </w:rPr>
              <w:t>Total change</w:t>
            </w:r>
          </w:p>
        </w:tc>
        <w:tc>
          <w:tcPr>
            <w:tcW w:w="1804" w:type="dxa"/>
          </w:tcPr>
          <w:p w14:paraId="4C9E901C" w14:textId="5251887A" w:rsidR="00957EDA" w:rsidRPr="0003613D" w:rsidRDefault="00957EDA" w:rsidP="003F0CEE">
            <w:pPr>
              <w:rPr>
                <w:rFonts w:ascii="Arial" w:eastAsia="Calibri" w:hAnsi="Arial" w:cs="Arial"/>
                <w:b/>
                <w:bCs/>
                <w:sz w:val="24"/>
                <w:szCs w:val="24"/>
              </w:rPr>
            </w:pPr>
            <w:r w:rsidRPr="0003613D">
              <w:rPr>
                <w:rFonts w:ascii="Arial" w:eastAsia="Calibri" w:hAnsi="Arial" w:cs="Arial"/>
                <w:b/>
                <w:bCs/>
                <w:sz w:val="24"/>
                <w:szCs w:val="24"/>
              </w:rPr>
              <w:t>Percentage change (%)</w:t>
            </w:r>
          </w:p>
        </w:tc>
      </w:tr>
      <w:tr w:rsidR="00957EDA" w:rsidRPr="0003613D" w14:paraId="7240B0D2" w14:textId="77777777" w:rsidTr="00957EDA">
        <w:tc>
          <w:tcPr>
            <w:tcW w:w="2263" w:type="dxa"/>
          </w:tcPr>
          <w:p w14:paraId="4FEA84A1" w14:textId="77777777" w:rsidR="00697ABE" w:rsidRPr="0003613D" w:rsidRDefault="00957EDA" w:rsidP="00957EDA">
            <w:pPr>
              <w:pStyle w:val="Default"/>
            </w:pPr>
            <w:r w:rsidRPr="0003613D">
              <w:t xml:space="preserve">People aged 65 and over that are unable to manage at least one mobility activity on their own </w:t>
            </w:r>
          </w:p>
          <w:p w14:paraId="2384B1DB" w14:textId="77777777" w:rsidR="00957EDA" w:rsidRPr="0003613D" w:rsidRDefault="00957EDA" w:rsidP="00697ABE">
            <w:pPr>
              <w:pStyle w:val="Default"/>
              <w:rPr>
                <w:rFonts w:eastAsia="Calibri"/>
              </w:rPr>
            </w:pPr>
          </w:p>
        </w:tc>
        <w:tc>
          <w:tcPr>
            <w:tcW w:w="1701" w:type="dxa"/>
          </w:tcPr>
          <w:p w14:paraId="34A7DE2C" w14:textId="1AEBF2A9" w:rsidR="00957EDA" w:rsidRPr="0003613D" w:rsidRDefault="00957EDA" w:rsidP="003F0CEE">
            <w:pPr>
              <w:rPr>
                <w:rFonts w:ascii="Arial" w:eastAsia="Calibri" w:hAnsi="Arial" w:cs="Arial"/>
                <w:sz w:val="24"/>
                <w:szCs w:val="24"/>
              </w:rPr>
            </w:pPr>
            <w:r w:rsidRPr="0003613D">
              <w:rPr>
                <w:rFonts w:ascii="Arial" w:eastAsia="Calibri" w:hAnsi="Arial" w:cs="Arial"/>
                <w:sz w:val="24"/>
                <w:szCs w:val="24"/>
              </w:rPr>
              <w:t>9,308</w:t>
            </w:r>
          </w:p>
        </w:tc>
        <w:tc>
          <w:tcPr>
            <w:tcW w:w="1560" w:type="dxa"/>
          </w:tcPr>
          <w:p w14:paraId="27031FFE" w14:textId="12E58BE2" w:rsidR="00957EDA" w:rsidRPr="0003613D" w:rsidRDefault="00957EDA" w:rsidP="003F0CEE">
            <w:pPr>
              <w:rPr>
                <w:rFonts w:ascii="Arial" w:eastAsia="Calibri" w:hAnsi="Arial" w:cs="Arial"/>
                <w:sz w:val="24"/>
                <w:szCs w:val="24"/>
              </w:rPr>
            </w:pPr>
            <w:r w:rsidRPr="0003613D">
              <w:rPr>
                <w:rFonts w:ascii="Arial" w:eastAsia="Calibri" w:hAnsi="Arial" w:cs="Arial"/>
                <w:sz w:val="24"/>
                <w:szCs w:val="24"/>
              </w:rPr>
              <w:t>13,380</w:t>
            </w:r>
          </w:p>
        </w:tc>
        <w:tc>
          <w:tcPr>
            <w:tcW w:w="1688" w:type="dxa"/>
          </w:tcPr>
          <w:p w14:paraId="3DEF1D3A" w14:textId="3F412841" w:rsidR="00957EDA" w:rsidRPr="0003613D" w:rsidRDefault="00957EDA" w:rsidP="003F0CEE">
            <w:pPr>
              <w:rPr>
                <w:rFonts w:ascii="Arial" w:eastAsia="Calibri" w:hAnsi="Arial" w:cs="Arial"/>
                <w:sz w:val="24"/>
                <w:szCs w:val="24"/>
              </w:rPr>
            </w:pPr>
            <w:r w:rsidRPr="0003613D">
              <w:rPr>
                <w:rFonts w:ascii="Arial" w:eastAsia="Calibri" w:hAnsi="Arial" w:cs="Arial"/>
                <w:sz w:val="24"/>
                <w:szCs w:val="24"/>
              </w:rPr>
              <w:t>4,072</w:t>
            </w:r>
          </w:p>
        </w:tc>
        <w:tc>
          <w:tcPr>
            <w:tcW w:w="1804" w:type="dxa"/>
          </w:tcPr>
          <w:p w14:paraId="19411EA0" w14:textId="07BA2A86" w:rsidR="00957EDA" w:rsidRPr="0003613D" w:rsidRDefault="00957EDA" w:rsidP="003F0CEE">
            <w:pPr>
              <w:rPr>
                <w:rFonts w:ascii="Arial" w:eastAsia="Calibri" w:hAnsi="Arial" w:cs="Arial"/>
                <w:sz w:val="24"/>
                <w:szCs w:val="24"/>
              </w:rPr>
            </w:pPr>
            <w:r w:rsidRPr="0003613D">
              <w:rPr>
                <w:rFonts w:ascii="Arial" w:eastAsia="Calibri" w:hAnsi="Arial" w:cs="Arial"/>
                <w:sz w:val="24"/>
                <w:szCs w:val="24"/>
              </w:rPr>
              <w:t>43.8%</w:t>
            </w:r>
          </w:p>
        </w:tc>
      </w:tr>
      <w:tr w:rsidR="00697ABE" w:rsidRPr="0003613D" w14:paraId="73A155CD" w14:textId="77777777" w:rsidTr="00957EDA">
        <w:tc>
          <w:tcPr>
            <w:tcW w:w="2263" w:type="dxa"/>
          </w:tcPr>
          <w:p w14:paraId="66AC528D" w14:textId="77777777" w:rsidR="00697ABE" w:rsidRPr="0003613D" w:rsidRDefault="00697ABE" w:rsidP="00697ABE">
            <w:pPr>
              <w:pStyle w:val="Default"/>
            </w:pPr>
            <w:r w:rsidRPr="0003613D">
              <w:t xml:space="preserve">People aged 65 and over who need help with at least one domestic task </w:t>
            </w:r>
          </w:p>
          <w:p w14:paraId="29FD7340" w14:textId="77777777" w:rsidR="00697ABE" w:rsidRPr="0003613D" w:rsidRDefault="00697ABE" w:rsidP="00957EDA">
            <w:pPr>
              <w:pStyle w:val="Default"/>
            </w:pPr>
          </w:p>
        </w:tc>
        <w:tc>
          <w:tcPr>
            <w:tcW w:w="1701" w:type="dxa"/>
          </w:tcPr>
          <w:p w14:paraId="7B3B2069" w14:textId="5D8AF3BF" w:rsidR="00697ABE" w:rsidRPr="0003613D" w:rsidRDefault="00D32675" w:rsidP="003F0CEE">
            <w:pPr>
              <w:rPr>
                <w:rFonts w:ascii="Arial" w:eastAsia="Calibri" w:hAnsi="Arial" w:cs="Arial"/>
                <w:sz w:val="24"/>
                <w:szCs w:val="24"/>
              </w:rPr>
            </w:pPr>
            <w:r w:rsidRPr="0003613D">
              <w:rPr>
                <w:rFonts w:ascii="Arial" w:eastAsia="Calibri" w:hAnsi="Arial" w:cs="Arial"/>
                <w:sz w:val="24"/>
                <w:szCs w:val="24"/>
              </w:rPr>
              <w:t>11,635</w:t>
            </w:r>
          </w:p>
        </w:tc>
        <w:tc>
          <w:tcPr>
            <w:tcW w:w="1560" w:type="dxa"/>
          </w:tcPr>
          <w:p w14:paraId="265744E5" w14:textId="56A4AA86" w:rsidR="00697ABE" w:rsidRPr="0003613D" w:rsidRDefault="00D32675" w:rsidP="003F0CEE">
            <w:pPr>
              <w:rPr>
                <w:rFonts w:ascii="Arial" w:eastAsia="Calibri" w:hAnsi="Arial" w:cs="Arial"/>
                <w:sz w:val="24"/>
                <w:szCs w:val="24"/>
              </w:rPr>
            </w:pPr>
            <w:r w:rsidRPr="0003613D">
              <w:rPr>
                <w:rFonts w:ascii="Arial" w:eastAsia="Calibri" w:hAnsi="Arial" w:cs="Arial"/>
                <w:sz w:val="24"/>
                <w:szCs w:val="24"/>
              </w:rPr>
              <w:t>20,943</w:t>
            </w:r>
          </w:p>
        </w:tc>
        <w:tc>
          <w:tcPr>
            <w:tcW w:w="1688" w:type="dxa"/>
          </w:tcPr>
          <w:p w14:paraId="7CFADCA1" w14:textId="2E07CA61" w:rsidR="00697ABE" w:rsidRPr="0003613D" w:rsidRDefault="00D32675" w:rsidP="003F0CEE">
            <w:pPr>
              <w:rPr>
                <w:rFonts w:ascii="Arial" w:eastAsia="Calibri" w:hAnsi="Arial" w:cs="Arial"/>
                <w:sz w:val="24"/>
                <w:szCs w:val="24"/>
              </w:rPr>
            </w:pPr>
            <w:r w:rsidRPr="0003613D">
              <w:rPr>
                <w:rFonts w:ascii="Arial" w:eastAsia="Calibri" w:hAnsi="Arial" w:cs="Arial"/>
                <w:sz w:val="24"/>
                <w:szCs w:val="24"/>
              </w:rPr>
              <w:t>9,308</w:t>
            </w:r>
          </w:p>
        </w:tc>
        <w:tc>
          <w:tcPr>
            <w:tcW w:w="1804" w:type="dxa"/>
          </w:tcPr>
          <w:p w14:paraId="3EEF0BB8" w14:textId="2915E7FB" w:rsidR="00697ABE" w:rsidRPr="0003613D" w:rsidRDefault="00D32675" w:rsidP="003F0CEE">
            <w:pPr>
              <w:rPr>
                <w:rFonts w:ascii="Arial" w:eastAsia="Calibri" w:hAnsi="Arial" w:cs="Arial"/>
                <w:sz w:val="24"/>
                <w:szCs w:val="24"/>
              </w:rPr>
            </w:pPr>
            <w:r w:rsidRPr="0003613D">
              <w:rPr>
                <w:rFonts w:ascii="Arial" w:eastAsia="Calibri" w:hAnsi="Arial" w:cs="Arial"/>
                <w:sz w:val="24"/>
                <w:szCs w:val="24"/>
              </w:rPr>
              <w:t>80</w:t>
            </w:r>
            <w:r w:rsidR="0049099B" w:rsidRPr="0003613D">
              <w:rPr>
                <w:rFonts w:ascii="Arial" w:eastAsia="Calibri" w:hAnsi="Arial" w:cs="Arial"/>
                <w:sz w:val="24"/>
                <w:szCs w:val="24"/>
              </w:rPr>
              <w:t>%</w:t>
            </w:r>
          </w:p>
        </w:tc>
      </w:tr>
      <w:tr w:rsidR="00957EDA" w:rsidRPr="0003613D" w14:paraId="34B02E65" w14:textId="77777777" w:rsidTr="00957EDA">
        <w:tc>
          <w:tcPr>
            <w:tcW w:w="2263" w:type="dxa"/>
          </w:tcPr>
          <w:p w14:paraId="2146F2F1" w14:textId="77777777" w:rsidR="00957EDA" w:rsidRPr="0003613D" w:rsidRDefault="00957EDA" w:rsidP="00957EDA">
            <w:pPr>
              <w:pStyle w:val="Default"/>
            </w:pPr>
            <w:r w:rsidRPr="0003613D">
              <w:t xml:space="preserve">People aged 65 and over who need help with at least one self-care activity </w:t>
            </w:r>
          </w:p>
          <w:p w14:paraId="36CC5A2E" w14:textId="77777777" w:rsidR="00957EDA" w:rsidRPr="0003613D" w:rsidRDefault="00957EDA" w:rsidP="003F0CEE">
            <w:pPr>
              <w:rPr>
                <w:rFonts w:ascii="Arial" w:eastAsia="Calibri" w:hAnsi="Arial" w:cs="Arial"/>
                <w:sz w:val="24"/>
                <w:szCs w:val="24"/>
              </w:rPr>
            </w:pPr>
          </w:p>
        </w:tc>
        <w:tc>
          <w:tcPr>
            <w:tcW w:w="1701" w:type="dxa"/>
          </w:tcPr>
          <w:p w14:paraId="58AC7425" w14:textId="0A05B7EE" w:rsidR="00957EDA" w:rsidRPr="0003613D" w:rsidRDefault="00D32675" w:rsidP="003F0CEE">
            <w:pPr>
              <w:rPr>
                <w:rFonts w:ascii="Arial" w:eastAsia="Calibri" w:hAnsi="Arial" w:cs="Arial"/>
                <w:sz w:val="24"/>
                <w:szCs w:val="24"/>
              </w:rPr>
            </w:pPr>
            <w:r w:rsidRPr="0003613D">
              <w:rPr>
                <w:rFonts w:ascii="Arial" w:eastAsia="Calibri" w:hAnsi="Arial" w:cs="Arial"/>
                <w:sz w:val="24"/>
                <w:szCs w:val="24"/>
              </w:rPr>
              <w:t>14,570</w:t>
            </w:r>
          </w:p>
        </w:tc>
        <w:tc>
          <w:tcPr>
            <w:tcW w:w="1560" w:type="dxa"/>
          </w:tcPr>
          <w:p w14:paraId="6AF09CAF" w14:textId="39CB94D5" w:rsidR="00957EDA" w:rsidRPr="0003613D" w:rsidRDefault="0049099B" w:rsidP="003F0CEE">
            <w:pPr>
              <w:rPr>
                <w:rFonts w:ascii="Arial" w:eastAsia="Calibri" w:hAnsi="Arial" w:cs="Arial"/>
                <w:sz w:val="24"/>
                <w:szCs w:val="24"/>
              </w:rPr>
            </w:pPr>
            <w:r w:rsidRPr="0003613D">
              <w:rPr>
                <w:rFonts w:ascii="Arial" w:eastAsia="Calibri" w:hAnsi="Arial" w:cs="Arial"/>
                <w:sz w:val="24"/>
                <w:szCs w:val="24"/>
              </w:rPr>
              <w:t>20,727</w:t>
            </w:r>
          </w:p>
        </w:tc>
        <w:tc>
          <w:tcPr>
            <w:tcW w:w="1688" w:type="dxa"/>
          </w:tcPr>
          <w:p w14:paraId="2BB7DF56" w14:textId="7CC2F559" w:rsidR="00957EDA" w:rsidRPr="0003613D" w:rsidRDefault="0049099B" w:rsidP="003F0CEE">
            <w:pPr>
              <w:rPr>
                <w:rFonts w:ascii="Arial" w:eastAsia="Calibri" w:hAnsi="Arial" w:cs="Arial"/>
                <w:sz w:val="24"/>
                <w:szCs w:val="24"/>
              </w:rPr>
            </w:pPr>
            <w:r w:rsidRPr="0003613D">
              <w:rPr>
                <w:rFonts w:ascii="Arial" w:eastAsia="Calibri" w:hAnsi="Arial" w:cs="Arial"/>
                <w:sz w:val="24"/>
                <w:szCs w:val="24"/>
              </w:rPr>
              <w:t>6,157</w:t>
            </w:r>
          </w:p>
        </w:tc>
        <w:tc>
          <w:tcPr>
            <w:tcW w:w="1804" w:type="dxa"/>
          </w:tcPr>
          <w:p w14:paraId="47FFA029" w14:textId="3D9686D3" w:rsidR="00957EDA" w:rsidRPr="0003613D" w:rsidRDefault="0049099B" w:rsidP="003F0CEE">
            <w:pPr>
              <w:rPr>
                <w:rFonts w:ascii="Arial" w:eastAsia="Calibri" w:hAnsi="Arial" w:cs="Arial"/>
                <w:sz w:val="24"/>
                <w:szCs w:val="24"/>
              </w:rPr>
            </w:pPr>
            <w:r w:rsidRPr="0003613D">
              <w:rPr>
                <w:rFonts w:ascii="Arial" w:eastAsia="Calibri" w:hAnsi="Arial" w:cs="Arial"/>
                <w:sz w:val="24"/>
                <w:szCs w:val="24"/>
              </w:rPr>
              <w:t>41.3%</w:t>
            </w:r>
          </w:p>
        </w:tc>
      </w:tr>
      <w:tr w:rsidR="00957EDA" w:rsidRPr="0003613D" w14:paraId="2D9BA8E3" w14:textId="77777777" w:rsidTr="00957EDA">
        <w:tc>
          <w:tcPr>
            <w:tcW w:w="2263" w:type="dxa"/>
          </w:tcPr>
          <w:p w14:paraId="0D37BF1B" w14:textId="77777777" w:rsidR="00957EDA" w:rsidRPr="0003613D" w:rsidRDefault="00957EDA" w:rsidP="00957EDA">
            <w:pPr>
              <w:pStyle w:val="Default"/>
            </w:pPr>
            <w:r w:rsidRPr="0003613D">
              <w:lastRenderedPageBreak/>
              <w:t xml:space="preserve">People aged 18-64 with a serious personal care disability </w:t>
            </w:r>
          </w:p>
          <w:p w14:paraId="65F0A8F0" w14:textId="77777777" w:rsidR="00957EDA" w:rsidRPr="0003613D" w:rsidRDefault="00957EDA" w:rsidP="003F0CEE">
            <w:pPr>
              <w:rPr>
                <w:rFonts w:ascii="Arial" w:eastAsia="Calibri" w:hAnsi="Arial" w:cs="Arial"/>
                <w:sz w:val="24"/>
                <w:szCs w:val="24"/>
              </w:rPr>
            </w:pPr>
          </w:p>
        </w:tc>
        <w:tc>
          <w:tcPr>
            <w:tcW w:w="1701" w:type="dxa"/>
          </w:tcPr>
          <w:p w14:paraId="5C8DEDA1" w14:textId="31A4579E" w:rsidR="00957EDA" w:rsidRPr="0003613D" w:rsidRDefault="00D32675" w:rsidP="003F0CEE">
            <w:pPr>
              <w:rPr>
                <w:rFonts w:ascii="Arial" w:eastAsia="Calibri" w:hAnsi="Arial" w:cs="Arial"/>
                <w:sz w:val="24"/>
                <w:szCs w:val="24"/>
              </w:rPr>
            </w:pPr>
            <w:r w:rsidRPr="0003613D">
              <w:rPr>
                <w:rFonts w:ascii="Arial" w:eastAsia="Calibri" w:hAnsi="Arial" w:cs="Arial"/>
                <w:sz w:val="24"/>
                <w:szCs w:val="24"/>
              </w:rPr>
              <w:t>1,785</w:t>
            </w:r>
          </w:p>
        </w:tc>
        <w:tc>
          <w:tcPr>
            <w:tcW w:w="1560" w:type="dxa"/>
          </w:tcPr>
          <w:p w14:paraId="4BE22FA6" w14:textId="1070AA94" w:rsidR="00957EDA" w:rsidRPr="0003613D" w:rsidRDefault="0049099B" w:rsidP="003F0CEE">
            <w:pPr>
              <w:rPr>
                <w:rFonts w:ascii="Arial" w:eastAsia="Calibri" w:hAnsi="Arial" w:cs="Arial"/>
                <w:sz w:val="24"/>
                <w:szCs w:val="24"/>
              </w:rPr>
            </w:pPr>
            <w:r w:rsidRPr="0003613D">
              <w:rPr>
                <w:rFonts w:ascii="Arial" w:eastAsia="Calibri" w:hAnsi="Arial" w:cs="Arial"/>
                <w:sz w:val="24"/>
                <w:szCs w:val="24"/>
              </w:rPr>
              <w:t>2,054</w:t>
            </w:r>
          </w:p>
        </w:tc>
        <w:tc>
          <w:tcPr>
            <w:tcW w:w="1688" w:type="dxa"/>
          </w:tcPr>
          <w:p w14:paraId="3F4ADE4D" w14:textId="4778E3B5" w:rsidR="00957EDA" w:rsidRPr="0003613D" w:rsidRDefault="0049099B" w:rsidP="003F0CEE">
            <w:pPr>
              <w:rPr>
                <w:rFonts w:ascii="Arial" w:eastAsia="Calibri" w:hAnsi="Arial" w:cs="Arial"/>
                <w:sz w:val="24"/>
                <w:szCs w:val="24"/>
              </w:rPr>
            </w:pPr>
            <w:r w:rsidRPr="0003613D">
              <w:rPr>
                <w:rFonts w:ascii="Arial" w:eastAsia="Calibri" w:hAnsi="Arial" w:cs="Arial"/>
                <w:sz w:val="24"/>
                <w:szCs w:val="24"/>
              </w:rPr>
              <w:t>269</w:t>
            </w:r>
          </w:p>
        </w:tc>
        <w:tc>
          <w:tcPr>
            <w:tcW w:w="1804" w:type="dxa"/>
          </w:tcPr>
          <w:p w14:paraId="363F1880" w14:textId="343C5694" w:rsidR="00957EDA" w:rsidRPr="0003613D" w:rsidRDefault="0049099B" w:rsidP="003F0CEE">
            <w:pPr>
              <w:rPr>
                <w:rFonts w:ascii="Arial" w:eastAsia="Calibri" w:hAnsi="Arial" w:cs="Arial"/>
                <w:sz w:val="24"/>
                <w:szCs w:val="24"/>
              </w:rPr>
            </w:pPr>
            <w:r w:rsidRPr="0003613D">
              <w:rPr>
                <w:rFonts w:ascii="Arial" w:eastAsia="Calibri" w:hAnsi="Arial" w:cs="Arial"/>
                <w:sz w:val="24"/>
                <w:szCs w:val="24"/>
              </w:rPr>
              <w:t>15.1%</w:t>
            </w:r>
          </w:p>
        </w:tc>
      </w:tr>
    </w:tbl>
    <w:p w14:paraId="627BE5D2" w14:textId="77777777" w:rsidR="00126EB6" w:rsidRPr="0003613D" w:rsidRDefault="00126EB6" w:rsidP="003F0CEE">
      <w:pPr>
        <w:rPr>
          <w:rFonts w:ascii="Arial" w:eastAsia="Calibri" w:hAnsi="Arial" w:cs="Arial"/>
          <w:color w:val="0070C0"/>
          <w:sz w:val="24"/>
          <w:szCs w:val="24"/>
        </w:rPr>
      </w:pPr>
    </w:p>
    <w:p w14:paraId="592318A9" w14:textId="4AA1F9C5" w:rsidR="00B15EE5" w:rsidRPr="0003613D" w:rsidRDefault="003F0CEE" w:rsidP="008A31E3">
      <w:pPr>
        <w:rPr>
          <w:rFonts w:ascii="Arial" w:eastAsia="Calibri" w:hAnsi="Arial" w:cs="Arial"/>
          <w:sz w:val="24"/>
          <w:szCs w:val="24"/>
        </w:rPr>
      </w:pPr>
      <w:r w:rsidRPr="0003613D">
        <w:rPr>
          <w:rFonts w:ascii="Arial" w:eastAsia="Calibri" w:hAnsi="Arial" w:cs="Arial"/>
          <w:sz w:val="24"/>
          <w:szCs w:val="24"/>
        </w:rPr>
        <w:t>The table shows that the number of those aged 65 or over that are unable to manage at least one mobility activity on their own, is expected to increase by 43.8% between 2024 and 2041</w:t>
      </w:r>
      <w:r w:rsidR="001055DC" w:rsidRPr="0003613D">
        <w:rPr>
          <w:rFonts w:ascii="Arial" w:eastAsia="Calibri" w:hAnsi="Arial" w:cs="Arial"/>
          <w:sz w:val="24"/>
          <w:szCs w:val="24"/>
        </w:rPr>
        <w:t xml:space="preserve">. The table projects </w:t>
      </w:r>
      <w:r w:rsidRPr="0003613D">
        <w:rPr>
          <w:rFonts w:ascii="Arial" w:eastAsia="Calibri" w:hAnsi="Arial" w:cs="Arial"/>
          <w:sz w:val="24"/>
          <w:szCs w:val="24"/>
        </w:rPr>
        <w:t xml:space="preserve">an increase of 80.0% in the number of people aged 65 and over who need help with at least one domestic task, an increase of 42.3% in the number of people aged 65 and over who need help with at least one self-care activity and an increase of 15.1% in the number of people aged 18-64 with a serious personal care disability. </w:t>
      </w:r>
      <w:r w:rsidR="00604AE6" w:rsidRPr="0003613D">
        <w:rPr>
          <w:rFonts w:ascii="Arial" w:eastAsia="Calibri" w:hAnsi="Arial" w:cs="Arial"/>
          <w:sz w:val="24"/>
          <w:szCs w:val="24"/>
        </w:rPr>
        <w:t>T</w:t>
      </w:r>
      <w:r w:rsidRPr="0003613D">
        <w:rPr>
          <w:rFonts w:ascii="Arial" w:eastAsia="Calibri" w:hAnsi="Arial" w:cs="Arial"/>
          <w:sz w:val="24"/>
          <w:szCs w:val="24"/>
        </w:rPr>
        <w:t>hese changes better reflect the projected change in the demographics of the population (an ageing population) rather than a notable change in the overall health of people</w:t>
      </w:r>
      <w:r w:rsidR="00604AE6" w:rsidRPr="0003613D">
        <w:rPr>
          <w:rFonts w:ascii="Arial" w:eastAsia="Calibri" w:hAnsi="Arial" w:cs="Arial"/>
          <w:sz w:val="24"/>
          <w:szCs w:val="24"/>
        </w:rPr>
        <w:t xml:space="preserve"> in Sandwell.</w:t>
      </w:r>
    </w:p>
    <w:p w14:paraId="1F3857E8" w14:textId="6F137958" w:rsidR="008A31E3" w:rsidRPr="0003613D" w:rsidRDefault="00803223" w:rsidP="008A31E3">
      <w:pPr>
        <w:rPr>
          <w:rFonts w:ascii="Arial" w:hAnsi="Arial" w:cs="Arial"/>
          <w:b/>
          <w:sz w:val="24"/>
          <w:szCs w:val="24"/>
        </w:rPr>
      </w:pPr>
      <w:r w:rsidRPr="0003613D">
        <w:rPr>
          <w:rFonts w:ascii="Arial" w:hAnsi="Arial" w:cs="Arial"/>
          <w:b/>
          <w:sz w:val="24"/>
          <w:szCs w:val="24"/>
        </w:rPr>
        <w:t xml:space="preserve">Older People </w:t>
      </w:r>
    </w:p>
    <w:p w14:paraId="4F9125F0" w14:textId="471F58EC" w:rsidR="008A31E3" w:rsidRPr="0003613D" w:rsidRDefault="008A31E3" w:rsidP="008A31E3">
      <w:pPr>
        <w:rPr>
          <w:rFonts w:ascii="Arial" w:hAnsi="Arial" w:cs="Arial"/>
          <w:bCs/>
          <w:sz w:val="24"/>
          <w:szCs w:val="24"/>
        </w:rPr>
      </w:pPr>
      <w:r w:rsidRPr="0003613D">
        <w:rPr>
          <w:rFonts w:ascii="Arial" w:hAnsi="Arial" w:cs="Arial"/>
          <w:bCs/>
          <w:sz w:val="24"/>
          <w:szCs w:val="24"/>
        </w:rPr>
        <w:t>The 2021 Census data, shows that 14.5% of Sandwell’s population were aged 65 or over</w:t>
      </w:r>
      <w:r w:rsidR="009633CA" w:rsidRPr="0003613D">
        <w:rPr>
          <w:rFonts w:ascii="Arial" w:hAnsi="Arial" w:cs="Arial"/>
          <w:bCs/>
          <w:sz w:val="24"/>
          <w:szCs w:val="24"/>
        </w:rPr>
        <w:t xml:space="preserve"> [32]</w:t>
      </w:r>
      <w:r w:rsidRPr="0003613D">
        <w:rPr>
          <w:rFonts w:ascii="Arial" w:hAnsi="Arial" w:cs="Arial"/>
          <w:bCs/>
          <w:sz w:val="24"/>
          <w:szCs w:val="24"/>
        </w:rPr>
        <w:t>. This compares to a figure of 18.8% across the West Midlands region and 18.4% nationally, indicating that the population of Sandwell is currently younger than average. According to the 2021 Census, 17.8% of households in Sandwell were older person only households (households where all members are 66 and over), compared to 22.6% regionally and 22.0% nationally</w:t>
      </w:r>
      <w:r w:rsidR="009633CA" w:rsidRPr="0003613D">
        <w:rPr>
          <w:rFonts w:ascii="Arial" w:hAnsi="Arial" w:cs="Arial"/>
          <w:bCs/>
          <w:sz w:val="24"/>
          <w:szCs w:val="24"/>
        </w:rPr>
        <w:t xml:space="preserve"> [33]</w:t>
      </w:r>
      <w:r w:rsidRPr="0003613D">
        <w:rPr>
          <w:rFonts w:ascii="Arial" w:hAnsi="Arial" w:cs="Arial"/>
          <w:bCs/>
          <w:sz w:val="24"/>
          <w:szCs w:val="24"/>
        </w:rPr>
        <w:t xml:space="preserve">. </w:t>
      </w:r>
    </w:p>
    <w:p w14:paraId="4BADC80E" w14:textId="235F1614" w:rsidR="00CB732A" w:rsidRPr="0003613D" w:rsidRDefault="005056ED" w:rsidP="00CB732A">
      <w:pPr>
        <w:rPr>
          <w:rFonts w:ascii="Arial" w:hAnsi="Arial" w:cs="Arial"/>
          <w:bCs/>
          <w:sz w:val="24"/>
          <w:szCs w:val="24"/>
        </w:rPr>
      </w:pPr>
      <w:r w:rsidRPr="0003613D">
        <w:rPr>
          <w:rFonts w:ascii="Arial" w:hAnsi="Arial" w:cs="Arial"/>
          <w:bCs/>
          <w:sz w:val="24"/>
          <w:szCs w:val="24"/>
        </w:rPr>
        <w:t>O</w:t>
      </w:r>
      <w:r w:rsidR="00CB732A" w:rsidRPr="0003613D">
        <w:rPr>
          <w:rFonts w:ascii="Arial" w:hAnsi="Arial" w:cs="Arial"/>
          <w:bCs/>
          <w:sz w:val="24"/>
          <w:szCs w:val="24"/>
        </w:rPr>
        <w:t>lder person groups record a higher level of owner-occupation with no mortgage than other households</w:t>
      </w:r>
      <w:r w:rsidRPr="0003613D">
        <w:rPr>
          <w:rFonts w:ascii="Arial" w:hAnsi="Arial" w:cs="Arial"/>
          <w:bCs/>
          <w:sz w:val="24"/>
          <w:szCs w:val="24"/>
        </w:rPr>
        <w:t xml:space="preserve"> in Sandwell, and s</w:t>
      </w:r>
      <w:r w:rsidR="00CB732A" w:rsidRPr="0003613D">
        <w:rPr>
          <w:rFonts w:ascii="Arial" w:hAnsi="Arial" w:cs="Arial"/>
          <w:bCs/>
          <w:sz w:val="24"/>
          <w:szCs w:val="24"/>
        </w:rPr>
        <w:t xml:space="preserve">ingle older person households </w:t>
      </w:r>
      <w:r w:rsidRPr="0003613D">
        <w:rPr>
          <w:rFonts w:ascii="Arial" w:hAnsi="Arial" w:cs="Arial"/>
          <w:bCs/>
          <w:sz w:val="24"/>
          <w:szCs w:val="24"/>
        </w:rPr>
        <w:t>are</w:t>
      </w:r>
      <w:r w:rsidR="00CB732A" w:rsidRPr="0003613D">
        <w:rPr>
          <w:rFonts w:ascii="Arial" w:hAnsi="Arial" w:cs="Arial"/>
          <w:bCs/>
          <w:sz w:val="24"/>
          <w:szCs w:val="24"/>
        </w:rPr>
        <w:t xml:space="preserve"> more likely to live in the </w:t>
      </w:r>
      <w:r w:rsidRPr="0003613D">
        <w:rPr>
          <w:rFonts w:ascii="Arial" w:hAnsi="Arial" w:cs="Arial"/>
          <w:bCs/>
          <w:sz w:val="24"/>
          <w:szCs w:val="24"/>
        </w:rPr>
        <w:t>s</w:t>
      </w:r>
      <w:r w:rsidR="00CB732A" w:rsidRPr="0003613D">
        <w:rPr>
          <w:rFonts w:ascii="Arial" w:hAnsi="Arial" w:cs="Arial"/>
          <w:bCs/>
          <w:sz w:val="24"/>
          <w:szCs w:val="24"/>
        </w:rPr>
        <w:t xml:space="preserve">ocial </w:t>
      </w:r>
      <w:r w:rsidRPr="0003613D">
        <w:rPr>
          <w:rFonts w:ascii="Arial" w:hAnsi="Arial" w:cs="Arial"/>
          <w:bCs/>
          <w:sz w:val="24"/>
          <w:szCs w:val="24"/>
        </w:rPr>
        <w:t>r</w:t>
      </w:r>
      <w:r w:rsidR="00CB732A" w:rsidRPr="0003613D">
        <w:rPr>
          <w:rFonts w:ascii="Arial" w:hAnsi="Arial" w:cs="Arial"/>
          <w:bCs/>
          <w:sz w:val="24"/>
          <w:szCs w:val="24"/>
        </w:rPr>
        <w:t>ented sector. Older person households were also more likely than average to have multiple spare bedrooms in their home</w:t>
      </w:r>
      <w:r w:rsidR="009633CA" w:rsidRPr="0003613D">
        <w:rPr>
          <w:rFonts w:ascii="Arial" w:hAnsi="Arial" w:cs="Arial"/>
          <w:bCs/>
          <w:sz w:val="24"/>
          <w:szCs w:val="24"/>
        </w:rPr>
        <w:t xml:space="preserve"> [34]</w:t>
      </w:r>
      <w:r w:rsidRPr="0003613D">
        <w:rPr>
          <w:rFonts w:ascii="Arial" w:hAnsi="Arial" w:cs="Arial"/>
          <w:bCs/>
          <w:sz w:val="24"/>
          <w:szCs w:val="24"/>
        </w:rPr>
        <w:t xml:space="preserve">. </w:t>
      </w:r>
    </w:p>
    <w:p w14:paraId="277C7D99" w14:textId="6DE0FF49" w:rsidR="00CB732A" w:rsidRPr="0003613D" w:rsidRDefault="007A3384" w:rsidP="00CB732A">
      <w:pPr>
        <w:rPr>
          <w:rFonts w:ascii="Arial" w:hAnsi="Arial" w:cs="Arial"/>
          <w:bCs/>
          <w:sz w:val="24"/>
          <w:szCs w:val="24"/>
        </w:rPr>
      </w:pPr>
      <w:r w:rsidRPr="0003613D">
        <w:rPr>
          <w:rFonts w:ascii="Arial" w:hAnsi="Arial" w:cs="Arial"/>
          <w:bCs/>
          <w:sz w:val="24"/>
          <w:szCs w:val="24"/>
        </w:rPr>
        <w:t>T</w:t>
      </w:r>
      <w:r w:rsidR="00CB732A" w:rsidRPr="0003613D">
        <w:rPr>
          <w:rFonts w:ascii="Arial" w:hAnsi="Arial" w:cs="Arial"/>
          <w:bCs/>
          <w:sz w:val="24"/>
          <w:szCs w:val="24"/>
        </w:rPr>
        <w:t>he po</w:t>
      </w:r>
      <w:r w:rsidRPr="0003613D">
        <w:rPr>
          <w:rFonts w:ascii="Arial" w:hAnsi="Arial" w:cs="Arial"/>
          <w:bCs/>
          <w:sz w:val="24"/>
          <w:szCs w:val="24"/>
        </w:rPr>
        <w:t xml:space="preserve">pulation percentage of </w:t>
      </w:r>
      <w:r w:rsidR="00CB732A" w:rsidRPr="0003613D">
        <w:rPr>
          <w:rFonts w:ascii="Arial" w:hAnsi="Arial" w:cs="Arial"/>
          <w:bCs/>
          <w:sz w:val="24"/>
          <w:szCs w:val="24"/>
        </w:rPr>
        <w:t>65</w:t>
      </w:r>
      <w:r w:rsidRPr="0003613D">
        <w:rPr>
          <w:rFonts w:ascii="Arial" w:hAnsi="Arial" w:cs="Arial"/>
          <w:bCs/>
          <w:sz w:val="24"/>
          <w:szCs w:val="24"/>
        </w:rPr>
        <w:t>s</w:t>
      </w:r>
      <w:r w:rsidR="00CB732A" w:rsidRPr="0003613D">
        <w:rPr>
          <w:rFonts w:ascii="Arial" w:hAnsi="Arial" w:cs="Arial"/>
          <w:bCs/>
          <w:sz w:val="24"/>
          <w:szCs w:val="24"/>
        </w:rPr>
        <w:t xml:space="preserve"> or over</w:t>
      </w:r>
      <w:r w:rsidRPr="0003613D">
        <w:rPr>
          <w:rFonts w:ascii="Arial" w:hAnsi="Arial" w:cs="Arial"/>
          <w:bCs/>
          <w:sz w:val="24"/>
          <w:szCs w:val="24"/>
        </w:rPr>
        <w:t>,</w:t>
      </w:r>
      <w:r w:rsidR="00CB732A" w:rsidRPr="0003613D">
        <w:rPr>
          <w:rFonts w:ascii="Arial" w:hAnsi="Arial" w:cs="Arial"/>
          <w:bCs/>
          <w:sz w:val="24"/>
          <w:szCs w:val="24"/>
        </w:rPr>
        <w:t xml:space="preserve"> is </w:t>
      </w:r>
      <w:r w:rsidR="001C7355" w:rsidRPr="0003613D">
        <w:rPr>
          <w:rFonts w:ascii="Arial" w:hAnsi="Arial" w:cs="Arial"/>
          <w:bCs/>
          <w:sz w:val="24"/>
          <w:szCs w:val="24"/>
        </w:rPr>
        <w:t>projected</w:t>
      </w:r>
      <w:r w:rsidR="00CB732A" w:rsidRPr="0003613D">
        <w:rPr>
          <w:rFonts w:ascii="Arial" w:hAnsi="Arial" w:cs="Arial"/>
          <w:bCs/>
          <w:sz w:val="24"/>
          <w:szCs w:val="24"/>
        </w:rPr>
        <w:t xml:space="preserve"> to increase notably in Sandwell </w:t>
      </w:r>
      <w:r w:rsidRPr="0003613D">
        <w:rPr>
          <w:rFonts w:ascii="Arial" w:hAnsi="Arial" w:cs="Arial"/>
          <w:bCs/>
          <w:sz w:val="24"/>
          <w:szCs w:val="24"/>
        </w:rPr>
        <w:t>by 2041,</w:t>
      </w:r>
      <w:r w:rsidR="00CB732A" w:rsidRPr="0003613D">
        <w:rPr>
          <w:rFonts w:ascii="Arial" w:hAnsi="Arial" w:cs="Arial"/>
          <w:bCs/>
          <w:sz w:val="24"/>
          <w:szCs w:val="24"/>
        </w:rPr>
        <w:t xml:space="preserve"> from 51,258 in 2024, to 72,608 in 2041, a rise of 41.7%. The projections also suggest that there will be an increase in the number of households headed by someone </w:t>
      </w:r>
      <w:r w:rsidRPr="0003613D">
        <w:rPr>
          <w:rFonts w:ascii="Arial" w:hAnsi="Arial" w:cs="Arial"/>
          <w:bCs/>
          <w:sz w:val="24"/>
          <w:szCs w:val="24"/>
        </w:rPr>
        <w:t xml:space="preserve">aged </w:t>
      </w:r>
      <w:r w:rsidR="00CB732A" w:rsidRPr="0003613D">
        <w:rPr>
          <w:rFonts w:ascii="Arial" w:hAnsi="Arial" w:cs="Arial"/>
          <w:bCs/>
          <w:sz w:val="24"/>
          <w:szCs w:val="24"/>
        </w:rPr>
        <w:t>over 65 in Sandwell from 28,978 in 2024, to 46,203 in 2041, an increase of 59.4%. The projections indicate that the proportion of older persons living alone in Sandwell will increase from 54.4% in 2024, to 56.3% in 2041</w:t>
      </w:r>
      <w:r w:rsidR="009633CA" w:rsidRPr="0003613D">
        <w:rPr>
          <w:rFonts w:ascii="Arial" w:hAnsi="Arial" w:cs="Arial"/>
          <w:bCs/>
          <w:sz w:val="24"/>
          <w:szCs w:val="24"/>
        </w:rPr>
        <w:t xml:space="preserve"> [35]</w:t>
      </w:r>
      <w:r w:rsidR="00CB732A" w:rsidRPr="0003613D">
        <w:rPr>
          <w:rFonts w:ascii="Arial" w:hAnsi="Arial" w:cs="Arial"/>
          <w:bCs/>
          <w:sz w:val="24"/>
          <w:szCs w:val="24"/>
        </w:rPr>
        <w:t xml:space="preserve">. </w:t>
      </w:r>
    </w:p>
    <w:p w14:paraId="0A7F873A" w14:textId="549B9E5C" w:rsidR="007A3384" w:rsidRPr="0003613D" w:rsidRDefault="007A3384" w:rsidP="00CB732A">
      <w:pPr>
        <w:rPr>
          <w:rFonts w:ascii="Arial" w:hAnsi="Arial" w:cs="Arial"/>
          <w:bCs/>
          <w:sz w:val="24"/>
          <w:szCs w:val="24"/>
        </w:rPr>
      </w:pPr>
      <w:r w:rsidRPr="0003613D">
        <w:rPr>
          <w:rFonts w:ascii="Arial" w:hAnsi="Arial" w:cs="Arial"/>
          <w:bCs/>
          <w:sz w:val="24"/>
          <w:szCs w:val="24"/>
        </w:rPr>
        <w:t xml:space="preserve">The table below illustrates the projected number, size and form of housing that will be required for </w:t>
      </w:r>
      <w:r w:rsidR="00C93C57" w:rsidRPr="0003613D">
        <w:rPr>
          <w:rFonts w:ascii="Arial" w:hAnsi="Arial" w:cs="Arial"/>
          <w:bCs/>
          <w:sz w:val="24"/>
          <w:szCs w:val="24"/>
        </w:rPr>
        <w:t>‘older person households’</w:t>
      </w:r>
      <w:r w:rsidRPr="0003613D">
        <w:rPr>
          <w:rFonts w:ascii="Arial" w:hAnsi="Arial" w:cs="Arial"/>
          <w:bCs/>
          <w:sz w:val="24"/>
          <w:szCs w:val="24"/>
        </w:rPr>
        <w:t xml:space="preserve"> in the year 2041</w:t>
      </w:r>
      <w:r w:rsidR="00C93C57" w:rsidRPr="0003613D">
        <w:rPr>
          <w:rFonts w:ascii="Arial" w:hAnsi="Arial" w:cs="Arial"/>
          <w:bCs/>
          <w:sz w:val="24"/>
          <w:szCs w:val="24"/>
        </w:rPr>
        <w:t xml:space="preserve"> in Sandwell</w:t>
      </w:r>
      <w:r w:rsidR="009633CA" w:rsidRPr="0003613D">
        <w:rPr>
          <w:rFonts w:ascii="Arial" w:hAnsi="Arial" w:cs="Arial"/>
          <w:bCs/>
          <w:sz w:val="24"/>
          <w:szCs w:val="24"/>
        </w:rPr>
        <w:t xml:space="preserve"> [36]</w:t>
      </w:r>
      <w:r w:rsidRPr="0003613D">
        <w:rPr>
          <w:rFonts w:ascii="Arial" w:hAnsi="Arial" w:cs="Arial"/>
          <w:bCs/>
          <w:sz w:val="24"/>
          <w:szCs w:val="24"/>
        </w:rPr>
        <w:t xml:space="preserve">. </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7A3384" w:rsidRPr="0003613D" w14:paraId="0EC1E94F" w14:textId="77777777" w:rsidTr="007A3384">
        <w:tc>
          <w:tcPr>
            <w:tcW w:w="1502" w:type="dxa"/>
          </w:tcPr>
          <w:p w14:paraId="383CA09A" w14:textId="3FBF50CF" w:rsidR="007A3384" w:rsidRPr="0003613D" w:rsidRDefault="00D11363" w:rsidP="00CB732A">
            <w:pPr>
              <w:rPr>
                <w:rFonts w:ascii="Arial" w:hAnsi="Arial" w:cs="Arial"/>
                <w:bCs/>
                <w:sz w:val="24"/>
                <w:szCs w:val="24"/>
              </w:rPr>
            </w:pPr>
            <w:r w:rsidRPr="0003613D">
              <w:rPr>
                <w:rFonts w:ascii="Arial" w:hAnsi="Arial" w:cs="Arial"/>
                <w:bCs/>
                <w:sz w:val="24"/>
                <w:szCs w:val="24"/>
              </w:rPr>
              <w:t>Size of home</w:t>
            </w:r>
          </w:p>
        </w:tc>
        <w:tc>
          <w:tcPr>
            <w:tcW w:w="1502" w:type="dxa"/>
          </w:tcPr>
          <w:p w14:paraId="08E9F596" w14:textId="50618F90" w:rsidR="007A3384" w:rsidRPr="0003613D" w:rsidRDefault="00D11363" w:rsidP="00CB732A">
            <w:pPr>
              <w:rPr>
                <w:rFonts w:ascii="Arial" w:hAnsi="Arial" w:cs="Arial"/>
                <w:bCs/>
                <w:sz w:val="24"/>
                <w:szCs w:val="24"/>
              </w:rPr>
            </w:pPr>
            <w:r w:rsidRPr="0003613D">
              <w:rPr>
                <w:rFonts w:ascii="Arial" w:hAnsi="Arial" w:cs="Arial"/>
                <w:bCs/>
                <w:sz w:val="24"/>
                <w:szCs w:val="24"/>
              </w:rPr>
              <w:t xml:space="preserve">Owner occupied </w:t>
            </w:r>
          </w:p>
        </w:tc>
        <w:tc>
          <w:tcPr>
            <w:tcW w:w="1503" w:type="dxa"/>
          </w:tcPr>
          <w:p w14:paraId="127F3377" w14:textId="2929D769" w:rsidR="007A3384" w:rsidRPr="0003613D" w:rsidRDefault="00D11363" w:rsidP="00CB732A">
            <w:pPr>
              <w:rPr>
                <w:rFonts w:ascii="Arial" w:hAnsi="Arial" w:cs="Arial"/>
                <w:bCs/>
                <w:sz w:val="24"/>
                <w:szCs w:val="24"/>
              </w:rPr>
            </w:pPr>
            <w:r w:rsidRPr="0003613D">
              <w:rPr>
                <w:rFonts w:ascii="Arial" w:hAnsi="Arial" w:cs="Arial"/>
                <w:bCs/>
                <w:sz w:val="24"/>
                <w:szCs w:val="24"/>
              </w:rPr>
              <w:t xml:space="preserve">Private rented </w:t>
            </w:r>
          </w:p>
        </w:tc>
        <w:tc>
          <w:tcPr>
            <w:tcW w:w="1503" w:type="dxa"/>
          </w:tcPr>
          <w:p w14:paraId="34E62A02" w14:textId="0953DD79" w:rsidR="007A3384" w:rsidRPr="0003613D" w:rsidRDefault="00D11363" w:rsidP="00CB732A">
            <w:pPr>
              <w:rPr>
                <w:rFonts w:ascii="Arial" w:hAnsi="Arial" w:cs="Arial"/>
                <w:bCs/>
                <w:sz w:val="24"/>
                <w:szCs w:val="24"/>
              </w:rPr>
            </w:pPr>
            <w:r w:rsidRPr="0003613D">
              <w:rPr>
                <w:rFonts w:ascii="Arial" w:hAnsi="Arial" w:cs="Arial"/>
                <w:bCs/>
                <w:sz w:val="24"/>
                <w:szCs w:val="24"/>
              </w:rPr>
              <w:t xml:space="preserve">First homes </w:t>
            </w:r>
          </w:p>
        </w:tc>
        <w:tc>
          <w:tcPr>
            <w:tcW w:w="1503" w:type="dxa"/>
          </w:tcPr>
          <w:p w14:paraId="7CE65707" w14:textId="38F6EBAB" w:rsidR="007A3384" w:rsidRPr="0003613D" w:rsidRDefault="00D11363" w:rsidP="00CB732A">
            <w:pPr>
              <w:rPr>
                <w:rFonts w:ascii="Arial" w:hAnsi="Arial" w:cs="Arial"/>
                <w:bCs/>
                <w:sz w:val="24"/>
                <w:szCs w:val="24"/>
              </w:rPr>
            </w:pPr>
            <w:r w:rsidRPr="0003613D">
              <w:rPr>
                <w:rFonts w:ascii="Arial" w:hAnsi="Arial" w:cs="Arial"/>
                <w:bCs/>
                <w:sz w:val="24"/>
                <w:szCs w:val="24"/>
              </w:rPr>
              <w:t>Shared ownership</w:t>
            </w:r>
          </w:p>
        </w:tc>
        <w:tc>
          <w:tcPr>
            <w:tcW w:w="1503" w:type="dxa"/>
          </w:tcPr>
          <w:p w14:paraId="2BA5B29D" w14:textId="3CA51EFF" w:rsidR="007A3384" w:rsidRPr="0003613D" w:rsidRDefault="00D11363" w:rsidP="00CB732A">
            <w:pPr>
              <w:rPr>
                <w:rFonts w:ascii="Arial" w:hAnsi="Arial" w:cs="Arial"/>
                <w:bCs/>
                <w:sz w:val="24"/>
                <w:szCs w:val="24"/>
              </w:rPr>
            </w:pPr>
            <w:r w:rsidRPr="0003613D">
              <w:rPr>
                <w:rFonts w:ascii="Arial" w:hAnsi="Arial" w:cs="Arial"/>
                <w:bCs/>
                <w:sz w:val="24"/>
                <w:szCs w:val="24"/>
              </w:rPr>
              <w:t>Social/ affordable rented</w:t>
            </w:r>
          </w:p>
        </w:tc>
      </w:tr>
      <w:tr w:rsidR="007A3384" w:rsidRPr="0003613D" w14:paraId="65CD53F8" w14:textId="77777777" w:rsidTr="007A3384">
        <w:tc>
          <w:tcPr>
            <w:tcW w:w="1502" w:type="dxa"/>
          </w:tcPr>
          <w:p w14:paraId="40203EFC" w14:textId="4408D300" w:rsidR="002348E5" w:rsidRPr="0003613D" w:rsidRDefault="002348E5" w:rsidP="00CB732A">
            <w:pPr>
              <w:rPr>
                <w:rFonts w:ascii="Arial" w:hAnsi="Arial" w:cs="Arial"/>
                <w:bCs/>
                <w:sz w:val="24"/>
                <w:szCs w:val="24"/>
              </w:rPr>
            </w:pPr>
            <w:r w:rsidRPr="0003613D">
              <w:rPr>
                <w:rFonts w:ascii="Arial" w:hAnsi="Arial" w:cs="Arial"/>
                <w:bCs/>
                <w:sz w:val="24"/>
                <w:szCs w:val="24"/>
              </w:rPr>
              <w:t>1 bedroom</w:t>
            </w:r>
          </w:p>
        </w:tc>
        <w:tc>
          <w:tcPr>
            <w:tcW w:w="1502" w:type="dxa"/>
          </w:tcPr>
          <w:p w14:paraId="301D27BC" w14:textId="2AF0C9BC" w:rsidR="007A3384" w:rsidRPr="0003613D" w:rsidRDefault="004A37DB" w:rsidP="00CB732A">
            <w:pPr>
              <w:rPr>
                <w:rFonts w:ascii="Arial" w:hAnsi="Arial" w:cs="Arial"/>
                <w:bCs/>
                <w:sz w:val="24"/>
                <w:szCs w:val="24"/>
              </w:rPr>
            </w:pPr>
            <w:r w:rsidRPr="0003613D">
              <w:rPr>
                <w:rFonts w:ascii="Arial" w:hAnsi="Arial" w:cs="Arial"/>
                <w:bCs/>
                <w:sz w:val="24"/>
                <w:szCs w:val="24"/>
              </w:rPr>
              <w:t>2</w:t>
            </w:r>
            <w:r w:rsidR="00EC6033" w:rsidRPr="0003613D">
              <w:rPr>
                <w:rFonts w:ascii="Arial" w:hAnsi="Arial" w:cs="Arial"/>
                <w:bCs/>
                <w:sz w:val="24"/>
                <w:szCs w:val="24"/>
              </w:rPr>
              <w:t>,</w:t>
            </w:r>
            <w:r w:rsidRPr="0003613D">
              <w:rPr>
                <w:rFonts w:ascii="Arial" w:hAnsi="Arial" w:cs="Arial"/>
                <w:bCs/>
                <w:sz w:val="24"/>
                <w:szCs w:val="24"/>
              </w:rPr>
              <w:t>038</w:t>
            </w:r>
          </w:p>
        </w:tc>
        <w:tc>
          <w:tcPr>
            <w:tcW w:w="1503" w:type="dxa"/>
          </w:tcPr>
          <w:p w14:paraId="698A1722" w14:textId="6858CBC4" w:rsidR="007A3384" w:rsidRPr="0003613D" w:rsidRDefault="00EC6033" w:rsidP="00CB732A">
            <w:pPr>
              <w:rPr>
                <w:rFonts w:ascii="Arial" w:hAnsi="Arial" w:cs="Arial"/>
                <w:bCs/>
                <w:sz w:val="24"/>
                <w:szCs w:val="24"/>
              </w:rPr>
            </w:pPr>
            <w:r w:rsidRPr="0003613D">
              <w:rPr>
                <w:rFonts w:ascii="Arial" w:hAnsi="Arial" w:cs="Arial"/>
                <w:bCs/>
                <w:sz w:val="24"/>
                <w:szCs w:val="24"/>
              </w:rPr>
              <w:t>660</w:t>
            </w:r>
          </w:p>
        </w:tc>
        <w:tc>
          <w:tcPr>
            <w:tcW w:w="1503" w:type="dxa"/>
          </w:tcPr>
          <w:p w14:paraId="71A66A43" w14:textId="59B269A0" w:rsidR="007A3384" w:rsidRPr="0003613D" w:rsidRDefault="00EC6033" w:rsidP="00CB732A">
            <w:pPr>
              <w:rPr>
                <w:rFonts w:ascii="Arial" w:hAnsi="Arial" w:cs="Arial"/>
                <w:bCs/>
                <w:sz w:val="24"/>
                <w:szCs w:val="24"/>
              </w:rPr>
            </w:pPr>
            <w:r w:rsidRPr="0003613D">
              <w:rPr>
                <w:rFonts w:ascii="Arial" w:hAnsi="Arial" w:cs="Arial"/>
                <w:bCs/>
                <w:sz w:val="24"/>
                <w:szCs w:val="24"/>
              </w:rPr>
              <w:t>2</w:t>
            </w:r>
          </w:p>
        </w:tc>
        <w:tc>
          <w:tcPr>
            <w:tcW w:w="1503" w:type="dxa"/>
          </w:tcPr>
          <w:p w14:paraId="1847704C" w14:textId="066161AD" w:rsidR="007A3384" w:rsidRPr="0003613D" w:rsidRDefault="00EC6033" w:rsidP="00CB732A">
            <w:pPr>
              <w:rPr>
                <w:rFonts w:ascii="Arial" w:hAnsi="Arial" w:cs="Arial"/>
                <w:bCs/>
                <w:sz w:val="24"/>
                <w:szCs w:val="24"/>
              </w:rPr>
            </w:pPr>
            <w:r w:rsidRPr="0003613D">
              <w:rPr>
                <w:rFonts w:ascii="Arial" w:hAnsi="Arial" w:cs="Arial"/>
                <w:bCs/>
                <w:sz w:val="24"/>
                <w:szCs w:val="24"/>
              </w:rPr>
              <w:t>68</w:t>
            </w:r>
          </w:p>
        </w:tc>
        <w:tc>
          <w:tcPr>
            <w:tcW w:w="1503" w:type="dxa"/>
          </w:tcPr>
          <w:p w14:paraId="07ABD314" w14:textId="1D551109" w:rsidR="007A3384" w:rsidRPr="0003613D" w:rsidRDefault="00EC6033" w:rsidP="00CB732A">
            <w:pPr>
              <w:rPr>
                <w:rFonts w:ascii="Arial" w:hAnsi="Arial" w:cs="Arial"/>
                <w:bCs/>
                <w:sz w:val="24"/>
                <w:szCs w:val="24"/>
              </w:rPr>
            </w:pPr>
            <w:r w:rsidRPr="0003613D">
              <w:rPr>
                <w:rFonts w:ascii="Arial" w:hAnsi="Arial" w:cs="Arial"/>
                <w:bCs/>
                <w:sz w:val="24"/>
                <w:szCs w:val="24"/>
              </w:rPr>
              <w:t>6,759</w:t>
            </w:r>
          </w:p>
        </w:tc>
      </w:tr>
      <w:tr w:rsidR="007A3384" w:rsidRPr="0003613D" w14:paraId="4BC328EA" w14:textId="77777777" w:rsidTr="007A3384">
        <w:tc>
          <w:tcPr>
            <w:tcW w:w="1502" w:type="dxa"/>
          </w:tcPr>
          <w:p w14:paraId="111B49A8" w14:textId="50321572" w:rsidR="007A3384" w:rsidRPr="0003613D" w:rsidRDefault="002348E5" w:rsidP="00CB732A">
            <w:pPr>
              <w:rPr>
                <w:rFonts w:ascii="Arial" w:hAnsi="Arial" w:cs="Arial"/>
                <w:bCs/>
                <w:sz w:val="24"/>
                <w:szCs w:val="24"/>
              </w:rPr>
            </w:pPr>
            <w:r w:rsidRPr="0003613D">
              <w:rPr>
                <w:rFonts w:ascii="Arial" w:hAnsi="Arial" w:cs="Arial"/>
                <w:bCs/>
                <w:sz w:val="24"/>
                <w:szCs w:val="24"/>
              </w:rPr>
              <w:t>2 bedroom</w:t>
            </w:r>
          </w:p>
        </w:tc>
        <w:tc>
          <w:tcPr>
            <w:tcW w:w="1502" w:type="dxa"/>
          </w:tcPr>
          <w:p w14:paraId="5EE56F79" w14:textId="7277ECF0" w:rsidR="007A3384" w:rsidRPr="0003613D" w:rsidRDefault="004A37DB" w:rsidP="00CB732A">
            <w:pPr>
              <w:rPr>
                <w:rFonts w:ascii="Arial" w:hAnsi="Arial" w:cs="Arial"/>
                <w:bCs/>
                <w:sz w:val="24"/>
                <w:szCs w:val="24"/>
              </w:rPr>
            </w:pPr>
            <w:r w:rsidRPr="0003613D">
              <w:rPr>
                <w:rFonts w:ascii="Arial" w:hAnsi="Arial" w:cs="Arial"/>
                <w:bCs/>
                <w:sz w:val="24"/>
                <w:szCs w:val="24"/>
              </w:rPr>
              <w:t>10</w:t>
            </w:r>
            <w:r w:rsidR="00EC6033" w:rsidRPr="0003613D">
              <w:rPr>
                <w:rFonts w:ascii="Arial" w:hAnsi="Arial" w:cs="Arial"/>
                <w:bCs/>
                <w:sz w:val="24"/>
                <w:szCs w:val="24"/>
              </w:rPr>
              <w:t>,</w:t>
            </w:r>
            <w:r w:rsidRPr="0003613D">
              <w:rPr>
                <w:rFonts w:ascii="Arial" w:hAnsi="Arial" w:cs="Arial"/>
                <w:bCs/>
                <w:sz w:val="24"/>
                <w:szCs w:val="24"/>
              </w:rPr>
              <w:t>397</w:t>
            </w:r>
          </w:p>
        </w:tc>
        <w:tc>
          <w:tcPr>
            <w:tcW w:w="1503" w:type="dxa"/>
          </w:tcPr>
          <w:p w14:paraId="22F24CB3" w14:textId="71E2E0D4" w:rsidR="007A3384" w:rsidRPr="0003613D" w:rsidRDefault="00EC6033" w:rsidP="00CB732A">
            <w:pPr>
              <w:rPr>
                <w:rFonts w:ascii="Arial" w:hAnsi="Arial" w:cs="Arial"/>
                <w:bCs/>
                <w:sz w:val="24"/>
                <w:szCs w:val="24"/>
              </w:rPr>
            </w:pPr>
            <w:r w:rsidRPr="0003613D">
              <w:rPr>
                <w:rFonts w:ascii="Arial" w:hAnsi="Arial" w:cs="Arial"/>
                <w:bCs/>
                <w:sz w:val="24"/>
                <w:szCs w:val="24"/>
              </w:rPr>
              <w:t>1,579</w:t>
            </w:r>
          </w:p>
        </w:tc>
        <w:tc>
          <w:tcPr>
            <w:tcW w:w="1503" w:type="dxa"/>
          </w:tcPr>
          <w:p w14:paraId="44753D67" w14:textId="2C8B070D" w:rsidR="007A3384" w:rsidRPr="0003613D" w:rsidRDefault="00EC6033" w:rsidP="00CB732A">
            <w:pPr>
              <w:rPr>
                <w:rFonts w:ascii="Arial" w:hAnsi="Arial" w:cs="Arial"/>
                <w:bCs/>
                <w:sz w:val="24"/>
                <w:szCs w:val="24"/>
              </w:rPr>
            </w:pPr>
            <w:r w:rsidRPr="0003613D">
              <w:rPr>
                <w:rFonts w:ascii="Arial" w:hAnsi="Arial" w:cs="Arial"/>
                <w:bCs/>
                <w:sz w:val="24"/>
                <w:szCs w:val="24"/>
              </w:rPr>
              <w:t>1</w:t>
            </w:r>
          </w:p>
        </w:tc>
        <w:tc>
          <w:tcPr>
            <w:tcW w:w="1503" w:type="dxa"/>
          </w:tcPr>
          <w:p w14:paraId="60C1721B" w14:textId="7C3270F5" w:rsidR="007A3384" w:rsidRPr="0003613D" w:rsidRDefault="00EC6033" w:rsidP="00CB732A">
            <w:pPr>
              <w:rPr>
                <w:rFonts w:ascii="Arial" w:hAnsi="Arial" w:cs="Arial"/>
                <w:bCs/>
                <w:sz w:val="24"/>
                <w:szCs w:val="24"/>
              </w:rPr>
            </w:pPr>
            <w:r w:rsidRPr="0003613D">
              <w:rPr>
                <w:rFonts w:ascii="Arial" w:hAnsi="Arial" w:cs="Arial"/>
                <w:bCs/>
                <w:sz w:val="24"/>
                <w:szCs w:val="24"/>
              </w:rPr>
              <w:t>24</w:t>
            </w:r>
          </w:p>
        </w:tc>
        <w:tc>
          <w:tcPr>
            <w:tcW w:w="1503" w:type="dxa"/>
          </w:tcPr>
          <w:p w14:paraId="78435FE7" w14:textId="5526F722" w:rsidR="007A3384" w:rsidRPr="0003613D" w:rsidRDefault="00EC6033" w:rsidP="00CB732A">
            <w:pPr>
              <w:rPr>
                <w:rFonts w:ascii="Arial" w:hAnsi="Arial" w:cs="Arial"/>
                <w:bCs/>
                <w:sz w:val="24"/>
                <w:szCs w:val="24"/>
              </w:rPr>
            </w:pPr>
            <w:r w:rsidRPr="0003613D">
              <w:rPr>
                <w:rFonts w:ascii="Arial" w:hAnsi="Arial" w:cs="Arial"/>
                <w:bCs/>
                <w:sz w:val="24"/>
                <w:szCs w:val="24"/>
              </w:rPr>
              <w:t>4,759</w:t>
            </w:r>
          </w:p>
        </w:tc>
      </w:tr>
      <w:tr w:rsidR="007A3384" w:rsidRPr="0003613D" w14:paraId="4B69C64F" w14:textId="77777777" w:rsidTr="007A3384">
        <w:tc>
          <w:tcPr>
            <w:tcW w:w="1502" w:type="dxa"/>
          </w:tcPr>
          <w:p w14:paraId="19056690" w14:textId="318A0248" w:rsidR="007A3384" w:rsidRPr="0003613D" w:rsidRDefault="002348E5" w:rsidP="00CB732A">
            <w:pPr>
              <w:rPr>
                <w:rFonts w:ascii="Arial" w:hAnsi="Arial" w:cs="Arial"/>
                <w:bCs/>
                <w:sz w:val="24"/>
                <w:szCs w:val="24"/>
              </w:rPr>
            </w:pPr>
            <w:r w:rsidRPr="0003613D">
              <w:rPr>
                <w:rFonts w:ascii="Arial" w:hAnsi="Arial" w:cs="Arial"/>
                <w:bCs/>
                <w:sz w:val="24"/>
                <w:szCs w:val="24"/>
              </w:rPr>
              <w:t>3 bedroom</w:t>
            </w:r>
          </w:p>
        </w:tc>
        <w:tc>
          <w:tcPr>
            <w:tcW w:w="1502" w:type="dxa"/>
          </w:tcPr>
          <w:p w14:paraId="7F3C55B6" w14:textId="7BF26983" w:rsidR="007A3384" w:rsidRPr="0003613D" w:rsidRDefault="00EC6033" w:rsidP="00CB732A">
            <w:pPr>
              <w:rPr>
                <w:rFonts w:ascii="Arial" w:hAnsi="Arial" w:cs="Arial"/>
                <w:bCs/>
                <w:sz w:val="24"/>
                <w:szCs w:val="24"/>
              </w:rPr>
            </w:pPr>
            <w:r w:rsidRPr="0003613D">
              <w:rPr>
                <w:rFonts w:ascii="Arial" w:hAnsi="Arial" w:cs="Arial"/>
                <w:bCs/>
                <w:sz w:val="24"/>
                <w:szCs w:val="24"/>
              </w:rPr>
              <w:t>16,522</w:t>
            </w:r>
          </w:p>
        </w:tc>
        <w:tc>
          <w:tcPr>
            <w:tcW w:w="1503" w:type="dxa"/>
          </w:tcPr>
          <w:p w14:paraId="48B1182F" w14:textId="206976B8" w:rsidR="007A3384" w:rsidRPr="0003613D" w:rsidRDefault="00EC6033" w:rsidP="00CB732A">
            <w:pPr>
              <w:rPr>
                <w:rFonts w:ascii="Arial" w:hAnsi="Arial" w:cs="Arial"/>
                <w:bCs/>
                <w:sz w:val="24"/>
                <w:szCs w:val="24"/>
              </w:rPr>
            </w:pPr>
            <w:r w:rsidRPr="0003613D">
              <w:rPr>
                <w:rFonts w:ascii="Arial" w:hAnsi="Arial" w:cs="Arial"/>
                <w:bCs/>
                <w:sz w:val="24"/>
                <w:szCs w:val="24"/>
              </w:rPr>
              <w:t>874</w:t>
            </w:r>
          </w:p>
        </w:tc>
        <w:tc>
          <w:tcPr>
            <w:tcW w:w="1503" w:type="dxa"/>
          </w:tcPr>
          <w:p w14:paraId="4CF9A0A9" w14:textId="6C9A5516" w:rsidR="007A3384" w:rsidRPr="0003613D" w:rsidRDefault="00EC6033" w:rsidP="00CB732A">
            <w:pPr>
              <w:rPr>
                <w:rFonts w:ascii="Arial" w:hAnsi="Arial" w:cs="Arial"/>
                <w:bCs/>
                <w:sz w:val="24"/>
                <w:szCs w:val="24"/>
              </w:rPr>
            </w:pPr>
            <w:r w:rsidRPr="0003613D">
              <w:rPr>
                <w:rFonts w:ascii="Arial" w:hAnsi="Arial" w:cs="Arial"/>
                <w:bCs/>
                <w:sz w:val="24"/>
                <w:szCs w:val="24"/>
              </w:rPr>
              <w:t>0</w:t>
            </w:r>
          </w:p>
        </w:tc>
        <w:tc>
          <w:tcPr>
            <w:tcW w:w="1503" w:type="dxa"/>
          </w:tcPr>
          <w:p w14:paraId="1F954837" w14:textId="3624542D" w:rsidR="007A3384" w:rsidRPr="0003613D" w:rsidRDefault="00EC6033" w:rsidP="00CB732A">
            <w:pPr>
              <w:rPr>
                <w:rFonts w:ascii="Arial" w:hAnsi="Arial" w:cs="Arial"/>
                <w:bCs/>
                <w:sz w:val="24"/>
                <w:szCs w:val="24"/>
              </w:rPr>
            </w:pPr>
            <w:r w:rsidRPr="0003613D">
              <w:rPr>
                <w:rFonts w:ascii="Arial" w:hAnsi="Arial" w:cs="Arial"/>
                <w:bCs/>
                <w:sz w:val="24"/>
                <w:szCs w:val="24"/>
              </w:rPr>
              <w:t>5</w:t>
            </w:r>
          </w:p>
        </w:tc>
        <w:tc>
          <w:tcPr>
            <w:tcW w:w="1503" w:type="dxa"/>
          </w:tcPr>
          <w:p w14:paraId="3D003122" w14:textId="2FCB7C4E" w:rsidR="007A3384" w:rsidRPr="0003613D" w:rsidRDefault="00EC6033" w:rsidP="00CB732A">
            <w:pPr>
              <w:rPr>
                <w:rFonts w:ascii="Arial" w:hAnsi="Arial" w:cs="Arial"/>
                <w:bCs/>
                <w:sz w:val="24"/>
                <w:szCs w:val="24"/>
              </w:rPr>
            </w:pPr>
            <w:r w:rsidRPr="0003613D">
              <w:rPr>
                <w:rFonts w:ascii="Arial" w:hAnsi="Arial" w:cs="Arial"/>
                <w:bCs/>
                <w:sz w:val="24"/>
                <w:szCs w:val="24"/>
              </w:rPr>
              <w:t>898</w:t>
            </w:r>
          </w:p>
        </w:tc>
      </w:tr>
      <w:tr w:rsidR="007A3384" w:rsidRPr="0003613D" w14:paraId="77EE271E" w14:textId="77777777" w:rsidTr="007A3384">
        <w:tc>
          <w:tcPr>
            <w:tcW w:w="1502" w:type="dxa"/>
          </w:tcPr>
          <w:p w14:paraId="33E9A030" w14:textId="2CB815F3" w:rsidR="007A3384" w:rsidRPr="0003613D" w:rsidRDefault="002348E5" w:rsidP="00CB732A">
            <w:pPr>
              <w:rPr>
                <w:rFonts w:ascii="Arial" w:hAnsi="Arial" w:cs="Arial"/>
                <w:bCs/>
                <w:sz w:val="24"/>
                <w:szCs w:val="24"/>
              </w:rPr>
            </w:pPr>
            <w:r w:rsidRPr="0003613D">
              <w:rPr>
                <w:rFonts w:ascii="Arial" w:hAnsi="Arial" w:cs="Arial"/>
                <w:bCs/>
                <w:sz w:val="24"/>
                <w:szCs w:val="24"/>
              </w:rPr>
              <w:t>4 bedroom</w:t>
            </w:r>
          </w:p>
        </w:tc>
        <w:tc>
          <w:tcPr>
            <w:tcW w:w="1502" w:type="dxa"/>
          </w:tcPr>
          <w:p w14:paraId="24B322F6" w14:textId="1DC6BB55" w:rsidR="007A3384" w:rsidRPr="0003613D" w:rsidRDefault="00EC6033" w:rsidP="00CB732A">
            <w:pPr>
              <w:rPr>
                <w:rFonts w:ascii="Arial" w:hAnsi="Arial" w:cs="Arial"/>
                <w:bCs/>
                <w:sz w:val="24"/>
                <w:szCs w:val="24"/>
              </w:rPr>
            </w:pPr>
            <w:r w:rsidRPr="0003613D">
              <w:rPr>
                <w:rFonts w:ascii="Arial" w:hAnsi="Arial" w:cs="Arial"/>
                <w:bCs/>
                <w:sz w:val="24"/>
                <w:szCs w:val="24"/>
              </w:rPr>
              <w:t>1,354</w:t>
            </w:r>
          </w:p>
        </w:tc>
        <w:tc>
          <w:tcPr>
            <w:tcW w:w="1503" w:type="dxa"/>
          </w:tcPr>
          <w:p w14:paraId="075102D3" w14:textId="200D1B3B" w:rsidR="007A3384" w:rsidRPr="0003613D" w:rsidRDefault="00EC6033" w:rsidP="00CB732A">
            <w:pPr>
              <w:rPr>
                <w:rFonts w:ascii="Arial" w:hAnsi="Arial" w:cs="Arial"/>
                <w:bCs/>
                <w:sz w:val="24"/>
                <w:szCs w:val="24"/>
              </w:rPr>
            </w:pPr>
            <w:r w:rsidRPr="0003613D">
              <w:rPr>
                <w:rFonts w:ascii="Arial" w:hAnsi="Arial" w:cs="Arial"/>
                <w:bCs/>
                <w:sz w:val="24"/>
                <w:szCs w:val="24"/>
              </w:rPr>
              <w:t>107</w:t>
            </w:r>
          </w:p>
        </w:tc>
        <w:tc>
          <w:tcPr>
            <w:tcW w:w="1503" w:type="dxa"/>
          </w:tcPr>
          <w:p w14:paraId="49E608C2" w14:textId="311E41EC" w:rsidR="007A3384" w:rsidRPr="0003613D" w:rsidRDefault="00EC6033" w:rsidP="00CB732A">
            <w:pPr>
              <w:rPr>
                <w:rFonts w:ascii="Arial" w:hAnsi="Arial" w:cs="Arial"/>
                <w:bCs/>
                <w:sz w:val="24"/>
                <w:szCs w:val="24"/>
              </w:rPr>
            </w:pPr>
            <w:r w:rsidRPr="0003613D">
              <w:rPr>
                <w:rFonts w:ascii="Arial" w:hAnsi="Arial" w:cs="Arial"/>
                <w:bCs/>
                <w:sz w:val="24"/>
                <w:szCs w:val="24"/>
              </w:rPr>
              <w:t>0</w:t>
            </w:r>
          </w:p>
        </w:tc>
        <w:tc>
          <w:tcPr>
            <w:tcW w:w="1503" w:type="dxa"/>
          </w:tcPr>
          <w:p w14:paraId="18EAC57C" w14:textId="2ABE0EDA" w:rsidR="007A3384" w:rsidRPr="0003613D" w:rsidRDefault="00EC6033" w:rsidP="00CB732A">
            <w:pPr>
              <w:rPr>
                <w:rFonts w:ascii="Arial" w:hAnsi="Arial" w:cs="Arial"/>
                <w:bCs/>
                <w:sz w:val="24"/>
                <w:szCs w:val="24"/>
              </w:rPr>
            </w:pPr>
            <w:r w:rsidRPr="0003613D">
              <w:rPr>
                <w:rFonts w:ascii="Arial" w:hAnsi="Arial" w:cs="Arial"/>
                <w:bCs/>
                <w:sz w:val="24"/>
                <w:szCs w:val="24"/>
              </w:rPr>
              <w:t>0</w:t>
            </w:r>
          </w:p>
        </w:tc>
        <w:tc>
          <w:tcPr>
            <w:tcW w:w="1503" w:type="dxa"/>
          </w:tcPr>
          <w:p w14:paraId="01A6D2B5" w14:textId="05F9ACEC" w:rsidR="007A3384" w:rsidRPr="0003613D" w:rsidRDefault="00EC6033" w:rsidP="00CB732A">
            <w:pPr>
              <w:rPr>
                <w:rFonts w:ascii="Arial" w:hAnsi="Arial" w:cs="Arial"/>
                <w:bCs/>
                <w:sz w:val="24"/>
                <w:szCs w:val="24"/>
              </w:rPr>
            </w:pPr>
            <w:r w:rsidRPr="0003613D">
              <w:rPr>
                <w:rFonts w:ascii="Arial" w:hAnsi="Arial" w:cs="Arial"/>
                <w:bCs/>
                <w:sz w:val="24"/>
                <w:szCs w:val="24"/>
              </w:rPr>
              <w:t>154</w:t>
            </w:r>
          </w:p>
        </w:tc>
      </w:tr>
      <w:tr w:rsidR="007A3384" w:rsidRPr="0003613D" w14:paraId="7D9731C2" w14:textId="77777777" w:rsidTr="007A3384">
        <w:tc>
          <w:tcPr>
            <w:tcW w:w="1502" w:type="dxa"/>
          </w:tcPr>
          <w:p w14:paraId="065FA10A" w14:textId="7B239305" w:rsidR="007A3384" w:rsidRPr="0003613D" w:rsidRDefault="002348E5" w:rsidP="00CB732A">
            <w:pPr>
              <w:rPr>
                <w:rFonts w:ascii="Arial" w:hAnsi="Arial" w:cs="Arial"/>
                <w:bCs/>
                <w:sz w:val="24"/>
                <w:szCs w:val="24"/>
              </w:rPr>
            </w:pPr>
            <w:r w:rsidRPr="0003613D">
              <w:rPr>
                <w:rFonts w:ascii="Arial" w:hAnsi="Arial" w:cs="Arial"/>
                <w:bCs/>
                <w:sz w:val="24"/>
                <w:szCs w:val="24"/>
              </w:rPr>
              <w:t>Total</w:t>
            </w:r>
          </w:p>
        </w:tc>
        <w:tc>
          <w:tcPr>
            <w:tcW w:w="1502" w:type="dxa"/>
          </w:tcPr>
          <w:p w14:paraId="1DB1B44F" w14:textId="6C0D5F5A" w:rsidR="007A3384" w:rsidRPr="0003613D" w:rsidRDefault="00EC6033" w:rsidP="00CB732A">
            <w:pPr>
              <w:rPr>
                <w:rFonts w:ascii="Arial" w:hAnsi="Arial" w:cs="Arial"/>
                <w:bCs/>
                <w:sz w:val="24"/>
                <w:szCs w:val="24"/>
              </w:rPr>
            </w:pPr>
            <w:r w:rsidRPr="0003613D">
              <w:rPr>
                <w:rFonts w:ascii="Arial" w:hAnsi="Arial" w:cs="Arial"/>
                <w:bCs/>
                <w:sz w:val="24"/>
                <w:szCs w:val="24"/>
              </w:rPr>
              <w:t>30,311</w:t>
            </w:r>
          </w:p>
        </w:tc>
        <w:tc>
          <w:tcPr>
            <w:tcW w:w="1503" w:type="dxa"/>
          </w:tcPr>
          <w:p w14:paraId="455EEC9A" w14:textId="7190C3BF" w:rsidR="007A3384" w:rsidRPr="0003613D" w:rsidRDefault="00EC6033" w:rsidP="00CB732A">
            <w:pPr>
              <w:rPr>
                <w:rFonts w:ascii="Arial" w:hAnsi="Arial" w:cs="Arial"/>
                <w:bCs/>
                <w:sz w:val="24"/>
                <w:szCs w:val="24"/>
              </w:rPr>
            </w:pPr>
            <w:r w:rsidRPr="0003613D">
              <w:rPr>
                <w:rFonts w:ascii="Arial" w:hAnsi="Arial" w:cs="Arial"/>
                <w:bCs/>
                <w:sz w:val="24"/>
                <w:szCs w:val="24"/>
              </w:rPr>
              <w:t>3,221</w:t>
            </w:r>
          </w:p>
        </w:tc>
        <w:tc>
          <w:tcPr>
            <w:tcW w:w="1503" w:type="dxa"/>
          </w:tcPr>
          <w:p w14:paraId="65A7A8BC" w14:textId="0875FAAC" w:rsidR="007A3384" w:rsidRPr="0003613D" w:rsidRDefault="00EC6033" w:rsidP="00CB732A">
            <w:pPr>
              <w:rPr>
                <w:rFonts w:ascii="Arial" w:hAnsi="Arial" w:cs="Arial"/>
                <w:bCs/>
                <w:sz w:val="24"/>
                <w:szCs w:val="24"/>
              </w:rPr>
            </w:pPr>
            <w:r w:rsidRPr="0003613D">
              <w:rPr>
                <w:rFonts w:ascii="Arial" w:hAnsi="Arial" w:cs="Arial"/>
                <w:bCs/>
                <w:sz w:val="24"/>
                <w:szCs w:val="24"/>
              </w:rPr>
              <w:t>3</w:t>
            </w:r>
          </w:p>
        </w:tc>
        <w:tc>
          <w:tcPr>
            <w:tcW w:w="1503" w:type="dxa"/>
          </w:tcPr>
          <w:p w14:paraId="6C011780" w14:textId="0AC27E07" w:rsidR="007A3384" w:rsidRPr="0003613D" w:rsidRDefault="00EC6033" w:rsidP="00CB732A">
            <w:pPr>
              <w:rPr>
                <w:rFonts w:ascii="Arial" w:hAnsi="Arial" w:cs="Arial"/>
                <w:bCs/>
                <w:sz w:val="24"/>
                <w:szCs w:val="24"/>
              </w:rPr>
            </w:pPr>
            <w:r w:rsidRPr="0003613D">
              <w:rPr>
                <w:rFonts w:ascii="Arial" w:hAnsi="Arial" w:cs="Arial"/>
                <w:bCs/>
                <w:sz w:val="24"/>
                <w:szCs w:val="24"/>
              </w:rPr>
              <w:t>97</w:t>
            </w:r>
          </w:p>
        </w:tc>
        <w:tc>
          <w:tcPr>
            <w:tcW w:w="1503" w:type="dxa"/>
          </w:tcPr>
          <w:p w14:paraId="00EF763A" w14:textId="485ABB00" w:rsidR="007A3384" w:rsidRPr="0003613D" w:rsidRDefault="00EC6033" w:rsidP="00CB732A">
            <w:pPr>
              <w:rPr>
                <w:rFonts w:ascii="Arial" w:hAnsi="Arial" w:cs="Arial"/>
                <w:bCs/>
                <w:sz w:val="24"/>
                <w:szCs w:val="24"/>
              </w:rPr>
            </w:pPr>
            <w:r w:rsidRPr="0003613D">
              <w:rPr>
                <w:rFonts w:ascii="Arial" w:hAnsi="Arial" w:cs="Arial"/>
                <w:bCs/>
                <w:sz w:val="24"/>
                <w:szCs w:val="24"/>
              </w:rPr>
              <w:t>12,570</w:t>
            </w:r>
          </w:p>
        </w:tc>
      </w:tr>
    </w:tbl>
    <w:p w14:paraId="38459D10" w14:textId="77777777" w:rsidR="007A3384" w:rsidRPr="0003613D" w:rsidRDefault="007A3384" w:rsidP="00CB732A">
      <w:pPr>
        <w:rPr>
          <w:rFonts w:ascii="Arial" w:hAnsi="Arial" w:cs="Arial"/>
          <w:bCs/>
          <w:sz w:val="24"/>
          <w:szCs w:val="24"/>
        </w:rPr>
      </w:pPr>
    </w:p>
    <w:p w14:paraId="1DBF7035" w14:textId="5C5E9ECE" w:rsidR="008A31E3" w:rsidRPr="0003613D" w:rsidRDefault="00C93C57">
      <w:pPr>
        <w:rPr>
          <w:rFonts w:ascii="Arial" w:hAnsi="Arial" w:cs="Arial"/>
          <w:bCs/>
          <w:sz w:val="24"/>
          <w:szCs w:val="24"/>
        </w:rPr>
      </w:pPr>
      <w:r w:rsidRPr="0003613D">
        <w:rPr>
          <w:rFonts w:ascii="Arial" w:hAnsi="Arial" w:cs="Arial"/>
          <w:bCs/>
          <w:sz w:val="24"/>
          <w:szCs w:val="24"/>
        </w:rPr>
        <w:t>The table reflects the projected future housing demand within Sandwell for ‘older person households’. The projections indicate a notable amount under-occupying within the owner-occupied tenure, reflecting that some older persons households choose to remain in their home rather than downsize to a smaller property.</w:t>
      </w:r>
    </w:p>
    <w:p w14:paraId="75DA0612" w14:textId="4DA32EF6" w:rsidR="000E4F01" w:rsidRPr="0003613D" w:rsidRDefault="00803223" w:rsidP="000E4F01">
      <w:pPr>
        <w:rPr>
          <w:rFonts w:ascii="Arial" w:hAnsi="Arial" w:cs="Arial"/>
          <w:b/>
          <w:sz w:val="24"/>
          <w:szCs w:val="24"/>
        </w:rPr>
      </w:pPr>
      <w:r w:rsidRPr="0003613D">
        <w:rPr>
          <w:rFonts w:ascii="Arial" w:hAnsi="Arial" w:cs="Arial"/>
          <w:b/>
          <w:sz w:val="24"/>
          <w:szCs w:val="24"/>
        </w:rPr>
        <w:t xml:space="preserve">General/ Adapted Living </w:t>
      </w:r>
    </w:p>
    <w:p w14:paraId="6291E5EB" w14:textId="6A80EA04" w:rsidR="000E4F01" w:rsidRPr="0003613D" w:rsidRDefault="00237F7D" w:rsidP="000E4F01">
      <w:pPr>
        <w:rPr>
          <w:rFonts w:ascii="Arial" w:hAnsi="Arial" w:cs="Arial"/>
          <w:bCs/>
          <w:sz w:val="24"/>
          <w:szCs w:val="24"/>
        </w:rPr>
      </w:pPr>
      <w:r w:rsidRPr="0003613D">
        <w:rPr>
          <w:rFonts w:ascii="Arial" w:hAnsi="Arial" w:cs="Arial"/>
          <w:bCs/>
          <w:sz w:val="24"/>
          <w:szCs w:val="24"/>
        </w:rPr>
        <w:t xml:space="preserve">With an ageing population, an increased amount of accessible and adapted homes will be required in the borough. </w:t>
      </w:r>
      <w:r w:rsidR="00E26F63" w:rsidRPr="0003613D">
        <w:rPr>
          <w:rFonts w:ascii="Arial" w:hAnsi="Arial" w:cs="Arial"/>
          <w:bCs/>
          <w:sz w:val="24"/>
          <w:szCs w:val="24"/>
        </w:rPr>
        <w:t xml:space="preserve">Between 2005 and 2023 Sandwell Council awarded 4,595 grants to council tenants to complete major adaptations. </w:t>
      </w:r>
      <w:r w:rsidR="000E4F01" w:rsidRPr="0003613D">
        <w:rPr>
          <w:rFonts w:ascii="Arial" w:hAnsi="Arial" w:cs="Arial"/>
          <w:bCs/>
          <w:sz w:val="24"/>
          <w:szCs w:val="24"/>
        </w:rPr>
        <w:t>The bar chart below indicates the requirement for accessible and adaptable homes in Sandwell in 2041.</w:t>
      </w:r>
      <w:r w:rsidR="00DD74D3" w:rsidRPr="0003613D">
        <w:rPr>
          <w:rFonts w:ascii="Arial" w:hAnsi="Arial" w:cs="Arial"/>
          <w:bCs/>
          <w:sz w:val="24"/>
          <w:szCs w:val="24"/>
        </w:rPr>
        <w:t xml:space="preserve"> </w:t>
      </w:r>
      <w:r w:rsidR="000E4F01" w:rsidRPr="0003613D">
        <w:rPr>
          <w:rFonts w:ascii="Arial" w:hAnsi="Arial" w:cs="Arial"/>
          <w:bCs/>
          <w:sz w:val="24"/>
          <w:szCs w:val="24"/>
        </w:rPr>
        <w:t>The bar chart outlines the amount of general housing that will be needed for under and over 65s, and the total amount of supported housing that is needed. Of those sums, the bar chart also delineates the amount that will need to be affordable housing</w:t>
      </w:r>
      <w:r w:rsidR="009633CA" w:rsidRPr="0003613D">
        <w:rPr>
          <w:rFonts w:ascii="Arial" w:hAnsi="Arial" w:cs="Arial"/>
          <w:bCs/>
          <w:sz w:val="24"/>
          <w:szCs w:val="24"/>
        </w:rPr>
        <w:t xml:space="preserve"> [37]</w:t>
      </w:r>
      <w:r w:rsidR="000E4F01" w:rsidRPr="0003613D">
        <w:rPr>
          <w:rFonts w:ascii="Arial" w:hAnsi="Arial" w:cs="Arial"/>
          <w:bCs/>
          <w:sz w:val="24"/>
          <w:szCs w:val="24"/>
        </w:rPr>
        <w:t>.</w:t>
      </w:r>
    </w:p>
    <w:p w14:paraId="46F183A6" w14:textId="7E8E9F60" w:rsidR="000E4F01" w:rsidRPr="0003613D" w:rsidRDefault="00290881" w:rsidP="000E4F01">
      <w:pPr>
        <w:rPr>
          <w:rFonts w:ascii="Arial" w:hAnsi="Arial" w:cs="Arial"/>
          <w:bCs/>
          <w:sz w:val="24"/>
          <w:szCs w:val="24"/>
        </w:rPr>
      </w:pPr>
      <w:r w:rsidRPr="0003613D">
        <w:rPr>
          <w:rFonts w:ascii="Arial" w:hAnsi="Arial" w:cs="Arial"/>
          <w:bCs/>
          <w:noProof/>
          <w:sz w:val="24"/>
          <w:szCs w:val="24"/>
        </w:rPr>
        <w:drawing>
          <wp:inline distT="0" distB="0" distL="0" distR="0" wp14:anchorId="40851E23" wp14:editId="627AE8AE">
            <wp:extent cx="5731510" cy="2910205"/>
            <wp:effectExtent l="0" t="0" r="2540" b="4445"/>
            <wp:docPr id="1277714745" name="Picture 1"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714745" name="Picture 1" descr="A graph of a number of people&#10;&#10;AI-generated content may be incorrect."/>
                    <pic:cNvPicPr/>
                  </pic:nvPicPr>
                  <pic:blipFill>
                    <a:blip r:embed="rId18"/>
                    <a:stretch>
                      <a:fillRect/>
                    </a:stretch>
                  </pic:blipFill>
                  <pic:spPr>
                    <a:xfrm>
                      <a:off x="0" y="0"/>
                      <a:ext cx="5731510" cy="2910205"/>
                    </a:xfrm>
                    <a:prstGeom prst="rect">
                      <a:avLst/>
                    </a:prstGeom>
                  </pic:spPr>
                </pic:pic>
              </a:graphicData>
            </a:graphic>
          </wp:inline>
        </w:drawing>
      </w:r>
    </w:p>
    <w:p w14:paraId="7902BDCA" w14:textId="0157CA3F" w:rsidR="00CC2710" w:rsidRPr="0003613D" w:rsidRDefault="000E4F01" w:rsidP="00CC2710">
      <w:pPr>
        <w:rPr>
          <w:rFonts w:ascii="Arial" w:hAnsi="Arial" w:cs="Arial"/>
          <w:bCs/>
          <w:sz w:val="24"/>
          <w:szCs w:val="24"/>
        </w:rPr>
      </w:pPr>
      <w:r w:rsidRPr="0003613D">
        <w:rPr>
          <w:rFonts w:ascii="Arial" w:hAnsi="Arial" w:cs="Arial"/>
          <w:bCs/>
          <w:sz w:val="24"/>
          <w:szCs w:val="24"/>
        </w:rPr>
        <w:t>In total 6,510 accessible and adaptable homes are required in 2041 in Sandwell, of which 2,388 should be in the market sector and 4,122 in affordable accommodation. Of the 6,510 accessible and adaptable homes required, 5,456 should be in the general housing stock and 1,053 in supported accommodation</w:t>
      </w:r>
      <w:r w:rsidR="00DD74D3" w:rsidRPr="0003613D">
        <w:rPr>
          <w:rFonts w:ascii="Arial" w:hAnsi="Arial" w:cs="Arial"/>
          <w:bCs/>
          <w:sz w:val="24"/>
          <w:szCs w:val="24"/>
        </w:rPr>
        <w:t>.</w:t>
      </w:r>
      <w:r w:rsidR="00CC2710" w:rsidRPr="0003613D">
        <w:rPr>
          <w:rFonts w:ascii="Arial" w:hAnsi="Arial" w:cs="Arial"/>
          <w:bCs/>
          <w:sz w:val="24"/>
          <w:szCs w:val="24"/>
        </w:rPr>
        <w:t xml:space="preserve"> For 6,510 accessible and adapted homes, around 4.3% of the total stock </w:t>
      </w:r>
      <w:r w:rsidR="00B77095" w:rsidRPr="0003613D">
        <w:rPr>
          <w:rFonts w:ascii="Arial" w:hAnsi="Arial" w:cs="Arial"/>
          <w:bCs/>
          <w:sz w:val="24"/>
          <w:szCs w:val="24"/>
        </w:rPr>
        <w:t xml:space="preserve">in 2041 </w:t>
      </w:r>
      <w:r w:rsidR="00CC2710" w:rsidRPr="0003613D">
        <w:rPr>
          <w:rFonts w:ascii="Arial" w:hAnsi="Arial" w:cs="Arial"/>
          <w:bCs/>
          <w:sz w:val="24"/>
          <w:szCs w:val="24"/>
        </w:rPr>
        <w:t>would need to meet this criteria.</w:t>
      </w:r>
    </w:p>
    <w:p w14:paraId="7F8A3F48" w14:textId="79630A76" w:rsidR="00CC2710" w:rsidRPr="0003613D" w:rsidRDefault="00B77095" w:rsidP="00CC2710">
      <w:pPr>
        <w:rPr>
          <w:rFonts w:ascii="Arial" w:hAnsi="Arial" w:cs="Arial"/>
          <w:bCs/>
          <w:sz w:val="24"/>
          <w:szCs w:val="24"/>
        </w:rPr>
      </w:pPr>
      <w:r w:rsidRPr="0003613D">
        <w:rPr>
          <w:rFonts w:ascii="Arial" w:hAnsi="Arial" w:cs="Arial"/>
          <w:bCs/>
          <w:sz w:val="24"/>
          <w:szCs w:val="24"/>
        </w:rPr>
        <w:t>The second bar chart below presents the projected required number of wheelchair user dwellings in 2041</w:t>
      </w:r>
      <w:r w:rsidR="00616798" w:rsidRPr="0003613D">
        <w:rPr>
          <w:rFonts w:ascii="Arial" w:hAnsi="Arial" w:cs="Arial"/>
          <w:bCs/>
          <w:sz w:val="24"/>
          <w:szCs w:val="24"/>
        </w:rPr>
        <w:t xml:space="preserve"> [38]</w:t>
      </w:r>
      <w:r w:rsidRPr="0003613D">
        <w:rPr>
          <w:rFonts w:ascii="Arial" w:hAnsi="Arial" w:cs="Arial"/>
          <w:bCs/>
          <w:sz w:val="24"/>
          <w:szCs w:val="24"/>
        </w:rPr>
        <w:t xml:space="preserve">. </w:t>
      </w:r>
    </w:p>
    <w:p w14:paraId="2F58BD32" w14:textId="28A99E5C" w:rsidR="00745D79" w:rsidRPr="0003613D" w:rsidRDefault="00745D79" w:rsidP="00CC2710">
      <w:pPr>
        <w:rPr>
          <w:rFonts w:ascii="Arial" w:hAnsi="Arial" w:cs="Arial"/>
          <w:bCs/>
          <w:sz w:val="24"/>
          <w:szCs w:val="24"/>
        </w:rPr>
      </w:pPr>
      <w:r w:rsidRPr="0003613D">
        <w:rPr>
          <w:rFonts w:ascii="Arial" w:hAnsi="Arial" w:cs="Arial"/>
          <w:bCs/>
          <w:noProof/>
          <w:sz w:val="24"/>
          <w:szCs w:val="24"/>
        </w:rPr>
        <w:lastRenderedPageBreak/>
        <w:drawing>
          <wp:inline distT="0" distB="0" distL="0" distR="0" wp14:anchorId="0E2D06A4" wp14:editId="54F66A16">
            <wp:extent cx="5731510" cy="2863215"/>
            <wp:effectExtent l="0" t="0" r="2540" b="0"/>
            <wp:docPr id="1675686627" name="Picture 1"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686627" name="Picture 1" descr="A graph of a number of people&#10;&#10;AI-generated content may be incorrect."/>
                    <pic:cNvPicPr/>
                  </pic:nvPicPr>
                  <pic:blipFill>
                    <a:blip r:embed="rId19"/>
                    <a:stretch>
                      <a:fillRect/>
                    </a:stretch>
                  </pic:blipFill>
                  <pic:spPr>
                    <a:xfrm>
                      <a:off x="0" y="0"/>
                      <a:ext cx="5731510" cy="2863215"/>
                    </a:xfrm>
                    <a:prstGeom prst="rect">
                      <a:avLst/>
                    </a:prstGeom>
                  </pic:spPr>
                </pic:pic>
              </a:graphicData>
            </a:graphic>
          </wp:inline>
        </w:drawing>
      </w:r>
    </w:p>
    <w:p w14:paraId="6FF59BB0" w14:textId="269FA70A" w:rsidR="006D230D" w:rsidRPr="0003613D" w:rsidRDefault="00B77095" w:rsidP="006D230D">
      <w:pPr>
        <w:rPr>
          <w:rFonts w:ascii="Arial" w:hAnsi="Arial" w:cs="Arial"/>
          <w:bCs/>
          <w:sz w:val="24"/>
          <w:szCs w:val="24"/>
        </w:rPr>
      </w:pPr>
      <w:r w:rsidRPr="0003613D">
        <w:rPr>
          <w:rFonts w:ascii="Arial" w:hAnsi="Arial" w:cs="Arial"/>
          <w:bCs/>
          <w:sz w:val="24"/>
          <w:szCs w:val="24"/>
        </w:rPr>
        <w:t xml:space="preserve">In total, </w:t>
      </w:r>
      <w:r w:rsidR="00251269" w:rsidRPr="0003613D">
        <w:rPr>
          <w:rFonts w:ascii="Arial" w:hAnsi="Arial" w:cs="Arial"/>
          <w:bCs/>
          <w:sz w:val="24"/>
          <w:szCs w:val="24"/>
        </w:rPr>
        <w:t xml:space="preserve">according to projections, </w:t>
      </w:r>
      <w:r w:rsidRPr="0003613D">
        <w:rPr>
          <w:rFonts w:ascii="Arial" w:hAnsi="Arial" w:cs="Arial"/>
          <w:bCs/>
          <w:sz w:val="24"/>
          <w:szCs w:val="24"/>
        </w:rPr>
        <w:t>806 wheelchair user</w:t>
      </w:r>
      <w:r w:rsidR="00673DC1" w:rsidRPr="0003613D">
        <w:rPr>
          <w:rFonts w:ascii="Arial" w:hAnsi="Arial" w:cs="Arial"/>
          <w:bCs/>
          <w:sz w:val="24"/>
          <w:szCs w:val="24"/>
        </w:rPr>
        <w:t xml:space="preserve"> friendly</w:t>
      </w:r>
      <w:r w:rsidRPr="0003613D">
        <w:rPr>
          <w:rFonts w:ascii="Arial" w:hAnsi="Arial" w:cs="Arial"/>
          <w:bCs/>
          <w:sz w:val="24"/>
          <w:szCs w:val="24"/>
        </w:rPr>
        <w:t xml:space="preserve"> dwellings </w:t>
      </w:r>
      <w:r w:rsidR="00251269" w:rsidRPr="0003613D">
        <w:rPr>
          <w:rFonts w:ascii="Arial" w:hAnsi="Arial" w:cs="Arial"/>
          <w:bCs/>
          <w:sz w:val="24"/>
          <w:szCs w:val="24"/>
        </w:rPr>
        <w:t>will be</w:t>
      </w:r>
      <w:r w:rsidRPr="0003613D">
        <w:rPr>
          <w:rFonts w:ascii="Arial" w:hAnsi="Arial" w:cs="Arial"/>
          <w:bCs/>
          <w:sz w:val="24"/>
          <w:szCs w:val="24"/>
        </w:rPr>
        <w:t xml:space="preserve"> required in Sandwell</w:t>
      </w:r>
      <w:r w:rsidR="00251269" w:rsidRPr="0003613D">
        <w:rPr>
          <w:rFonts w:ascii="Arial" w:hAnsi="Arial" w:cs="Arial"/>
          <w:bCs/>
          <w:sz w:val="24"/>
          <w:szCs w:val="24"/>
        </w:rPr>
        <w:t xml:space="preserve"> in 2041</w:t>
      </w:r>
      <w:r w:rsidRPr="0003613D">
        <w:rPr>
          <w:rFonts w:ascii="Arial" w:hAnsi="Arial" w:cs="Arial"/>
          <w:bCs/>
          <w:sz w:val="24"/>
          <w:szCs w:val="24"/>
        </w:rPr>
        <w:t>, of which</w:t>
      </w:r>
      <w:r w:rsidR="00251269" w:rsidRPr="0003613D">
        <w:rPr>
          <w:rFonts w:ascii="Arial" w:hAnsi="Arial" w:cs="Arial"/>
          <w:bCs/>
          <w:sz w:val="24"/>
          <w:szCs w:val="24"/>
        </w:rPr>
        <w:t xml:space="preserve">, </w:t>
      </w:r>
      <w:r w:rsidRPr="0003613D">
        <w:rPr>
          <w:rFonts w:ascii="Arial" w:hAnsi="Arial" w:cs="Arial"/>
          <w:bCs/>
          <w:sz w:val="24"/>
          <w:szCs w:val="24"/>
        </w:rPr>
        <w:t xml:space="preserve">513 </w:t>
      </w:r>
      <w:r w:rsidR="00251269" w:rsidRPr="0003613D">
        <w:rPr>
          <w:rFonts w:ascii="Arial" w:hAnsi="Arial" w:cs="Arial"/>
          <w:bCs/>
          <w:sz w:val="24"/>
          <w:szCs w:val="24"/>
        </w:rPr>
        <w:t xml:space="preserve">will need to be </w:t>
      </w:r>
      <w:r w:rsidRPr="0003613D">
        <w:rPr>
          <w:rFonts w:ascii="Arial" w:hAnsi="Arial" w:cs="Arial"/>
          <w:bCs/>
          <w:sz w:val="24"/>
          <w:szCs w:val="24"/>
        </w:rPr>
        <w:t xml:space="preserve">affordable accommodation. Of the 806 wheelchair user dwellings required, 595 should be in the general housing stock and 211 in supported accommodation. Overall, the requirement for 806 wheelchair user dwellings will mean that </w:t>
      </w:r>
      <w:r w:rsidR="00251269" w:rsidRPr="0003613D">
        <w:rPr>
          <w:rFonts w:ascii="Arial" w:hAnsi="Arial" w:cs="Arial"/>
          <w:bCs/>
          <w:sz w:val="24"/>
          <w:szCs w:val="24"/>
        </w:rPr>
        <w:t>in 2041,</w:t>
      </w:r>
      <w:r w:rsidRPr="0003613D">
        <w:rPr>
          <w:rFonts w:ascii="Arial" w:hAnsi="Arial" w:cs="Arial"/>
          <w:bCs/>
          <w:sz w:val="24"/>
          <w:szCs w:val="24"/>
        </w:rPr>
        <w:t xml:space="preserve"> around 0.5% of the total stock should be available to meet this criteria. </w:t>
      </w:r>
    </w:p>
    <w:p w14:paraId="3C62907F" w14:textId="7C79F61E" w:rsidR="006D230D" w:rsidRPr="0003613D" w:rsidRDefault="006D230D" w:rsidP="006D230D">
      <w:pPr>
        <w:rPr>
          <w:rFonts w:ascii="Arial" w:hAnsi="Arial" w:cs="Arial"/>
          <w:bCs/>
          <w:sz w:val="24"/>
          <w:szCs w:val="24"/>
        </w:rPr>
      </w:pPr>
      <w:r w:rsidRPr="0003613D">
        <w:rPr>
          <w:rFonts w:ascii="Arial" w:hAnsi="Arial" w:cs="Arial"/>
          <w:bCs/>
          <w:sz w:val="24"/>
          <w:szCs w:val="24"/>
        </w:rPr>
        <w:t xml:space="preserve">In addition to specialist accommodation, the council provides support and assistance to help people remain in their current home. Adaptions made to dwellings could reduce the requirement for new homes meeting the M4(2) standard. 916 applications were received, under the Disabled Facilities Grants programme between 2018 to 2023. Of this sum, 869 Disabled Facilities Grants were awarded, and work was completed, to make adaptations to accommodation. </w:t>
      </w:r>
    </w:p>
    <w:p w14:paraId="1CC8D6DB" w14:textId="767FB4E7" w:rsidR="00803223" w:rsidRPr="0003613D" w:rsidRDefault="00803223">
      <w:pPr>
        <w:rPr>
          <w:rFonts w:ascii="Arial" w:hAnsi="Arial" w:cs="Arial"/>
          <w:b/>
          <w:sz w:val="24"/>
          <w:szCs w:val="24"/>
        </w:rPr>
      </w:pPr>
      <w:r w:rsidRPr="0003613D">
        <w:rPr>
          <w:rFonts w:ascii="Arial" w:hAnsi="Arial" w:cs="Arial"/>
          <w:b/>
          <w:sz w:val="24"/>
          <w:szCs w:val="24"/>
        </w:rPr>
        <w:t xml:space="preserve">Supported living for adults with learning difficulties and autism </w:t>
      </w:r>
    </w:p>
    <w:p w14:paraId="79F2B2A8" w14:textId="4A30C02B" w:rsidR="00BE50E7" w:rsidRPr="0003613D" w:rsidRDefault="00BE50E7">
      <w:pPr>
        <w:rPr>
          <w:rFonts w:ascii="Arial" w:hAnsi="Arial" w:cs="Arial"/>
          <w:bCs/>
          <w:sz w:val="24"/>
          <w:szCs w:val="24"/>
        </w:rPr>
      </w:pPr>
      <w:r w:rsidRPr="0003613D">
        <w:rPr>
          <w:rFonts w:ascii="Arial" w:hAnsi="Arial" w:cs="Arial"/>
          <w:bCs/>
          <w:sz w:val="24"/>
          <w:szCs w:val="24"/>
        </w:rPr>
        <w:t xml:space="preserve">The below table, featured in the 2022 Housing Needs Assessment, presented data for the number of supported living housing placements needed through to the year 2026. Projections were made by the </w:t>
      </w:r>
      <w:r w:rsidRPr="0003613D">
        <w:rPr>
          <w:rFonts w:ascii="Arial" w:eastAsia="Calibri" w:hAnsi="Arial" w:cs="Arial"/>
          <w:sz w:val="24"/>
          <w:szCs w:val="24"/>
        </w:rPr>
        <w:t>Commissioning Support Planning Team for the years 2023 to 2026. Commissioners still project that around 50 placements will be needed in the years 2026</w:t>
      </w:r>
      <w:r w:rsidR="009F1A25" w:rsidRPr="0003613D">
        <w:rPr>
          <w:rFonts w:ascii="Arial" w:eastAsia="Calibri" w:hAnsi="Arial" w:cs="Arial"/>
          <w:sz w:val="24"/>
          <w:szCs w:val="24"/>
        </w:rPr>
        <w:t>,</w:t>
      </w:r>
      <w:r w:rsidRPr="0003613D">
        <w:rPr>
          <w:rFonts w:ascii="Arial" w:eastAsia="Calibri" w:hAnsi="Arial" w:cs="Arial"/>
          <w:sz w:val="24"/>
          <w:szCs w:val="24"/>
        </w:rPr>
        <w:t xml:space="preserve"> 2027 and 2028, showing </w:t>
      </w:r>
      <w:r w:rsidR="009F1A25" w:rsidRPr="0003613D">
        <w:rPr>
          <w:rFonts w:ascii="Arial" w:eastAsia="Calibri" w:hAnsi="Arial" w:cs="Arial"/>
          <w:sz w:val="24"/>
          <w:szCs w:val="24"/>
        </w:rPr>
        <w:t>a stabilisation in the number of placements required, following the great increase observed between the years 2021 and 2023.</w:t>
      </w:r>
    </w:p>
    <w:p w14:paraId="3394E0C4" w14:textId="717F87CE" w:rsidR="00BE50E7" w:rsidRPr="0003613D" w:rsidRDefault="00BE50E7">
      <w:pPr>
        <w:rPr>
          <w:rFonts w:ascii="Arial" w:hAnsi="Arial" w:cs="Arial"/>
          <w:b/>
          <w:sz w:val="24"/>
          <w:szCs w:val="24"/>
        </w:rPr>
      </w:pPr>
      <w:r w:rsidRPr="0003613D">
        <w:rPr>
          <w:rFonts w:ascii="Arial" w:hAnsi="Arial" w:cs="Arial"/>
          <w:b/>
          <w:noProof/>
          <w:sz w:val="24"/>
          <w:szCs w:val="24"/>
        </w:rPr>
        <w:drawing>
          <wp:inline distT="0" distB="0" distL="0" distR="0" wp14:anchorId="63B4009F" wp14:editId="393B6520">
            <wp:extent cx="5731510" cy="1469390"/>
            <wp:effectExtent l="0" t="0" r="2540" b="0"/>
            <wp:docPr id="815776365" name="Picture 1" descr="A calendar with numb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776365" name="Picture 1" descr="A calendar with numbers and numbers&#10;&#10;AI-generated content may be incorrect."/>
                    <pic:cNvPicPr/>
                  </pic:nvPicPr>
                  <pic:blipFill>
                    <a:blip r:embed="rId20"/>
                    <a:stretch>
                      <a:fillRect/>
                    </a:stretch>
                  </pic:blipFill>
                  <pic:spPr>
                    <a:xfrm>
                      <a:off x="0" y="0"/>
                      <a:ext cx="5731510" cy="1469390"/>
                    </a:xfrm>
                    <a:prstGeom prst="rect">
                      <a:avLst/>
                    </a:prstGeom>
                  </pic:spPr>
                </pic:pic>
              </a:graphicData>
            </a:graphic>
          </wp:inline>
        </w:drawing>
      </w:r>
    </w:p>
    <w:p w14:paraId="2DE8D6C6" w14:textId="36A358DD" w:rsidR="00803223" w:rsidRPr="0003613D" w:rsidRDefault="00803223">
      <w:pPr>
        <w:rPr>
          <w:rFonts w:ascii="Arial" w:hAnsi="Arial" w:cs="Arial"/>
          <w:b/>
          <w:sz w:val="24"/>
          <w:szCs w:val="24"/>
        </w:rPr>
      </w:pPr>
      <w:r w:rsidRPr="0003613D">
        <w:rPr>
          <w:rFonts w:ascii="Arial" w:hAnsi="Arial" w:cs="Arial"/>
          <w:b/>
          <w:sz w:val="24"/>
          <w:szCs w:val="24"/>
        </w:rPr>
        <w:lastRenderedPageBreak/>
        <w:t>Accommodation needs for young people</w:t>
      </w:r>
    </w:p>
    <w:p w14:paraId="4FD463CE" w14:textId="0C902279" w:rsidR="00E21436" w:rsidRPr="0003613D" w:rsidRDefault="00E21436">
      <w:pPr>
        <w:rPr>
          <w:rFonts w:ascii="Arial" w:eastAsia="Calibri" w:hAnsi="Arial" w:cs="Arial"/>
          <w:bCs/>
          <w:sz w:val="24"/>
          <w:szCs w:val="24"/>
        </w:rPr>
      </w:pPr>
      <w:r w:rsidRPr="0003613D">
        <w:rPr>
          <w:rFonts w:ascii="Arial" w:hAnsi="Arial" w:cs="Arial"/>
          <w:bCs/>
          <w:sz w:val="24"/>
          <w:szCs w:val="24"/>
        </w:rPr>
        <w:t xml:space="preserve">Sandwell Council aim to provide accommodation for young people that is high quality and </w:t>
      </w:r>
      <w:r w:rsidRPr="0003613D">
        <w:rPr>
          <w:rFonts w:ascii="Arial" w:eastAsia="Calibri" w:hAnsi="Arial" w:cs="Arial"/>
          <w:bCs/>
          <w:sz w:val="24"/>
          <w:szCs w:val="24"/>
        </w:rPr>
        <w:t>affordable to prevent homelessness.</w:t>
      </w:r>
    </w:p>
    <w:p w14:paraId="74A4A38E" w14:textId="16DAB537" w:rsidR="00E21436" w:rsidRPr="0003613D" w:rsidRDefault="00E21436">
      <w:pPr>
        <w:rPr>
          <w:rFonts w:ascii="Arial" w:eastAsia="Calibri" w:hAnsi="Arial" w:cs="Arial"/>
          <w:bCs/>
          <w:sz w:val="24"/>
          <w:szCs w:val="24"/>
        </w:rPr>
      </w:pPr>
      <w:r w:rsidRPr="0003613D">
        <w:rPr>
          <w:rFonts w:ascii="Arial" w:eastAsia="Calibri" w:hAnsi="Arial" w:cs="Arial"/>
          <w:bCs/>
          <w:sz w:val="24"/>
          <w:szCs w:val="24"/>
        </w:rPr>
        <w:t xml:space="preserve">Sandwell Council and St Basil’s have formed a strategic partnership to provide young people with affordable housing and employment opportunities, to ensure a successful transition to independent living. </w:t>
      </w:r>
    </w:p>
    <w:p w14:paraId="7788CA9E" w14:textId="5A77AA9B" w:rsidR="00F04457" w:rsidRPr="0003613D" w:rsidRDefault="00F04457">
      <w:pPr>
        <w:rPr>
          <w:rFonts w:ascii="Arial" w:eastAsia="Calibri" w:hAnsi="Arial" w:cs="Arial"/>
          <w:b/>
          <w:bCs/>
          <w:sz w:val="24"/>
          <w:szCs w:val="24"/>
        </w:rPr>
      </w:pPr>
      <w:r w:rsidRPr="0003613D">
        <w:rPr>
          <w:rFonts w:ascii="Arial" w:eastAsia="Calibri" w:hAnsi="Arial" w:cs="Arial"/>
          <w:bCs/>
          <w:sz w:val="24"/>
          <w:szCs w:val="24"/>
        </w:rPr>
        <w:t xml:space="preserve">St Basils operate four multi-property </w:t>
      </w:r>
      <w:r w:rsidR="00B73A8C" w:rsidRPr="0003613D">
        <w:rPr>
          <w:rFonts w:ascii="Arial" w:eastAsia="Calibri" w:hAnsi="Arial" w:cs="Arial"/>
          <w:bCs/>
          <w:sz w:val="24"/>
          <w:szCs w:val="24"/>
        </w:rPr>
        <w:t>site</w:t>
      </w:r>
      <w:r w:rsidRPr="0003613D">
        <w:rPr>
          <w:rFonts w:ascii="Arial" w:eastAsia="Calibri" w:hAnsi="Arial" w:cs="Arial"/>
          <w:bCs/>
          <w:sz w:val="24"/>
          <w:szCs w:val="24"/>
        </w:rPr>
        <w:t xml:space="preserve">s in Sandwell at </w:t>
      </w:r>
      <w:r w:rsidRPr="0003613D">
        <w:rPr>
          <w:rFonts w:ascii="Arial" w:eastAsia="Calibri" w:hAnsi="Arial" w:cs="Arial"/>
          <w:sz w:val="24"/>
          <w:szCs w:val="24"/>
        </w:rPr>
        <w:t xml:space="preserve">All Saints House, Boothroyd House, Hallam House, and Apprentice House. </w:t>
      </w:r>
    </w:p>
    <w:p w14:paraId="02ECF7C4" w14:textId="1A7CBF37" w:rsidR="00E21436" w:rsidRPr="0003613D" w:rsidRDefault="00E21436">
      <w:pPr>
        <w:rPr>
          <w:rFonts w:ascii="Arial" w:hAnsi="Arial" w:cs="Arial"/>
          <w:bCs/>
          <w:sz w:val="24"/>
          <w:szCs w:val="24"/>
        </w:rPr>
      </w:pPr>
      <w:r w:rsidRPr="0003613D">
        <w:rPr>
          <w:rFonts w:ascii="Arial" w:hAnsi="Arial" w:cs="Arial"/>
          <w:bCs/>
          <w:sz w:val="24"/>
          <w:szCs w:val="24"/>
        </w:rPr>
        <w:t xml:space="preserve">Young people who are </w:t>
      </w:r>
      <w:r w:rsidR="00F04457" w:rsidRPr="0003613D">
        <w:rPr>
          <w:rFonts w:ascii="Arial" w:hAnsi="Arial" w:cs="Arial"/>
          <w:bCs/>
          <w:sz w:val="24"/>
          <w:szCs w:val="24"/>
        </w:rPr>
        <w:t xml:space="preserve">under the age of 26, and are </w:t>
      </w:r>
      <w:r w:rsidRPr="0003613D">
        <w:rPr>
          <w:rFonts w:ascii="Arial" w:hAnsi="Arial" w:cs="Arial"/>
          <w:bCs/>
          <w:sz w:val="24"/>
          <w:szCs w:val="24"/>
        </w:rPr>
        <w:t>employed, in an apprenticeship, or awaiting an offer</w:t>
      </w:r>
      <w:r w:rsidR="005A133C" w:rsidRPr="0003613D">
        <w:rPr>
          <w:rFonts w:ascii="Arial" w:hAnsi="Arial" w:cs="Arial"/>
          <w:bCs/>
          <w:sz w:val="24"/>
          <w:szCs w:val="24"/>
        </w:rPr>
        <w:t>,</w:t>
      </w:r>
      <w:r w:rsidRPr="0003613D">
        <w:rPr>
          <w:rFonts w:ascii="Arial" w:hAnsi="Arial" w:cs="Arial"/>
          <w:bCs/>
          <w:sz w:val="24"/>
          <w:szCs w:val="24"/>
        </w:rPr>
        <w:t xml:space="preserve"> can apply</w:t>
      </w:r>
      <w:r w:rsidR="00F04457" w:rsidRPr="0003613D">
        <w:rPr>
          <w:rFonts w:ascii="Arial" w:hAnsi="Arial" w:cs="Arial"/>
          <w:bCs/>
          <w:sz w:val="24"/>
          <w:szCs w:val="24"/>
        </w:rPr>
        <w:t xml:space="preserve"> for accommodation at St Basils. Weekly rent at All Saints House, Boothroyd House and Hallam House is £75. Weekly rent at Apprentice House is £50.</w:t>
      </w:r>
    </w:p>
    <w:p w14:paraId="2EF6A623" w14:textId="42F7E531" w:rsidR="00ED7C02" w:rsidRPr="0003613D" w:rsidRDefault="00ED7C02">
      <w:pPr>
        <w:rPr>
          <w:rFonts w:ascii="Arial" w:hAnsi="Arial" w:cs="Arial"/>
          <w:bCs/>
          <w:sz w:val="24"/>
          <w:szCs w:val="24"/>
        </w:rPr>
      </w:pPr>
      <w:r w:rsidRPr="0003613D">
        <w:rPr>
          <w:rFonts w:ascii="Arial" w:hAnsi="Arial" w:cs="Arial"/>
          <w:bCs/>
          <w:sz w:val="24"/>
          <w:szCs w:val="24"/>
        </w:rPr>
        <w:t xml:space="preserve">Across the four sites, there are 86 properties managed by St Basil’s for use as accommodation for young people. These 86 properties include </w:t>
      </w:r>
      <w:r w:rsidR="005C457A" w:rsidRPr="0003613D">
        <w:rPr>
          <w:rFonts w:ascii="Arial" w:hAnsi="Arial" w:cs="Arial"/>
          <w:bCs/>
          <w:sz w:val="24"/>
          <w:szCs w:val="24"/>
        </w:rPr>
        <w:t xml:space="preserve">32 properties with a shared kitchen and bathroom, and 54 self-contained </w:t>
      </w:r>
      <w:r w:rsidR="002D045A" w:rsidRPr="0003613D">
        <w:rPr>
          <w:rFonts w:ascii="Arial" w:hAnsi="Arial" w:cs="Arial"/>
          <w:bCs/>
          <w:sz w:val="24"/>
          <w:szCs w:val="24"/>
        </w:rPr>
        <w:t>flats</w:t>
      </w:r>
      <w:r w:rsidR="005C457A" w:rsidRPr="0003613D">
        <w:rPr>
          <w:rFonts w:ascii="Arial" w:hAnsi="Arial" w:cs="Arial"/>
          <w:bCs/>
          <w:sz w:val="24"/>
          <w:szCs w:val="24"/>
        </w:rPr>
        <w:t>, including 27 studio flats and 27 1</w:t>
      </w:r>
      <w:r w:rsidR="00B73A8C" w:rsidRPr="0003613D">
        <w:rPr>
          <w:rFonts w:ascii="Arial" w:hAnsi="Arial" w:cs="Arial"/>
          <w:bCs/>
          <w:sz w:val="24"/>
          <w:szCs w:val="24"/>
        </w:rPr>
        <w:t xml:space="preserve"> </w:t>
      </w:r>
      <w:r w:rsidR="005C457A" w:rsidRPr="0003613D">
        <w:rPr>
          <w:rFonts w:ascii="Arial" w:hAnsi="Arial" w:cs="Arial"/>
          <w:bCs/>
          <w:sz w:val="24"/>
          <w:szCs w:val="24"/>
        </w:rPr>
        <w:t>bedroom flats.</w:t>
      </w:r>
    </w:p>
    <w:p w14:paraId="2CDA0BCC" w14:textId="0829E5B3" w:rsidR="00832614" w:rsidRPr="0003613D" w:rsidRDefault="00832614">
      <w:pPr>
        <w:rPr>
          <w:rFonts w:ascii="Arial" w:hAnsi="Arial" w:cs="Arial"/>
          <w:b/>
          <w:sz w:val="24"/>
          <w:szCs w:val="24"/>
        </w:rPr>
      </w:pPr>
      <w:r w:rsidRPr="0003613D">
        <w:rPr>
          <w:rFonts w:ascii="Arial" w:hAnsi="Arial" w:cs="Arial"/>
          <w:b/>
          <w:sz w:val="24"/>
          <w:szCs w:val="24"/>
        </w:rPr>
        <w:t xml:space="preserve">Care Experienced Young People </w:t>
      </w:r>
    </w:p>
    <w:p w14:paraId="1F63E5BC" w14:textId="7B257FC5" w:rsidR="00F05553" w:rsidRPr="0003613D" w:rsidRDefault="00F05553" w:rsidP="00F05553">
      <w:pPr>
        <w:rPr>
          <w:rFonts w:ascii="Arial" w:hAnsi="Arial" w:cs="Arial"/>
          <w:bCs/>
          <w:sz w:val="24"/>
          <w:szCs w:val="24"/>
        </w:rPr>
      </w:pPr>
      <w:r w:rsidRPr="0003613D">
        <w:rPr>
          <w:rFonts w:ascii="Arial" w:hAnsi="Arial" w:cs="Arial"/>
          <w:bCs/>
          <w:sz w:val="24"/>
          <w:szCs w:val="24"/>
        </w:rPr>
        <w:t xml:space="preserve">In December 2024, the Sandwell Council Cabinet agreed and approved a report to </w:t>
      </w:r>
      <w:r w:rsidR="00A25EF3" w:rsidRPr="0003613D">
        <w:rPr>
          <w:rFonts w:ascii="Arial" w:hAnsi="Arial" w:cs="Arial"/>
          <w:bCs/>
          <w:sz w:val="24"/>
          <w:szCs w:val="24"/>
        </w:rPr>
        <w:t xml:space="preserve">recognise </w:t>
      </w:r>
      <w:r w:rsidRPr="0003613D">
        <w:rPr>
          <w:rFonts w:ascii="Arial" w:hAnsi="Arial" w:cs="Arial"/>
          <w:bCs/>
          <w:sz w:val="24"/>
          <w:szCs w:val="24"/>
        </w:rPr>
        <w:t>care experience as a protected characteristic.</w:t>
      </w:r>
      <w:r w:rsidR="004E5CAD" w:rsidRPr="0003613D">
        <w:rPr>
          <w:rFonts w:ascii="Arial" w:hAnsi="Arial" w:cs="Arial"/>
          <w:bCs/>
          <w:sz w:val="24"/>
          <w:szCs w:val="24"/>
        </w:rPr>
        <w:t xml:space="preserve"> </w:t>
      </w:r>
    </w:p>
    <w:p w14:paraId="7D2775A9" w14:textId="1097D6C4" w:rsidR="004E5CAD" w:rsidRPr="0003613D" w:rsidRDefault="00A25EF3" w:rsidP="004E5CAD">
      <w:pPr>
        <w:rPr>
          <w:rFonts w:ascii="Arial" w:hAnsi="Arial" w:cs="Arial"/>
          <w:bCs/>
          <w:sz w:val="24"/>
          <w:szCs w:val="24"/>
        </w:rPr>
      </w:pPr>
      <w:r w:rsidRPr="0003613D">
        <w:rPr>
          <w:rFonts w:ascii="Arial" w:hAnsi="Arial" w:cs="Arial"/>
          <w:sz w:val="24"/>
          <w:szCs w:val="24"/>
        </w:rPr>
        <w:t>By recognising care experience as a protected characteristic, Sandwell Council</w:t>
      </w:r>
      <w:r w:rsidR="004E5CAD" w:rsidRPr="0003613D">
        <w:rPr>
          <w:rFonts w:ascii="Arial" w:hAnsi="Arial" w:cs="Arial"/>
          <w:sz w:val="24"/>
          <w:szCs w:val="24"/>
        </w:rPr>
        <w:t xml:space="preserve"> </w:t>
      </w:r>
      <w:r w:rsidRPr="0003613D">
        <w:rPr>
          <w:rFonts w:ascii="Arial" w:hAnsi="Arial" w:cs="Arial"/>
          <w:sz w:val="24"/>
          <w:szCs w:val="24"/>
        </w:rPr>
        <w:t xml:space="preserve">must provide </w:t>
      </w:r>
      <w:r w:rsidR="004E5CAD" w:rsidRPr="0003613D">
        <w:rPr>
          <w:rFonts w:ascii="Arial" w:hAnsi="Arial" w:cs="Arial"/>
          <w:sz w:val="24"/>
          <w:szCs w:val="24"/>
        </w:rPr>
        <w:t xml:space="preserve">access </w:t>
      </w:r>
      <w:r w:rsidRPr="0003613D">
        <w:rPr>
          <w:rFonts w:ascii="Arial" w:hAnsi="Arial" w:cs="Arial"/>
          <w:sz w:val="24"/>
          <w:szCs w:val="24"/>
        </w:rPr>
        <w:t xml:space="preserve">to </w:t>
      </w:r>
      <w:r w:rsidR="004E5CAD" w:rsidRPr="0003613D">
        <w:rPr>
          <w:rFonts w:ascii="Arial" w:hAnsi="Arial" w:cs="Arial"/>
          <w:sz w:val="24"/>
          <w:szCs w:val="24"/>
        </w:rPr>
        <w:t xml:space="preserve">stable and suitable housing </w:t>
      </w:r>
      <w:r w:rsidRPr="0003613D">
        <w:rPr>
          <w:rFonts w:ascii="Arial" w:hAnsi="Arial" w:cs="Arial"/>
          <w:sz w:val="24"/>
          <w:szCs w:val="24"/>
        </w:rPr>
        <w:t>by</w:t>
      </w:r>
      <w:r w:rsidRPr="0003613D">
        <w:rPr>
          <w:rFonts w:ascii="Arial" w:hAnsi="Arial" w:cs="Arial"/>
          <w:bCs/>
          <w:sz w:val="24"/>
          <w:szCs w:val="24"/>
        </w:rPr>
        <w:t xml:space="preserve"> </w:t>
      </w:r>
      <w:r w:rsidR="004E5CAD" w:rsidRPr="0003613D">
        <w:rPr>
          <w:rFonts w:ascii="Arial" w:hAnsi="Arial" w:cs="Arial"/>
          <w:bCs/>
          <w:sz w:val="24"/>
          <w:szCs w:val="24"/>
        </w:rPr>
        <w:t>prioriti</w:t>
      </w:r>
      <w:r w:rsidRPr="0003613D">
        <w:rPr>
          <w:rFonts w:ascii="Arial" w:hAnsi="Arial" w:cs="Arial"/>
          <w:bCs/>
          <w:sz w:val="24"/>
          <w:szCs w:val="24"/>
        </w:rPr>
        <w:t>s</w:t>
      </w:r>
      <w:r w:rsidR="004E5CAD" w:rsidRPr="0003613D">
        <w:rPr>
          <w:rFonts w:ascii="Arial" w:hAnsi="Arial" w:cs="Arial"/>
          <w:bCs/>
          <w:sz w:val="24"/>
          <w:szCs w:val="24"/>
        </w:rPr>
        <w:t>ing the</w:t>
      </w:r>
      <w:r w:rsidRPr="0003613D">
        <w:rPr>
          <w:rFonts w:ascii="Arial" w:hAnsi="Arial" w:cs="Arial"/>
          <w:bCs/>
          <w:sz w:val="24"/>
          <w:szCs w:val="24"/>
        </w:rPr>
        <w:t xml:space="preserve"> </w:t>
      </w:r>
      <w:r w:rsidR="004E5CAD" w:rsidRPr="0003613D">
        <w:rPr>
          <w:rFonts w:ascii="Arial" w:hAnsi="Arial" w:cs="Arial"/>
          <w:bCs/>
          <w:sz w:val="24"/>
          <w:szCs w:val="24"/>
        </w:rPr>
        <w:t xml:space="preserve">needs </w:t>
      </w:r>
      <w:r w:rsidRPr="0003613D">
        <w:rPr>
          <w:rFonts w:ascii="Arial" w:hAnsi="Arial" w:cs="Arial"/>
          <w:bCs/>
          <w:sz w:val="24"/>
          <w:szCs w:val="24"/>
        </w:rPr>
        <w:t>of care experienced young people in</w:t>
      </w:r>
      <w:r w:rsidR="004E5CAD" w:rsidRPr="0003613D">
        <w:rPr>
          <w:rFonts w:ascii="Arial" w:hAnsi="Arial" w:cs="Arial"/>
          <w:bCs/>
          <w:sz w:val="24"/>
          <w:szCs w:val="24"/>
        </w:rPr>
        <w:t xml:space="preserve"> policy decisions.</w:t>
      </w:r>
      <w:r w:rsidR="00E50477" w:rsidRPr="0003613D">
        <w:rPr>
          <w:rFonts w:ascii="Arial" w:hAnsi="Arial" w:cs="Arial"/>
          <w:bCs/>
          <w:sz w:val="24"/>
          <w:szCs w:val="24"/>
        </w:rPr>
        <w:t xml:space="preserve"> </w:t>
      </w:r>
      <w:r w:rsidR="004E5CAD" w:rsidRPr="0003613D">
        <w:rPr>
          <w:rFonts w:ascii="Arial" w:hAnsi="Arial" w:cs="Arial"/>
          <w:bCs/>
          <w:sz w:val="24"/>
          <w:szCs w:val="24"/>
        </w:rPr>
        <w:t xml:space="preserve">The </w:t>
      </w:r>
      <w:r w:rsidR="00E50477" w:rsidRPr="0003613D">
        <w:rPr>
          <w:rFonts w:ascii="Arial" w:hAnsi="Arial" w:cs="Arial"/>
          <w:bCs/>
          <w:sz w:val="24"/>
          <w:szCs w:val="24"/>
        </w:rPr>
        <w:t>c</w:t>
      </w:r>
      <w:r w:rsidR="004E5CAD" w:rsidRPr="0003613D">
        <w:rPr>
          <w:rFonts w:ascii="Arial" w:hAnsi="Arial" w:cs="Arial"/>
          <w:bCs/>
          <w:sz w:val="24"/>
          <w:szCs w:val="24"/>
        </w:rPr>
        <w:t xml:space="preserve">ouncil must ensure </w:t>
      </w:r>
      <w:r w:rsidR="00E50477" w:rsidRPr="0003613D">
        <w:rPr>
          <w:rFonts w:ascii="Arial" w:hAnsi="Arial" w:cs="Arial"/>
          <w:bCs/>
          <w:sz w:val="24"/>
          <w:szCs w:val="24"/>
        </w:rPr>
        <w:t xml:space="preserve">that </w:t>
      </w:r>
      <w:r w:rsidR="004E5CAD" w:rsidRPr="0003613D">
        <w:rPr>
          <w:rFonts w:ascii="Arial" w:hAnsi="Arial" w:cs="Arial"/>
          <w:bCs/>
          <w:sz w:val="24"/>
          <w:szCs w:val="24"/>
        </w:rPr>
        <w:t xml:space="preserve">housing policies </w:t>
      </w:r>
      <w:r w:rsidR="004E5CAD" w:rsidRPr="0003613D">
        <w:rPr>
          <w:rFonts w:ascii="Arial" w:hAnsi="Arial" w:cs="Arial"/>
          <w:sz w:val="24"/>
          <w:szCs w:val="24"/>
        </w:rPr>
        <w:t xml:space="preserve">explicitly consider the needs of </w:t>
      </w:r>
      <w:r w:rsidR="00E50477" w:rsidRPr="0003613D">
        <w:rPr>
          <w:rFonts w:ascii="Arial" w:hAnsi="Arial" w:cs="Arial"/>
          <w:sz w:val="24"/>
          <w:szCs w:val="24"/>
        </w:rPr>
        <w:t>care experienced young people</w:t>
      </w:r>
      <w:r w:rsidR="00E50477" w:rsidRPr="0003613D">
        <w:rPr>
          <w:rFonts w:ascii="Arial" w:hAnsi="Arial" w:cs="Arial"/>
          <w:b/>
          <w:bCs/>
          <w:sz w:val="24"/>
          <w:szCs w:val="24"/>
        </w:rPr>
        <w:t xml:space="preserve">, </w:t>
      </w:r>
      <w:r w:rsidR="00E50477" w:rsidRPr="0003613D">
        <w:rPr>
          <w:rFonts w:ascii="Arial" w:hAnsi="Arial" w:cs="Arial"/>
          <w:sz w:val="24"/>
          <w:szCs w:val="24"/>
        </w:rPr>
        <w:t xml:space="preserve">and that housing outcomes for care experienced young people are routinely monitored. Future housing support initiatives must also prioritise the needs of care experienced young people. </w:t>
      </w:r>
    </w:p>
    <w:p w14:paraId="05FEE8F4" w14:textId="37513D32" w:rsidR="00F4652B" w:rsidRPr="0003613D" w:rsidRDefault="00F4652B" w:rsidP="00F4652B">
      <w:pPr>
        <w:spacing w:line="276" w:lineRule="auto"/>
        <w:rPr>
          <w:rFonts w:ascii="Arial" w:eastAsia="Calibri" w:hAnsi="Arial" w:cs="Arial"/>
          <w:sz w:val="24"/>
          <w:szCs w:val="24"/>
        </w:rPr>
      </w:pPr>
      <w:r w:rsidRPr="0003613D">
        <w:rPr>
          <w:rFonts w:ascii="Arial" w:eastAsia="Calibri" w:hAnsi="Arial" w:cs="Arial"/>
          <w:sz w:val="24"/>
          <w:szCs w:val="24"/>
        </w:rPr>
        <w:t xml:space="preserve">To </w:t>
      </w:r>
      <w:r w:rsidR="00E50477" w:rsidRPr="0003613D">
        <w:rPr>
          <w:rFonts w:ascii="Arial" w:eastAsia="Calibri" w:hAnsi="Arial" w:cs="Arial"/>
          <w:sz w:val="24"/>
          <w:szCs w:val="24"/>
        </w:rPr>
        <w:t xml:space="preserve">help </w:t>
      </w:r>
      <w:r w:rsidRPr="0003613D">
        <w:rPr>
          <w:rFonts w:ascii="Arial" w:eastAsia="Calibri" w:hAnsi="Arial" w:cs="Arial"/>
          <w:sz w:val="24"/>
          <w:szCs w:val="24"/>
        </w:rPr>
        <w:t xml:space="preserve">enable our care experienced young people to successfully transition to adulthood, it is Sandwell Council’s responsibility as a corporate parent, to ensure that our care experienced young people are given a safe and supported pathway </w:t>
      </w:r>
      <w:r w:rsidR="004B008B" w:rsidRPr="0003613D">
        <w:rPr>
          <w:rFonts w:ascii="Arial" w:eastAsia="Calibri" w:hAnsi="Arial" w:cs="Arial"/>
          <w:sz w:val="24"/>
          <w:szCs w:val="24"/>
        </w:rPr>
        <w:t>for</w:t>
      </w:r>
      <w:r w:rsidRPr="0003613D">
        <w:rPr>
          <w:rFonts w:ascii="Arial" w:eastAsia="Calibri" w:hAnsi="Arial" w:cs="Arial"/>
          <w:sz w:val="24"/>
          <w:szCs w:val="24"/>
        </w:rPr>
        <w:t xml:space="preserve"> independent living. Sandwell Council therefore </w:t>
      </w:r>
      <w:r w:rsidR="006D0D28" w:rsidRPr="0003613D">
        <w:rPr>
          <w:rFonts w:ascii="Arial" w:eastAsia="Calibri" w:hAnsi="Arial" w:cs="Arial"/>
          <w:sz w:val="24"/>
          <w:szCs w:val="24"/>
        </w:rPr>
        <w:t>provide care experienced young people with:</w:t>
      </w:r>
    </w:p>
    <w:p w14:paraId="1F3B9C01" w14:textId="73035105" w:rsidR="00F4652B" w:rsidRPr="0003613D" w:rsidRDefault="006D0D28" w:rsidP="00F4652B">
      <w:pPr>
        <w:pStyle w:val="ListParagraph"/>
        <w:numPr>
          <w:ilvl w:val="0"/>
          <w:numId w:val="3"/>
        </w:numPr>
        <w:spacing w:line="276" w:lineRule="auto"/>
        <w:rPr>
          <w:rFonts w:ascii="Arial" w:eastAsia="Calibri" w:hAnsi="Arial" w:cs="Arial"/>
          <w:sz w:val="24"/>
          <w:szCs w:val="24"/>
        </w:rPr>
      </w:pPr>
      <w:r w:rsidRPr="0003613D">
        <w:rPr>
          <w:rFonts w:ascii="Arial" w:eastAsia="Calibri" w:hAnsi="Arial" w:cs="Arial"/>
          <w:sz w:val="24"/>
          <w:szCs w:val="24"/>
        </w:rPr>
        <w:t>I</w:t>
      </w:r>
      <w:r w:rsidR="00F4652B" w:rsidRPr="0003613D">
        <w:rPr>
          <w:rFonts w:ascii="Arial" w:eastAsia="Calibri" w:hAnsi="Arial" w:cs="Arial"/>
          <w:sz w:val="24"/>
          <w:szCs w:val="24"/>
        </w:rPr>
        <w:t>ndependent living taster flats. S</w:t>
      </w:r>
      <w:r w:rsidRPr="0003613D">
        <w:rPr>
          <w:rFonts w:ascii="Arial" w:eastAsia="Calibri" w:hAnsi="Arial" w:cs="Arial"/>
          <w:sz w:val="24"/>
          <w:szCs w:val="24"/>
        </w:rPr>
        <w:t>andwell Council</w:t>
      </w:r>
      <w:r w:rsidR="00F4652B" w:rsidRPr="0003613D">
        <w:rPr>
          <w:rFonts w:ascii="Arial" w:eastAsia="Calibri" w:hAnsi="Arial" w:cs="Arial"/>
          <w:sz w:val="24"/>
          <w:szCs w:val="24"/>
        </w:rPr>
        <w:t xml:space="preserve"> have 25 training flats</w:t>
      </w:r>
      <w:r w:rsidRPr="0003613D">
        <w:rPr>
          <w:rFonts w:ascii="Arial" w:eastAsia="Calibri" w:hAnsi="Arial" w:cs="Arial"/>
          <w:sz w:val="24"/>
          <w:szCs w:val="24"/>
        </w:rPr>
        <w:t xml:space="preserve">, that can be lived in for up to 12 months. Living support is provided in these flats. </w:t>
      </w:r>
      <w:r w:rsidR="00F4652B" w:rsidRPr="0003613D">
        <w:rPr>
          <w:rFonts w:ascii="Arial" w:eastAsia="Calibri" w:hAnsi="Arial" w:cs="Arial"/>
          <w:sz w:val="24"/>
          <w:szCs w:val="24"/>
        </w:rPr>
        <w:t xml:space="preserve"> </w:t>
      </w:r>
    </w:p>
    <w:p w14:paraId="4CDC9127" w14:textId="6B56AE0A" w:rsidR="00F4652B" w:rsidRPr="0003613D" w:rsidRDefault="006D0D28" w:rsidP="00F4652B">
      <w:pPr>
        <w:pStyle w:val="ListParagraph"/>
        <w:numPr>
          <w:ilvl w:val="0"/>
          <w:numId w:val="3"/>
        </w:numPr>
        <w:spacing w:line="276" w:lineRule="auto"/>
        <w:rPr>
          <w:rFonts w:ascii="Arial" w:eastAsia="Calibri" w:hAnsi="Arial" w:cs="Arial"/>
          <w:sz w:val="24"/>
          <w:szCs w:val="24"/>
        </w:rPr>
      </w:pPr>
      <w:r w:rsidRPr="0003613D">
        <w:rPr>
          <w:rFonts w:ascii="Arial" w:eastAsia="Calibri" w:hAnsi="Arial" w:cs="Arial"/>
          <w:sz w:val="24"/>
          <w:szCs w:val="24"/>
        </w:rPr>
        <w:t>A</w:t>
      </w:r>
      <w:r w:rsidR="00F4652B" w:rsidRPr="0003613D">
        <w:rPr>
          <w:rFonts w:ascii="Arial" w:eastAsia="Calibri" w:hAnsi="Arial" w:cs="Arial"/>
          <w:sz w:val="24"/>
          <w:szCs w:val="24"/>
        </w:rPr>
        <w:t xml:space="preserve"> </w:t>
      </w:r>
      <w:r w:rsidRPr="0003613D">
        <w:rPr>
          <w:rFonts w:ascii="Arial" w:eastAsia="Calibri" w:hAnsi="Arial" w:cs="Arial"/>
          <w:sz w:val="24"/>
          <w:szCs w:val="24"/>
        </w:rPr>
        <w:t>‘</w:t>
      </w:r>
      <w:r w:rsidR="00F4652B" w:rsidRPr="0003613D">
        <w:rPr>
          <w:rFonts w:ascii="Arial" w:eastAsia="Calibri" w:hAnsi="Arial" w:cs="Arial"/>
          <w:sz w:val="24"/>
          <w:szCs w:val="24"/>
        </w:rPr>
        <w:t>crash pad</w:t>
      </w:r>
      <w:r w:rsidRPr="0003613D">
        <w:rPr>
          <w:rFonts w:ascii="Arial" w:eastAsia="Calibri" w:hAnsi="Arial" w:cs="Arial"/>
          <w:sz w:val="24"/>
          <w:szCs w:val="24"/>
        </w:rPr>
        <w:t>’</w:t>
      </w:r>
      <w:r w:rsidR="00F4652B" w:rsidRPr="0003613D">
        <w:rPr>
          <w:rFonts w:ascii="Arial" w:eastAsia="Calibri" w:hAnsi="Arial" w:cs="Arial"/>
          <w:sz w:val="24"/>
          <w:szCs w:val="24"/>
        </w:rPr>
        <w:t xml:space="preserve"> used for sessions </w:t>
      </w:r>
      <w:r w:rsidRPr="0003613D">
        <w:rPr>
          <w:rFonts w:ascii="Arial" w:eastAsia="Calibri" w:hAnsi="Arial" w:cs="Arial"/>
          <w:sz w:val="24"/>
          <w:szCs w:val="24"/>
        </w:rPr>
        <w:t>to build on</w:t>
      </w:r>
      <w:r w:rsidR="00F4652B" w:rsidRPr="0003613D">
        <w:rPr>
          <w:rFonts w:ascii="Arial" w:eastAsia="Calibri" w:hAnsi="Arial" w:cs="Arial"/>
          <w:sz w:val="24"/>
          <w:szCs w:val="24"/>
        </w:rPr>
        <w:t xml:space="preserve"> independence skills.</w:t>
      </w:r>
    </w:p>
    <w:p w14:paraId="44B96740" w14:textId="00BBA0BD" w:rsidR="00F4652B" w:rsidRPr="0003613D" w:rsidRDefault="006D0D28" w:rsidP="00F4652B">
      <w:pPr>
        <w:pStyle w:val="ListParagraph"/>
        <w:numPr>
          <w:ilvl w:val="0"/>
          <w:numId w:val="3"/>
        </w:numPr>
        <w:rPr>
          <w:rFonts w:ascii="Arial" w:eastAsia="Calibri" w:hAnsi="Arial" w:cs="Arial"/>
          <w:sz w:val="24"/>
          <w:szCs w:val="24"/>
        </w:rPr>
      </w:pPr>
      <w:r w:rsidRPr="0003613D">
        <w:rPr>
          <w:rFonts w:ascii="Arial" w:eastAsia="Calibri" w:hAnsi="Arial" w:cs="Arial"/>
          <w:sz w:val="24"/>
          <w:szCs w:val="24"/>
        </w:rPr>
        <w:t xml:space="preserve">A </w:t>
      </w:r>
      <w:r w:rsidR="00F4652B" w:rsidRPr="0003613D">
        <w:rPr>
          <w:rFonts w:ascii="Arial" w:eastAsia="Calibri" w:hAnsi="Arial" w:cs="Arial"/>
          <w:sz w:val="24"/>
          <w:szCs w:val="24"/>
        </w:rPr>
        <w:t>setting up allowance of £2000.</w:t>
      </w:r>
    </w:p>
    <w:p w14:paraId="17BAD32D" w14:textId="3FB919D2" w:rsidR="00F4652B" w:rsidRPr="0003613D" w:rsidRDefault="006D0D28" w:rsidP="00F4652B">
      <w:pPr>
        <w:pStyle w:val="ListParagraph"/>
        <w:numPr>
          <w:ilvl w:val="0"/>
          <w:numId w:val="3"/>
        </w:numPr>
        <w:spacing w:line="276" w:lineRule="auto"/>
        <w:rPr>
          <w:rFonts w:ascii="Arial" w:eastAsia="Calibri" w:hAnsi="Arial" w:cs="Arial"/>
          <w:sz w:val="24"/>
          <w:szCs w:val="24"/>
        </w:rPr>
      </w:pPr>
      <w:r w:rsidRPr="0003613D">
        <w:rPr>
          <w:rFonts w:ascii="Arial" w:eastAsia="Calibri" w:hAnsi="Arial" w:cs="Arial"/>
          <w:sz w:val="24"/>
          <w:szCs w:val="24"/>
        </w:rPr>
        <w:t>P</w:t>
      </w:r>
      <w:r w:rsidR="00F4652B" w:rsidRPr="0003613D">
        <w:rPr>
          <w:rFonts w:ascii="Arial" w:eastAsia="Calibri" w:hAnsi="Arial" w:cs="Arial"/>
          <w:sz w:val="24"/>
          <w:szCs w:val="24"/>
        </w:rPr>
        <w:t>riority for social housing</w:t>
      </w:r>
      <w:r w:rsidR="00112566" w:rsidRPr="0003613D">
        <w:rPr>
          <w:rFonts w:ascii="Arial" w:eastAsia="Calibri" w:hAnsi="Arial" w:cs="Arial"/>
          <w:sz w:val="24"/>
          <w:szCs w:val="24"/>
        </w:rPr>
        <w:t xml:space="preserve"> in Band 1, up to the age of 25</w:t>
      </w:r>
      <w:r w:rsidR="00F4652B" w:rsidRPr="0003613D">
        <w:rPr>
          <w:rFonts w:ascii="Arial" w:eastAsia="Calibri" w:hAnsi="Arial" w:cs="Arial"/>
          <w:sz w:val="24"/>
          <w:szCs w:val="24"/>
        </w:rPr>
        <w:t xml:space="preserve">. </w:t>
      </w:r>
      <w:r w:rsidR="00C86860" w:rsidRPr="0003613D">
        <w:rPr>
          <w:rFonts w:ascii="Arial" w:eastAsia="Calibri" w:hAnsi="Arial" w:cs="Arial"/>
          <w:sz w:val="24"/>
          <w:szCs w:val="24"/>
        </w:rPr>
        <w:t>Care Experienced y</w:t>
      </w:r>
      <w:r w:rsidR="00F4652B" w:rsidRPr="0003613D">
        <w:rPr>
          <w:rFonts w:ascii="Arial" w:eastAsia="Calibri" w:hAnsi="Arial" w:cs="Arial"/>
          <w:sz w:val="24"/>
          <w:szCs w:val="24"/>
        </w:rPr>
        <w:t xml:space="preserve">oung people can </w:t>
      </w:r>
      <w:r w:rsidRPr="0003613D">
        <w:rPr>
          <w:rFonts w:ascii="Arial" w:eastAsia="Calibri" w:hAnsi="Arial" w:cs="Arial"/>
          <w:sz w:val="24"/>
          <w:szCs w:val="24"/>
        </w:rPr>
        <w:t>join the housing register at</w:t>
      </w:r>
      <w:r w:rsidR="00F4652B" w:rsidRPr="0003613D">
        <w:rPr>
          <w:rFonts w:ascii="Arial" w:eastAsia="Calibri" w:hAnsi="Arial" w:cs="Arial"/>
          <w:sz w:val="24"/>
          <w:szCs w:val="24"/>
        </w:rPr>
        <w:t xml:space="preserve"> 16</w:t>
      </w:r>
      <w:r w:rsidRPr="0003613D">
        <w:rPr>
          <w:rFonts w:ascii="Arial" w:eastAsia="Calibri" w:hAnsi="Arial" w:cs="Arial"/>
          <w:sz w:val="24"/>
          <w:szCs w:val="24"/>
        </w:rPr>
        <w:t xml:space="preserve">. </w:t>
      </w:r>
    </w:p>
    <w:p w14:paraId="583B0691" w14:textId="3B20634F" w:rsidR="00305D7C" w:rsidRPr="0003613D" w:rsidRDefault="00621A38" w:rsidP="00C86860">
      <w:pPr>
        <w:spacing w:line="276" w:lineRule="auto"/>
        <w:rPr>
          <w:rFonts w:ascii="Arial" w:eastAsia="Calibri" w:hAnsi="Arial" w:cs="Arial"/>
          <w:sz w:val="24"/>
          <w:szCs w:val="24"/>
        </w:rPr>
      </w:pPr>
      <w:r w:rsidRPr="0003613D">
        <w:rPr>
          <w:rFonts w:ascii="Arial" w:eastAsia="Calibri" w:hAnsi="Arial" w:cs="Arial"/>
          <w:sz w:val="24"/>
          <w:szCs w:val="24"/>
        </w:rPr>
        <w:t xml:space="preserve">To better support and equip our care experienced young people, Sandwell Council could also act as a guarantor or provide a deposit for a privately rented property. </w:t>
      </w:r>
    </w:p>
    <w:p w14:paraId="096F2D50" w14:textId="543A920B" w:rsidR="00D3135D" w:rsidRPr="0003613D" w:rsidRDefault="00803223">
      <w:pPr>
        <w:rPr>
          <w:rFonts w:ascii="Arial" w:hAnsi="Arial" w:cs="Arial"/>
          <w:b/>
          <w:sz w:val="24"/>
          <w:szCs w:val="24"/>
        </w:rPr>
      </w:pPr>
      <w:r w:rsidRPr="0003613D">
        <w:rPr>
          <w:rFonts w:ascii="Arial" w:hAnsi="Arial" w:cs="Arial"/>
          <w:b/>
          <w:sz w:val="24"/>
          <w:szCs w:val="24"/>
        </w:rPr>
        <w:lastRenderedPageBreak/>
        <w:t xml:space="preserve">Housing needs for </w:t>
      </w:r>
      <w:r w:rsidR="00264675" w:rsidRPr="0003613D">
        <w:rPr>
          <w:rFonts w:ascii="Arial" w:hAnsi="Arial" w:cs="Arial"/>
          <w:b/>
          <w:sz w:val="24"/>
          <w:szCs w:val="24"/>
        </w:rPr>
        <w:t>Ethnicity Groups</w:t>
      </w:r>
    </w:p>
    <w:p w14:paraId="29C718AA" w14:textId="7B7BC1E5" w:rsidR="005F1285" w:rsidRPr="0003613D" w:rsidRDefault="005F1285">
      <w:pPr>
        <w:rPr>
          <w:rFonts w:ascii="Arial" w:hAnsi="Arial" w:cs="Arial"/>
          <w:bCs/>
          <w:sz w:val="24"/>
          <w:szCs w:val="24"/>
        </w:rPr>
      </w:pPr>
      <w:r w:rsidRPr="0003613D">
        <w:rPr>
          <w:rFonts w:ascii="Arial" w:hAnsi="Arial" w:cs="Arial"/>
          <w:bCs/>
          <w:sz w:val="24"/>
          <w:szCs w:val="24"/>
        </w:rPr>
        <w:t xml:space="preserve">The table below delineates the number of social housing applications by ethnicity. </w:t>
      </w:r>
    </w:p>
    <w:tbl>
      <w:tblPr>
        <w:tblStyle w:val="TableGrid1"/>
        <w:tblW w:w="0" w:type="auto"/>
        <w:jc w:val="center"/>
        <w:tblLook w:val="04A0" w:firstRow="1" w:lastRow="0" w:firstColumn="1" w:lastColumn="0" w:noHBand="0" w:noVBand="1"/>
      </w:tblPr>
      <w:tblGrid>
        <w:gridCol w:w="4659"/>
        <w:gridCol w:w="951"/>
      </w:tblGrid>
      <w:tr w:rsidR="00013C63" w:rsidRPr="00013C63" w14:paraId="2CAF4BA1" w14:textId="77777777" w:rsidTr="00013C63">
        <w:trPr>
          <w:jc w:val="center"/>
        </w:trPr>
        <w:tc>
          <w:tcPr>
            <w:tcW w:w="0" w:type="auto"/>
            <w:hideMark/>
          </w:tcPr>
          <w:p w14:paraId="3B741A45" w14:textId="77777777" w:rsidR="00013C63" w:rsidRPr="00013C63" w:rsidRDefault="00013C63" w:rsidP="00013C63">
            <w:pPr>
              <w:spacing w:after="160" w:line="259" w:lineRule="auto"/>
              <w:rPr>
                <w:rFonts w:ascii="Arial" w:hAnsi="Arial" w:cs="Arial"/>
                <w:b/>
                <w:bCs/>
              </w:rPr>
            </w:pPr>
            <w:r w:rsidRPr="00013C63">
              <w:rPr>
                <w:rFonts w:ascii="Arial" w:hAnsi="Arial" w:cs="Arial"/>
                <w:b/>
                <w:bCs/>
              </w:rPr>
              <w:t>Ethnicity</w:t>
            </w:r>
          </w:p>
        </w:tc>
        <w:tc>
          <w:tcPr>
            <w:tcW w:w="0" w:type="auto"/>
            <w:hideMark/>
          </w:tcPr>
          <w:p w14:paraId="702092DE" w14:textId="0D7DDE67" w:rsidR="00013C63" w:rsidRPr="00013C63" w:rsidRDefault="00013C63" w:rsidP="00013C63">
            <w:pPr>
              <w:spacing w:after="160" w:line="259" w:lineRule="auto"/>
              <w:rPr>
                <w:rFonts w:ascii="Arial" w:hAnsi="Arial" w:cs="Arial"/>
                <w:b/>
                <w:bCs/>
              </w:rPr>
            </w:pPr>
            <w:r w:rsidRPr="00013C63">
              <w:rPr>
                <w:rFonts w:ascii="Arial" w:hAnsi="Arial" w:cs="Arial"/>
                <w:b/>
                <w:bCs/>
              </w:rPr>
              <w:t>Total</w:t>
            </w:r>
          </w:p>
        </w:tc>
      </w:tr>
      <w:tr w:rsidR="00013C63" w:rsidRPr="00013C63" w14:paraId="53109D23" w14:textId="77777777" w:rsidTr="00013C63">
        <w:trPr>
          <w:jc w:val="center"/>
        </w:trPr>
        <w:tc>
          <w:tcPr>
            <w:tcW w:w="0" w:type="auto"/>
            <w:hideMark/>
          </w:tcPr>
          <w:p w14:paraId="5BF5386D" w14:textId="77777777" w:rsidR="00013C63" w:rsidRPr="00013C63" w:rsidRDefault="00013C63" w:rsidP="00013C63">
            <w:pPr>
              <w:spacing w:after="160" w:line="259" w:lineRule="auto"/>
              <w:rPr>
                <w:rFonts w:ascii="Arial" w:hAnsi="Arial" w:cs="Arial"/>
              </w:rPr>
            </w:pPr>
            <w:r w:rsidRPr="00013C63">
              <w:rPr>
                <w:rFonts w:ascii="Arial" w:hAnsi="Arial" w:cs="Arial"/>
              </w:rPr>
              <w:t>Asian or Asian British Bangladeshi</w:t>
            </w:r>
          </w:p>
        </w:tc>
        <w:tc>
          <w:tcPr>
            <w:tcW w:w="0" w:type="auto"/>
            <w:hideMark/>
          </w:tcPr>
          <w:p w14:paraId="69829EBD" w14:textId="77777777" w:rsidR="00013C63" w:rsidRPr="00013C63" w:rsidRDefault="00013C63" w:rsidP="00013C63">
            <w:pPr>
              <w:spacing w:after="160" w:line="259" w:lineRule="auto"/>
              <w:rPr>
                <w:rFonts w:ascii="Arial" w:hAnsi="Arial" w:cs="Arial"/>
              </w:rPr>
            </w:pPr>
            <w:r w:rsidRPr="00013C63">
              <w:rPr>
                <w:rFonts w:ascii="Arial" w:hAnsi="Arial" w:cs="Arial"/>
              </w:rPr>
              <w:t>806</w:t>
            </w:r>
          </w:p>
        </w:tc>
      </w:tr>
      <w:tr w:rsidR="00013C63" w:rsidRPr="00013C63" w14:paraId="7BC894E4" w14:textId="77777777" w:rsidTr="00013C63">
        <w:trPr>
          <w:jc w:val="center"/>
        </w:trPr>
        <w:tc>
          <w:tcPr>
            <w:tcW w:w="0" w:type="auto"/>
            <w:hideMark/>
          </w:tcPr>
          <w:p w14:paraId="3F6937CF" w14:textId="77777777" w:rsidR="00013C63" w:rsidRPr="00013C63" w:rsidRDefault="00013C63" w:rsidP="00013C63">
            <w:pPr>
              <w:spacing w:after="160" w:line="259" w:lineRule="auto"/>
              <w:rPr>
                <w:rFonts w:ascii="Arial" w:hAnsi="Arial" w:cs="Arial"/>
              </w:rPr>
            </w:pPr>
            <w:r w:rsidRPr="00013C63">
              <w:rPr>
                <w:rFonts w:ascii="Arial" w:hAnsi="Arial" w:cs="Arial"/>
              </w:rPr>
              <w:t>Asian or Asian British Indian</w:t>
            </w:r>
          </w:p>
        </w:tc>
        <w:tc>
          <w:tcPr>
            <w:tcW w:w="0" w:type="auto"/>
            <w:hideMark/>
          </w:tcPr>
          <w:p w14:paraId="428ECFD9" w14:textId="77777777" w:rsidR="00013C63" w:rsidRPr="00013C63" w:rsidRDefault="00013C63" w:rsidP="00013C63">
            <w:pPr>
              <w:spacing w:after="160" w:line="259" w:lineRule="auto"/>
              <w:rPr>
                <w:rFonts w:ascii="Arial" w:hAnsi="Arial" w:cs="Arial"/>
              </w:rPr>
            </w:pPr>
            <w:r w:rsidRPr="00013C63">
              <w:rPr>
                <w:rFonts w:ascii="Arial" w:hAnsi="Arial" w:cs="Arial"/>
              </w:rPr>
              <w:t>1,194</w:t>
            </w:r>
          </w:p>
        </w:tc>
      </w:tr>
      <w:tr w:rsidR="00013C63" w:rsidRPr="00013C63" w14:paraId="217ECC8D" w14:textId="77777777" w:rsidTr="00013C63">
        <w:trPr>
          <w:jc w:val="center"/>
        </w:trPr>
        <w:tc>
          <w:tcPr>
            <w:tcW w:w="0" w:type="auto"/>
            <w:hideMark/>
          </w:tcPr>
          <w:p w14:paraId="5904DF98" w14:textId="77777777" w:rsidR="00013C63" w:rsidRPr="00013C63" w:rsidRDefault="00013C63" w:rsidP="00013C63">
            <w:pPr>
              <w:spacing w:after="160" w:line="259" w:lineRule="auto"/>
              <w:rPr>
                <w:rFonts w:ascii="Arial" w:hAnsi="Arial" w:cs="Arial"/>
              </w:rPr>
            </w:pPr>
            <w:r w:rsidRPr="00013C63">
              <w:rPr>
                <w:rFonts w:ascii="Arial" w:hAnsi="Arial" w:cs="Arial"/>
              </w:rPr>
              <w:t>Asian or Asian British Other</w:t>
            </w:r>
          </w:p>
        </w:tc>
        <w:tc>
          <w:tcPr>
            <w:tcW w:w="0" w:type="auto"/>
            <w:hideMark/>
          </w:tcPr>
          <w:p w14:paraId="2B02B24C" w14:textId="77777777" w:rsidR="00013C63" w:rsidRPr="00013C63" w:rsidRDefault="00013C63" w:rsidP="00013C63">
            <w:pPr>
              <w:spacing w:after="160" w:line="259" w:lineRule="auto"/>
              <w:rPr>
                <w:rFonts w:ascii="Arial" w:hAnsi="Arial" w:cs="Arial"/>
              </w:rPr>
            </w:pPr>
            <w:r w:rsidRPr="00013C63">
              <w:rPr>
                <w:rFonts w:ascii="Arial" w:hAnsi="Arial" w:cs="Arial"/>
              </w:rPr>
              <w:t>183</w:t>
            </w:r>
          </w:p>
        </w:tc>
      </w:tr>
      <w:tr w:rsidR="00013C63" w:rsidRPr="00013C63" w14:paraId="2A3E200E" w14:textId="77777777" w:rsidTr="00013C63">
        <w:trPr>
          <w:jc w:val="center"/>
        </w:trPr>
        <w:tc>
          <w:tcPr>
            <w:tcW w:w="0" w:type="auto"/>
            <w:hideMark/>
          </w:tcPr>
          <w:p w14:paraId="187A06E1" w14:textId="77777777" w:rsidR="00013C63" w:rsidRPr="00013C63" w:rsidRDefault="00013C63" w:rsidP="00013C63">
            <w:pPr>
              <w:spacing w:after="160" w:line="259" w:lineRule="auto"/>
              <w:rPr>
                <w:rFonts w:ascii="Arial" w:hAnsi="Arial" w:cs="Arial"/>
              </w:rPr>
            </w:pPr>
            <w:r w:rsidRPr="00013C63">
              <w:rPr>
                <w:rFonts w:ascii="Arial" w:hAnsi="Arial" w:cs="Arial"/>
              </w:rPr>
              <w:t>Asian or Asian British Pakistani</w:t>
            </w:r>
          </w:p>
        </w:tc>
        <w:tc>
          <w:tcPr>
            <w:tcW w:w="0" w:type="auto"/>
            <w:hideMark/>
          </w:tcPr>
          <w:p w14:paraId="1C66AE6C" w14:textId="77777777" w:rsidR="00013C63" w:rsidRPr="00013C63" w:rsidRDefault="00013C63" w:rsidP="00013C63">
            <w:pPr>
              <w:spacing w:after="160" w:line="259" w:lineRule="auto"/>
              <w:rPr>
                <w:rFonts w:ascii="Arial" w:hAnsi="Arial" w:cs="Arial"/>
              </w:rPr>
            </w:pPr>
            <w:r w:rsidRPr="00013C63">
              <w:rPr>
                <w:rFonts w:ascii="Arial" w:hAnsi="Arial" w:cs="Arial"/>
              </w:rPr>
              <w:t>233</w:t>
            </w:r>
          </w:p>
        </w:tc>
      </w:tr>
      <w:tr w:rsidR="00013C63" w:rsidRPr="00013C63" w14:paraId="55EA9B06" w14:textId="77777777" w:rsidTr="00013C63">
        <w:trPr>
          <w:jc w:val="center"/>
        </w:trPr>
        <w:tc>
          <w:tcPr>
            <w:tcW w:w="0" w:type="auto"/>
            <w:hideMark/>
          </w:tcPr>
          <w:p w14:paraId="2C60831E" w14:textId="77777777" w:rsidR="00013C63" w:rsidRPr="00013C63" w:rsidRDefault="00013C63" w:rsidP="00013C63">
            <w:pPr>
              <w:spacing w:after="160" w:line="259" w:lineRule="auto"/>
              <w:rPr>
                <w:rFonts w:ascii="Arial" w:hAnsi="Arial" w:cs="Arial"/>
              </w:rPr>
            </w:pPr>
            <w:r w:rsidRPr="00013C63">
              <w:rPr>
                <w:rFonts w:ascii="Arial" w:hAnsi="Arial" w:cs="Arial"/>
              </w:rPr>
              <w:t>Black or Black British African</w:t>
            </w:r>
          </w:p>
        </w:tc>
        <w:tc>
          <w:tcPr>
            <w:tcW w:w="0" w:type="auto"/>
            <w:hideMark/>
          </w:tcPr>
          <w:p w14:paraId="0D92DB10" w14:textId="77777777" w:rsidR="00013C63" w:rsidRPr="00013C63" w:rsidRDefault="00013C63" w:rsidP="00013C63">
            <w:pPr>
              <w:spacing w:after="160" w:line="259" w:lineRule="auto"/>
              <w:rPr>
                <w:rFonts w:ascii="Arial" w:hAnsi="Arial" w:cs="Arial"/>
              </w:rPr>
            </w:pPr>
            <w:r w:rsidRPr="00013C63">
              <w:rPr>
                <w:rFonts w:ascii="Arial" w:hAnsi="Arial" w:cs="Arial"/>
              </w:rPr>
              <w:t>1,689</w:t>
            </w:r>
          </w:p>
        </w:tc>
      </w:tr>
      <w:tr w:rsidR="00013C63" w:rsidRPr="00013C63" w14:paraId="3C76E128" w14:textId="77777777" w:rsidTr="00013C63">
        <w:trPr>
          <w:jc w:val="center"/>
        </w:trPr>
        <w:tc>
          <w:tcPr>
            <w:tcW w:w="0" w:type="auto"/>
            <w:hideMark/>
          </w:tcPr>
          <w:p w14:paraId="244A2773" w14:textId="77777777" w:rsidR="00013C63" w:rsidRPr="00013C63" w:rsidRDefault="00013C63" w:rsidP="00013C63">
            <w:pPr>
              <w:spacing w:after="160" w:line="259" w:lineRule="auto"/>
              <w:rPr>
                <w:rFonts w:ascii="Arial" w:hAnsi="Arial" w:cs="Arial"/>
              </w:rPr>
            </w:pPr>
            <w:r w:rsidRPr="00013C63">
              <w:rPr>
                <w:rFonts w:ascii="Arial" w:hAnsi="Arial" w:cs="Arial"/>
              </w:rPr>
              <w:t>Black or Black British Caribbean</w:t>
            </w:r>
          </w:p>
        </w:tc>
        <w:tc>
          <w:tcPr>
            <w:tcW w:w="0" w:type="auto"/>
            <w:hideMark/>
          </w:tcPr>
          <w:p w14:paraId="4BD81A54" w14:textId="77777777" w:rsidR="00013C63" w:rsidRPr="00013C63" w:rsidRDefault="00013C63" w:rsidP="00013C63">
            <w:pPr>
              <w:spacing w:after="160" w:line="259" w:lineRule="auto"/>
              <w:rPr>
                <w:rFonts w:ascii="Arial" w:hAnsi="Arial" w:cs="Arial"/>
              </w:rPr>
            </w:pPr>
            <w:r w:rsidRPr="00013C63">
              <w:rPr>
                <w:rFonts w:ascii="Arial" w:hAnsi="Arial" w:cs="Arial"/>
              </w:rPr>
              <w:t>1,721</w:t>
            </w:r>
          </w:p>
        </w:tc>
      </w:tr>
      <w:tr w:rsidR="00013C63" w:rsidRPr="00013C63" w14:paraId="0592BC23" w14:textId="77777777" w:rsidTr="00013C63">
        <w:trPr>
          <w:jc w:val="center"/>
        </w:trPr>
        <w:tc>
          <w:tcPr>
            <w:tcW w:w="0" w:type="auto"/>
            <w:hideMark/>
          </w:tcPr>
          <w:p w14:paraId="37A890CD" w14:textId="77777777" w:rsidR="00013C63" w:rsidRPr="00013C63" w:rsidRDefault="00013C63" w:rsidP="00013C63">
            <w:pPr>
              <w:spacing w:after="160" w:line="259" w:lineRule="auto"/>
              <w:rPr>
                <w:rFonts w:ascii="Arial" w:hAnsi="Arial" w:cs="Arial"/>
              </w:rPr>
            </w:pPr>
            <w:r w:rsidRPr="00013C63">
              <w:rPr>
                <w:rFonts w:ascii="Arial" w:hAnsi="Arial" w:cs="Arial"/>
              </w:rPr>
              <w:t>Black or Black British Other</w:t>
            </w:r>
          </w:p>
        </w:tc>
        <w:tc>
          <w:tcPr>
            <w:tcW w:w="0" w:type="auto"/>
            <w:hideMark/>
          </w:tcPr>
          <w:p w14:paraId="58C7D712" w14:textId="77777777" w:rsidR="00013C63" w:rsidRPr="00013C63" w:rsidRDefault="00013C63" w:rsidP="00013C63">
            <w:pPr>
              <w:spacing w:after="160" w:line="259" w:lineRule="auto"/>
              <w:rPr>
                <w:rFonts w:ascii="Arial" w:hAnsi="Arial" w:cs="Arial"/>
              </w:rPr>
            </w:pPr>
            <w:r w:rsidRPr="00013C63">
              <w:rPr>
                <w:rFonts w:ascii="Arial" w:hAnsi="Arial" w:cs="Arial"/>
              </w:rPr>
              <w:t>33</w:t>
            </w:r>
          </w:p>
        </w:tc>
      </w:tr>
      <w:tr w:rsidR="00013C63" w:rsidRPr="00013C63" w14:paraId="175410AA" w14:textId="77777777" w:rsidTr="00013C63">
        <w:trPr>
          <w:jc w:val="center"/>
        </w:trPr>
        <w:tc>
          <w:tcPr>
            <w:tcW w:w="0" w:type="auto"/>
            <w:hideMark/>
          </w:tcPr>
          <w:p w14:paraId="69484216" w14:textId="77777777" w:rsidR="00013C63" w:rsidRPr="00013C63" w:rsidRDefault="00013C63" w:rsidP="00013C63">
            <w:pPr>
              <w:spacing w:after="160" w:line="259" w:lineRule="auto"/>
              <w:rPr>
                <w:rFonts w:ascii="Arial" w:hAnsi="Arial" w:cs="Arial"/>
              </w:rPr>
            </w:pPr>
            <w:r w:rsidRPr="00013C63">
              <w:rPr>
                <w:rFonts w:ascii="Arial" w:hAnsi="Arial" w:cs="Arial"/>
              </w:rPr>
              <w:t>Chinese or Other Ethnic Group – Chinese</w:t>
            </w:r>
          </w:p>
        </w:tc>
        <w:tc>
          <w:tcPr>
            <w:tcW w:w="0" w:type="auto"/>
            <w:hideMark/>
          </w:tcPr>
          <w:p w14:paraId="141C28C0" w14:textId="77777777" w:rsidR="00013C63" w:rsidRPr="00013C63" w:rsidRDefault="00013C63" w:rsidP="00013C63">
            <w:pPr>
              <w:spacing w:after="160" w:line="259" w:lineRule="auto"/>
              <w:rPr>
                <w:rFonts w:ascii="Arial" w:hAnsi="Arial" w:cs="Arial"/>
              </w:rPr>
            </w:pPr>
            <w:r w:rsidRPr="00013C63">
              <w:rPr>
                <w:rFonts w:ascii="Arial" w:hAnsi="Arial" w:cs="Arial"/>
              </w:rPr>
              <w:t>17</w:t>
            </w:r>
          </w:p>
        </w:tc>
      </w:tr>
      <w:tr w:rsidR="00013C63" w:rsidRPr="00013C63" w14:paraId="4DFD1B81" w14:textId="77777777" w:rsidTr="00013C63">
        <w:trPr>
          <w:jc w:val="center"/>
        </w:trPr>
        <w:tc>
          <w:tcPr>
            <w:tcW w:w="0" w:type="auto"/>
            <w:hideMark/>
          </w:tcPr>
          <w:p w14:paraId="0F10051B" w14:textId="77777777" w:rsidR="00013C63" w:rsidRPr="00013C63" w:rsidRDefault="00013C63" w:rsidP="00013C63">
            <w:pPr>
              <w:spacing w:after="160" w:line="259" w:lineRule="auto"/>
              <w:rPr>
                <w:rFonts w:ascii="Arial" w:hAnsi="Arial" w:cs="Arial"/>
              </w:rPr>
            </w:pPr>
            <w:r w:rsidRPr="00013C63">
              <w:rPr>
                <w:rFonts w:ascii="Arial" w:hAnsi="Arial" w:cs="Arial"/>
              </w:rPr>
              <w:t>Chinese or Other Ethnic Group – Other</w:t>
            </w:r>
          </w:p>
        </w:tc>
        <w:tc>
          <w:tcPr>
            <w:tcW w:w="0" w:type="auto"/>
            <w:hideMark/>
          </w:tcPr>
          <w:p w14:paraId="74A08AE3" w14:textId="77777777" w:rsidR="00013C63" w:rsidRPr="00013C63" w:rsidRDefault="00013C63" w:rsidP="00013C63">
            <w:pPr>
              <w:spacing w:after="160" w:line="259" w:lineRule="auto"/>
              <w:rPr>
                <w:rFonts w:ascii="Arial" w:hAnsi="Arial" w:cs="Arial"/>
              </w:rPr>
            </w:pPr>
            <w:r w:rsidRPr="00013C63">
              <w:rPr>
                <w:rFonts w:ascii="Arial" w:hAnsi="Arial" w:cs="Arial"/>
              </w:rPr>
              <w:t>3</w:t>
            </w:r>
          </w:p>
        </w:tc>
      </w:tr>
      <w:tr w:rsidR="00013C63" w:rsidRPr="00013C63" w14:paraId="7667BA82" w14:textId="77777777" w:rsidTr="00013C63">
        <w:trPr>
          <w:jc w:val="center"/>
        </w:trPr>
        <w:tc>
          <w:tcPr>
            <w:tcW w:w="0" w:type="auto"/>
            <w:hideMark/>
          </w:tcPr>
          <w:p w14:paraId="0214F337" w14:textId="77777777" w:rsidR="00013C63" w:rsidRPr="00013C63" w:rsidRDefault="00013C63" w:rsidP="00013C63">
            <w:pPr>
              <w:spacing w:after="160" w:line="259" w:lineRule="auto"/>
              <w:rPr>
                <w:rFonts w:ascii="Arial" w:hAnsi="Arial" w:cs="Arial"/>
              </w:rPr>
            </w:pPr>
            <w:r w:rsidRPr="00013C63">
              <w:rPr>
                <w:rFonts w:ascii="Arial" w:hAnsi="Arial" w:cs="Arial"/>
              </w:rPr>
              <w:t>Gypsy</w:t>
            </w:r>
          </w:p>
        </w:tc>
        <w:tc>
          <w:tcPr>
            <w:tcW w:w="0" w:type="auto"/>
            <w:hideMark/>
          </w:tcPr>
          <w:p w14:paraId="78C3462A" w14:textId="77777777" w:rsidR="00013C63" w:rsidRPr="00013C63" w:rsidRDefault="00013C63" w:rsidP="00013C63">
            <w:pPr>
              <w:spacing w:after="160" w:line="259" w:lineRule="auto"/>
              <w:rPr>
                <w:rFonts w:ascii="Arial" w:hAnsi="Arial" w:cs="Arial"/>
              </w:rPr>
            </w:pPr>
            <w:r w:rsidRPr="00013C63">
              <w:rPr>
                <w:rFonts w:ascii="Arial" w:hAnsi="Arial" w:cs="Arial"/>
              </w:rPr>
              <w:t>36</w:t>
            </w:r>
          </w:p>
        </w:tc>
      </w:tr>
      <w:tr w:rsidR="00013C63" w:rsidRPr="00013C63" w14:paraId="7FFA4A0B" w14:textId="77777777" w:rsidTr="00013C63">
        <w:trPr>
          <w:jc w:val="center"/>
        </w:trPr>
        <w:tc>
          <w:tcPr>
            <w:tcW w:w="0" w:type="auto"/>
            <w:hideMark/>
          </w:tcPr>
          <w:p w14:paraId="046B0ABC" w14:textId="77777777" w:rsidR="00013C63" w:rsidRPr="00013C63" w:rsidRDefault="00013C63" w:rsidP="00013C63">
            <w:pPr>
              <w:spacing w:after="160" w:line="259" w:lineRule="auto"/>
              <w:rPr>
                <w:rFonts w:ascii="Arial" w:hAnsi="Arial" w:cs="Arial"/>
              </w:rPr>
            </w:pPr>
            <w:r w:rsidRPr="00013C63">
              <w:rPr>
                <w:rFonts w:ascii="Arial" w:hAnsi="Arial" w:cs="Arial"/>
              </w:rPr>
              <w:t>Mixed Other</w:t>
            </w:r>
          </w:p>
        </w:tc>
        <w:tc>
          <w:tcPr>
            <w:tcW w:w="0" w:type="auto"/>
            <w:hideMark/>
          </w:tcPr>
          <w:p w14:paraId="19878B5E" w14:textId="77777777" w:rsidR="00013C63" w:rsidRPr="00013C63" w:rsidRDefault="00013C63" w:rsidP="00013C63">
            <w:pPr>
              <w:spacing w:after="160" w:line="259" w:lineRule="auto"/>
              <w:rPr>
                <w:rFonts w:ascii="Arial" w:hAnsi="Arial" w:cs="Arial"/>
              </w:rPr>
            </w:pPr>
            <w:r w:rsidRPr="00013C63">
              <w:rPr>
                <w:rFonts w:ascii="Arial" w:hAnsi="Arial" w:cs="Arial"/>
              </w:rPr>
              <w:t>76</w:t>
            </w:r>
          </w:p>
        </w:tc>
      </w:tr>
      <w:tr w:rsidR="00013C63" w:rsidRPr="00013C63" w14:paraId="795A7A72" w14:textId="77777777" w:rsidTr="00013C63">
        <w:trPr>
          <w:jc w:val="center"/>
        </w:trPr>
        <w:tc>
          <w:tcPr>
            <w:tcW w:w="0" w:type="auto"/>
            <w:hideMark/>
          </w:tcPr>
          <w:p w14:paraId="3FF79157" w14:textId="77777777" w:rsidR="00013C63" w:rsidRPr="00013C63" w:rsidRDefault="00013C63" w:rsidP="00013C63">
            <w:pPr>
              <w:spacing w:after="160" w:line="259" w:lineRule="auto"/>
              <w:rPr>
                <w:rFonts w:ascii="Arial" w:hAnsi="Arial" w:cs="Arial"/>
              </w:rPr>
            </w:pPr>
            <w:r w:rsidRPr="00013C63">
              <w:rPr>
                <w:rFonts w:ascii="Arial" w:hAnsi="Arial" w:cs="Arial"/>
              </w:rPr>
              <w:t>Mixed White and Asian</w:t>
            </w:r>
          </w:p>
        </w:tc>
        <w:tc>
          <w:tcPr>
            <w:tcW w:w="0" w:type="auto"/>
            <w:hideMark/>
          </w:tcPr>
          <w:p w14:paraId="178F8E80" w14:textId="77777777" w:rsidR="00013C63" w:rsidRPr="00013C63" w:rsidRDefault="00013C63" w:rsidP="00013C63">
            <w:pPr>
              <w:spacing w:after="160" w:line="259" w:lineRule="auto"/>
              <w:rPr>
                <w:rFonts w:ascii="Arial" w:hAnsi="Arial" w:cs="Arial"/>
              </w:rPr>
            </w:pPr>
            <w:r w:rsidRPr="00013C63">
              <w:rPr>
                <w:rFonts w:ascii="Arial" w:hAnsi="Arial" w:cs="Arial"/>
              </w:rPr>
              <w:t>521</w:t>
            </w:r>
          </w:p>
        </w:tc>
      </w:tr>
      <w:tr w:rsidR="00013C63" w:rsidRPr="00013C63" w14:paraId="6A941A0B" w14:textId="77777777" w:rsidTr="00013C63">
        <w:trPr>
          <w:jc w:val="center"/>
        </w:trPr>
        <w:tc>
          <w:tcPr>
            <w:tcW w:w="0" w:type="auto"/>
            <w:hideMark/>
          </w:tcPr>
          <w:p w14:paraId="1F185F3A" w14:textId="77777777" w:rsidR="00013C63" w:rsidRPr="00013C63" w:rsidRDefault="00013C63" w:rsidP="00013C63">
            <w:pPr>
              <w:spacing w:after="160" w:line="259" w:lineRule="auto"/>
              <w:rPr>
                <w:rFonts w:ascii="Arial" w:hAnsi="Arial" w:cs="Arial"/>
              </w:rPr>
            </w:pPr>
            <w:r w:rsidRPr="00013C63">
              <w:rPr>
                <w:rFonts w:ascii="Arial" w:hAnsi="Arial" w:cs="Arial"/>
              </w:rPr>
              <w:t>Mixed White and Black African</w:t>
            </w:r>
          </w:p>
        </w:tc>
        <w:tc>
          <w:tcPr>
            <w:tcW w:w="0" w:type="auto"/>
            <w:hideMark/>
          </w:tcPr>
          <w:p w14:paraId="0509F8A2" w14:textId="77777777" w:rsidR="00013C63" w:rsidRPr="00013C63" w:rsidRDefault="00013C63" w:rsidP="00013C63">
            <w:pPr>
              <w:spacing w:after="160" w:line="259" w:lineRule="auto"/>
              <w:rPr>
                <w:rFonts w:ascii="Arial" w:hAnsi="Arial" w:cs="Arial"/>
              </w:rPr>
            </w:pPr>
            <w:r w:rsidRPr="00013C63">
              <w:rPr>
                <w:rFonts w:ascii="Arial" w:hAnsi="Arial" w:cs="Arial"/>
              </w:rPr>
              <w:t>125</w:t>
            </w:r>
          </w:p>
        </w:tc>
      </w:tr>
      <w:tr w:rsidR="00013C63" w:rsidRPr="00013C63" w14:paraId="78537C1F" w14:textId="77777777" w:rsidTr="00013C63">
        <w:trPr>
          <w:jc w:val="center"/>
        </w:trPr>
        <w:tc>
          <w:tcPr>
            <w:tcW w:w="0" w:type="auto"/>
            <w:hideMark/>
          </w:tcPr>
          <w:p w14:paraId="4EB804DE" w14:textId="77777777" w:rsidR="00013C63" w:rsidRPr="00013C63" w:rsidRDefault="00013C63" w:rsidP="00013C63">
            <w:pPr>
              <w:spacing w:after="160" w:line="259" w:lineRule="auto"/>
              <w:rPr>
                <w:rFonts w:ascii="Arial" w:hAnsi="Arial" w:cs="Arial"/>
              </w:rPr>
            </w:pPr>
            <w:r w:rsidRPr="00013C63">
              <w:rPr>
                <w:rFonts w:ascii="Arial" w:hAnsi="Arial" w:cs="Arial"/>
              </w:rPr>
              <w:t>Mixed White and Black Caribbean</w:t>
            </w:r>
          </w:p>
        </w:tc>
        <w:tc>
          <w:tcPr>
            <w:tcW w:w="0" w:type="auto"/>
            <w:hideMark/>
          </w:tcPr>
          <w:p w14:paraId="049F8F92" w14:textId="77777777" w:rsidR="00013C63" w:rsidRPr="00013C63" w:rsidRDefault="00013C63" w:rsidP="00013C63">
            <w:pPr>
              <w:spacing w:after="160" w:line="259" w:lineRule="auto"/>
              <w:rPr>
                <w:rFonts w:ascii="Arial" w:hAnsi="Arial" w:cs="Arial"/>
              </w:rPr>
            </w:pPr>
            <w:r w:rsidRPr="00013C63">
              <w:rPr>
                <w:rFonts w:ascii="Arial" w:hAnsi="Arial" w:cs="Arial"/>
              </w:rPr>
              <w:t>874</w:t>
            </w:r>
          </w:p>
        </w:tc>
      </w:tr>
      <w:tr w:rsidR="00013C63" w:rsidRPr="00013C63" w14:paraId="5E302219" w14:textId="77777777" w:rsidTr="00013C63">
        <w:trPr>
          <w:jc w:val="center"/>
        </w:trPr>
        <w:tc>
          <w:tcPr>
            <w:tcW w:w="0" w:type="auto"/>
            <w:hideMark/>
          </w:tcPr>
          <w:p w14:paraId="35CDB849" w14:textId="77777777" w:rsidR="00013C63" w:rsidRPr="00013C63" w:rsidRDefault="00013C63" w:rsidP="00013C63">
            <w:pPr>
              <w:spacing w:after="160" w:line="259" w:lineRule="auto"/>
              <w:rPr>
                <w:rFonts w:ascii="Arial" w:hAnsi="Arial" w:cs="Arial"/>
              </w:rPr>
            </w:pPr>
            <w:r w:rsidRPr="00013C63">
              <w:rPr>
                <w:rFonts w:ascii="Arial" w:hAnsi="Arial" w:cs="Arial"/>
              </w:rPr>
              <w:t>White British</w:t>
            </w:r>
          </w:p>
        </w:tc>
        <w:tc>
          <w:tcPr>
            <w:tcW w:w="0" w:type="auto"/>
            <w:hideMark/>
          </w:tcPr>
          <w:p w14:paraId="30238849" w14:textId="77777777" w:rsidR="00013C63" w:rsidRPr="00013C63" w:rsidRDefault="00013C63" w:rsidP="00013C63">
            <w:pPr>
              <w:spacing w:after="160" w:line="259" w:lineRule="auto"/>
              <w:rPr>
                <w:rFonts w:ascii="Arial" w:hAnsi="Arial" w:cs="Arial"/>
              </w:rPr>
            </w:pPr>
            <w:r w:rsidRPr="00013C63">
              <w:rPr>
                <w:rFonts w:ascii="Arial" w:hAnsi="Arial" w:cs="Arial"/>
              </w:rPr>
              <w:t>10,705</w:t>
            </w:r>
          </w:p>
        </w:tc>
      </w:tr>
      <w:tr w:rsidR="00013C63" w:rsidRPr="00013C63" w14:paraId="5A9A1B65" w14:textId="77777777" w:rsidTr="00013C63">
        <w:trPr>
          <w:jc w:val="center"/>
        </w:trPr>
        <w:tc>
          <w:tcPr>
            <w:tcW w:w="0" w:type="auto"/>
            <w:hideMark/>
          </w:tcPr>
          <w:p w14:paraId="77990128" w14:textId="77777777" w:rsidR="00013C63" w:rsidRPr="00013C63" w:rsidRDefault="00013C63" w:rsidP="00013C63">
            <w:pPr>
              <w:spacing w:after="160" w:line="259" w:lineRule="auto"/>
              <w:rPr>
                <w:rFonts w:ascii="Arial" w:hAnsi="Arial" w:cs="Arial"/>
              </w:rPr>
            </w:pPr>
            <w:r w:rsidRPr="00013C63">
              <w:rPr>
                <w:rFonts w:ascii="Arial" w:hAnsi="Arial" w:cs="Arial"/>
              </w:rPr>
              <w:t>White Irish</w:t>
            </w:r>
          </w:p>
        </w:tc>
        <w:tc>
          <w:tcPr>
            <w:tcW w:w="0" w:type="auto"/>
            <w:hideMark/>
          </w:tcPr>
          <w:p w14:paraId="43CE40D6" w14:textId="77777777" w:rsidR="00013C63" w:rsidRPr="00013C63" w:rsidRDefault="00013C63" w:rsidP="00013C63">
            <w:pPr>
              <w:spacing w:after="160" w:line="259" w:lineRule="auto"/>
              <w:rPr>
                <w:rFonts w:ascii="Arial" w:hAnsi="Arial" w:cs="Arial"/>
              </w:rPr>
            </w:pPr>
            <w:r w:rsidRPr="00013C63">
              <w:rPr>
                <w:rFonts w:ascii="Arial" w:hAnsi="Arial" w:cs="Arial"/>
              </w:rPr>
              <w:t>87</w:t>
            </w:r>
          </w:p>
        </w:tc>
      </w:tr>
      <w:tr w:rsidR="00013C63" w:rsidRPr="00013C63" w14:paraId="2CA7D1B7" w14:textId="77777777" w:rsidTr="00013C63">
        <w:trPr>
          <w:jc w:val="center"/>
        </w:trPr>
        <w:tc>
          <w:tcPr>
            <w:tcW w:w="0" w:type="auto"/>
            <w:hideMark/>
          </w:tcPr>
          <w:p w14:paraId="6519E0BC" w14:textId="77777777" w:rsidR="00013C63" w:rsidRPr="00013C63" w:rsidRDefault="00013C63" w:rsidP="00013C63">
            <w:pPr>
              <w:spacing w:after="160" w:line="259" w:lineRule="auto"/>
              <w:rPr>
                <w:rFonts w:ascii="Arial" w:hAnsi="Arial" w:cs="Arial"/>
              </w:rPr>
            </w:pPr>
            <w:r w:rsidRPr="00013C63">
              <w:rPr>
                <w:rFonts w:ascii="Arial" w:hAnsi="Arial" w:cs="Arial"/>
              </w:rPr>
              <w:t>White Other</w:t>
            </w:r>
          </w:p>
        </w:tc>
        <w:tc>
          <w:tcPr>
            <w:tcW w:w="0" w:type="auto"/>
            <w:hideMark/>
          </w:tcPr>
          <w:p w14:paraId="2CCF6D7B" w14:textId="77777777" w:rsidR="00013C63" w:rsidRPr="00013C63" w:rsidRDefault="00013C63" w:rsidP="00013C63">
            <w:pPr>
              <w:spacing w:after="160" w:line="259" w:lineRule="auto"/>
              <w:rPr>
                <w:rFonts w:ascii="Arial" w:hAnsi="Arial" w:cs="Arial"/>
              </w:rPr>
            </w:pPr>
            <w:r w:rsidRPr="00013C63">
              <w:rPr>
                <w:rFonts w:ascii="Arial" w:hAnsi="Arial" w:cs="Arial"/>
              </w:rPr>
              <w:t>444</w:t>
            </w:r>
          </w:p>
        </w:tc>
      </w:tr>
      <w:tr w:rsidR="00013C63" w:rsidRPr="00013C63" w14:paraId="4F31386F" w14:textId="77777777" w:rsidTr="00013C63">
        <w:trPr>
          <w:jc w:val="center"/>
        </w:trPr>
        <w:tc>
          <w:tcPr>
            <w:tcW w:w="0" w:type="auto"/>
            <w:hideMark/>
          </w:tcPr>
          <w:p w14:paraId="3D251EA4" w14:textId="77777777" w:rsidR="00013C63" w:rsidRPr="00013C63" w:rsidRDefault="00013C63" w:rsidP="00013C63">
            <w:pPr>
              <w:spacing w:after="160" w:line="259" w:lineRule="auto"/>
              <w:rPr>
                <w:rFonts w:ascii="Arial" w:hAnsi="Arial" w:cs="Arial"/>
                <w:b/>
                <w:bCs/>
              </w:rPr>
            </w:pPr>
            <w:r w:rsidRPr="00013C63">
              <w:rPr>
                <w:rFonts w:ascii="Arial" w:hAnsi="Arial" w:cs="Arial"/>
                <w:b/>
                <w:bCs/>
              </w:rPr>
              <w:t>Total</w:t>
            </w:r>
          </w:p>
        </w:tc>
        <w:tc>
          <w:tcPr>
            <w:tcW w:w="0" w:type="auto"/>
            <w:hideMark/>
          </w:tcPr>
          <w:p w14:paraId="54154627" w14:textId="77777777" w:rsidR="00013C63" w:rsidRPr="00013C63" w:rsidRDefault="00013C63" w:rsidP="00013C63">
            <w:pPr>
              <w:spacing w:after="160" w:line="259" w:lineRule="auto"/>
              <w:rPr>
                <w:rFonts w:ascii="Arial" w:hAnsi="Arial" w:cs="Arial"/>
                <w:b/>
                <w:bCs/>
              </w:rPr>
            </w:pPr>
            <w:r w:rsidRPr="00013C63">
              <w:rPr>
                <w:rFonts w:ascii="Arial" w:hAnsi="Arial" w:cs="Arial"/>
                <w:b/>
                <w:bCs/>
              </w:rPr>
              <w:t>23,370</w:t>
            </w:r>
          </w:p>
        </w:tc>
      </w:tr>
    </w:tbl>
    <w:p w14:paraId="095AAAC5" w14:textId="77777777" w:rsidR="00305D7C" w:rsidRPr="0003613D" w:rsidRDefault="00305D7C">
      <w:pPr>
        <w:rPr>
          <w:rFonts w:ascii="Arial" w:hAnsi="Arial" w:cs="Arial"/>
          <w:bCs/>
          <w:sz w:val="24"/>
          <w:szCs w:val="24"/>
        </w:rPr>
      </w:pPr>
    </w:p>
    <w:p w14:paraId="42975D07" w14:textId="20FCD3D0" w:rsidR="00FD0D76" w:rsidRPr="0003613D" w:rsidRDefault="00FD0D76" w:rsidP="00FD0D76">
      <w:pPr>
        <w:pStyle w:val="ListParagraph"/>
        <w:numPr>
          <w:ilvl w:val="0"/>
          <w:numId w:val="3"/>
        </w:numPr>
        <w:rPr>
          <w:rFonts w:ascii="Arial" w:hAnsi="Arial" w:cs="Arial"/>
          <w:bCs/>
          <w:sz w:val="24"/>
          <w:szCs w:val="24"/>
        </w:rPr>
      </w:pPr>
      <w:r w:rsidRPr="0003613D">
        <w:rPr>
          <w:rFonts w:ascii="Arial" w:hAnsi="Arial" w:cs="Arial"/>
          <w:bCs/>
          <w:sz w:val="24"/>
          <w:szCs w:val="24"/>
        </w:rPr>
        <w:t xml:space="preserve">The total number of social housing applications was </w:t>
      </w:r>
      <w:r w:rsidRPr="0003613D">
        <w:rPr>
          <w:rFonts w:ascii="Arial" w:hAnsi="Arial" w:cs="Arial"/>
          <w:b/>
          <w:bCs/>
          <w:sz w:val="24"/>
          <w:szCs w:val="24"/>
        </w:rPr>
        <w:t>23,370</w:t>
      </w:r>
      <w:r w:rsidRPr="0003613D">
        <w:rPr>
          <w:rFonts w:ascii="Arial" w:hAnsi="Arial" w:cs="Arial"/>
          <w:bCs/>
          <w:sz w:val="24"/>
          <w:szCs w:val="24"/>
        </w:rPr>
        <w:t xml:space="preserve">, of which data for </w:t>
      </w:r>
      <w:r w:rsidRPr="0003613D">
        <w:rPr>
          <w:rFonts w:ascii="Arial" w:hAnsi="Arial" w:cs="Arial"/>
          <w:b/>
          <w:bCs/>
          <w:sz w:val="24"/>
          <w:szCs w:val="24"/>
        </w:rPr>
        <w:t>4,623 households</w:t>
      </w:r>
      <w:r w:rsidRPr="0003613D">
        <w:rPr>
          <w:rFonts w:ascii="Arial" w:hAnsi="Arial" w:cs="Arial"/>
          <w:bCs/>
          <w:sz w:val="24"/>
          <w:szCs w:val="24"/>
        </w:rPr>
        <w:t xml:space="preserve"> was not available.</w:t>
      </w:r>
    </w:p>
    <w:p w14:paraId="43D8AE2F" w14:textId="2EA8E202" w:rsidR="00FD0D76" w:rsidRPr="0003613D" w:rsidRDefault="00FD0D76" w:rsidP="00FD0D76">
      <w:pPr>
        <w:pStyle w:val="ListParagraph"/>
        <w:numPr>
          <w:ilvl w:val="0"/>
          <w:numId w:val="3"/>
        </w:numPr>
        <w:rPr>
          <w:rFonts w:ascii="Arial" w:hAnsi="Arial" w:cs="Arial"/>
          <w:bCs/>
          <w:sz w:val="24"/>
          <w:szCs w:val="24"/>
        </w:rPr>
      </w:pPr>
      <w:r w:rsidRPr="0003613D">
        <w:rPr>
          <w:rFonts w:ascii="Arial" w:hAnsi="Arial" w:cs="Arial"/>
          <w:bCs/>
          <w:sz w:val="24"/>
          <w:szCs w:val="24"/>
        </w:rPr>
        <w:t xml:space="preserve">Among applications with recorded ethnicity, </w:t>
      </w:r>
      <w:r w:rsidRPr="0003613D">
        <w:rPr>
          <w:rFonts w:ascii="Arial" w:hAnsi="Arial" w:cs="Arial"/>
          <w:b/>
          <w:bCs/>
          <w:sz w:val="24"/>
          <w:szCs w:val="24"/>
        </w:rPr>
        <w:t>White British households</w:t>
      </w:r>
      <w:r w:rsidRPr="0003613D">
        <w:rPr>
          <w:rFonts w:ascii="Arial" w:hAnsi="Arial" w:cs="Arial"/>
          <w:bCs/>
          <w:sz w:val="24"/>
          <w:szCs w:val="24"/>
        </w:rPr>
        <w:t xml:space="preserve"> were the largest group, with </w:t>
      </w:r>
      <w:r w:rsidRPr="0003613D">
        <w:rPr>
          <w:rFonts w:ascii="Arial" w:hAnsi="Arial" w:cs="Arial"/>
          <w:b/>
          <w:bCs/>
          <w:sz w:val="24"/>
          <w:szCs w:val="24"/>
        </w:rPr>
        <w:t>10,705 applications (45.8% of total applications)</w:t>
      </w:r>
      <w:r w:rsidRPr="0003613D">
        <w:rPr>
          <w:rFonts w:ascii="Arial" w:hAnsi="Arial" w:cs="Arial"/>
          <w:bCs/>
          <w:sz w:val="24"/>
          <w:szCs w:val="24"/>
        </w:rPr>
        <w:t>.</w:t>
      </w:r>
    </w:p>
    <w:p w14:paraId="6A9F1657" w14:textId="5BFD1878" w:rsidR="00FD0D76" w:rsidRPr="0003613D" w:rsidRDefault="00FD0D76" w:rsidP="00FD0D76">
      <w:pPr>
        <w:pStyle w:val="ListParagraph"/>
        <w:numPr>
          <w:ilvl w:val="0"/>
          <w:numId w:val="3"/>
        </w:numPr>
        <w:rPr>
          <w:rFonts w:ascii="Arial" w:hAnsi="Arial" w:cs="Arial"/>
          <w:bCs/>
          <w:sz w:val="24"/>
          <w:szCs w:val="24"/>
        </w:rPr>
      </w:pPr>
      <w:r w:rsidRPr="0003613D">
        <w:rPr>
          <w:rFonts w:ascii="Arial" w:hAnsi="Arial" w:cs="Arial"/>
          <w:b/>
          <w:bCs/>
          <w:sz w:val="24"/>
          <w:szCs w:val="24"/>
        </w:rPr>
        <w:t>Black or Black British Caribbean households</w:t>
      </w:r>
      <w:r w:rsidRPr="0003613D">
        <w:rPr>
          <w:rFonts w:ascii="Arial" w:hAnsi="Arial" w:cs="Arial"/>
          <w:bCs/>
          <w:sz w:val="24"/>
          <w:szCs w:val="24"/>
        </w:rPr>
        <w:t xml:space="preserve"> were the second-largest group (</w:t>
      </w:r>
      <w:r w:rsidRPr="0003613D">
        <w:rPr>
          <w:rFonts w:ascii="Arial" w:hAnsi="Arial" w:cs="Arial"/>
          <w:b/>
          <w:bCs/>
          <w:sz w:val="24"/>
          <w:szCs w:val="24"/>
        </w:rPr>
        <w:t>1,721 applications; 7.4%</w:t>
      </w:r>
      <w:r w:rsidRPr="0003613D">
        <w:rPr>
          <w:rFonts w:ascii="Arial" w:hAnsi="Arial" w:cs="Arial"/>
          <w:bCs/>
          <w:sz w:val="24"/>
          <w:szCs w:val="24"/>
        </w:rPr>
        <w:t>).</w:t>
      </w:r>
    </w:p>
    <w:p w14:paraId="53738211" w14:textId="77777777" w:rsidR="00FD0D76" w:rsidRPr="0003613D" w:rsidRDefault="00FD0D76" w:rsidP="00FD0D76">
      <w:pPr>
        <w:pStyle w:val="ListParagraph"/>
        <w:numPr>
          <w:ilvl w:val="0"/>
          <w:numId w:val="3"/>
        </w:numPr>
        <w:rPr>
          <w:rFonts w:ascii="Arial" w:hAnsi="Arial" w:cs="Arial"/>
          <w:bCs/>
          <w:sz w:val="24"/>
          <w:szCs w:val="24"/>
        </w:rPr>
      </w:pPr>
      <w:r w:rsidRPr="0003613D">
        <w:rPr>
          <w:rFonts w:ascii="Arial" w:hAnsi="Arial" w:cs="Arial"/>
          <w:b/>
          <w:bCs/>
          <w:sz w:val="24"/>
          <w:szCs w:val="24"/>
        </w:rPr>
        <w:t>Black or Black British African households</w:t>
      </w:r>
      <w:r w:rsidRPr="0003613D">
        <w:rPr>
          <w:rFonts w:ascii="Arial" w:hAnsi="Arial" w:cs="Arial"/>
          <w:bCs/>
          <w:sz w:val="24"/>
          <w:szCs w:val="24"/>
        </w:rPr>
        <w:t xml:space="preserve"> were third (</w:t>
      </w:r>
      <w:r w:rsidRPr="0003613D">
        <w:rPr>
          <w:rFonts w:ascii="Arial" w:hAnsi="Arial" w:cs="Arial"/>
          <w:b/>
          <w:bCs/>
          <w:sz w:val="24"/>
          <w:szCs w:val="24"/>
        </w:rPr>
        <w:t>1,689 applications; 7.2%</w:t>
      </w:r>
      <w:r w:rsidRPr="0003613D">
        <w:rPr>
          <w:rFonts w:ascii="Arial" w:hAnsi="Arial" w:cs="Arial"/>
          <w:bCs/>
          <w:sz w:val="24"/>
          <w:szCs w:val="24"/>
        </w:rPr>
        <w:t>).</w:t>
      </w:r>
    </w:p>
    <w:p w14:paraId="636E3545" w14:textId="77DF7AB6" w:rsidR="00FD0D76" w:rsidRPr="0003613D" w:rsidRDefault="00FD0D76" w:rsidP="00FD0D76">
      <w:pPr>
        <w:pStyle w:val="ListParagraph"/>
        <w:numPr>
          <w:ilvl w:val="0"/>
          <w:numId w:val="3"/>
        </w:numPr>
        <w:rPr>
          <w:rFonts w:ascii="Arial" w:hAnsi="Arial" w:cs="Arial"/>
          <w:bCs/>
          <w:sz w:val="24"/>
          <w:szCs w:val="24"/>
        </w:rPr>
      </w:pPr>
      <w:r w:rsidRPr="0003613D">
        <w:rPr>
          <w:rFonts w:ascii="Arial" w:hAnsi="Arial" w:cs="Arial"/>
          <w:bCs/>
          <w:sz w:val="24"/>
          <w:szCs w:val="24"/>
        </w:rPr>
        <w:t>Other notable groups included:</w:t>
      </w:r>
    </w:p>
    <w:p w14:paraId="15FE75CE" w14:textId="77777777" w:rsidR="00FD0D76" w:rsidRPr="00FD0D76" w:rsidRDefault="00FD0D76" w:rsidP="00FD0D76">
      <w:pPr>
        <w:numPr>
          <w:ilvl w:val="1"/>
          <w:numId w:val="39"/>
        </w:numPr>
        <w:rPr>
          <w:rFonts w:ascii="Arial" w:hAnsi="Arial" w:cs="Arial"/>
          <w:bCs/>
          <w:sz w:val="24"/>
          <w:szCs w:val="24"/>
        </w:rPr>
      </w:pPr>
      <w:r w:rsidRPr="00FD0D76">
        <w:rPr>
          <w:rFonts w:ascii="Arial" w:hAnsi="Arial" w:cs="Arial"/>
          <w:bCs/>
          <w:sz w:val="24"/>
          <w:szCs w:val="24"/>
        </w:rPr>
        <w:t>Asian or Asian British Indian (</w:t>
      </w:r>
      <w:r w:rsidRPr="00FD0D76">
        <w:rPr>
          <w:rFonts w:ascii="Arial" w:hAnsi="Arial" w:cs="Arial"/>
          <w:b/>
          <w:bCs/>
          <w:sz w:val="24"/>
          <w:szCs w:val="24"/>
        </w:rPr>
        <w:t>1,194; 5.1%</w:t>
      </w:r>
      <w:r w:rsidRPr="00FD0D76">
        <w:rPr>
          <w:rFonts w:ascii="Arial" w:hAnsi="Arial" w:cs="Arial"/>
          <w:bCs/>
          <w:sz w:val="24"/>
          <w:szCs w:val="24"/>
        </w:rPr>
        <w:t>)</w:t>
      </w:r>
    </w:p>
    <w:p w14:paraId="5DFA1C3A" w14:textId="77777777" w:rsidR="00FD0D76" w:rsidRPr="00FD0D76" w:rsidRDefault="00FD0D76" w:rsidP="00FD0D76">
      <w:pPr>
        <w:numPr>
          <w:ilvl w:val="1"/>
          <w:numId w:val="39"/>
        </w:numPr>
        <w:rPr>
          <w:rFonts w:ascii="Arial" w:hAnsi="Arial" w:cs="Arial"/>
          <w:bCs/>
          <w:sz w:val="24"/>
          <w:szCs w:val="24"/>
        </w:rPr>
      </w:pPr>
      <w:r w:rsidRPr="00FD0D76">
        <w:rPr>
          <w:rFonts w:ascii="Arial" w:hAnsi="Arial" w:cs="Arial"/>
          <w:bCs/>
          <w:sz w:val="24"/>
          <w:szCs w:val="24"/>
        </w:rPr>
        <w:t>Mixed White and Black Caribbean (</w:t>
      </w:r>
      <w:r w:rsidRPr="00FD0D76">
        <w:rPr>
          <w:rFonts w:ascii="Arial" w:hAnsi="Arial" w:cs="Arial"/>
          <w:b/>
          <w:bCs/>
          <w:sz w:val="24"/>
          <w:szCs w:val="24"/>
        </w:rPr>
        <w:t>874; 3.7%</w:t>
      </w:r>
      <w:r w:rsidRPr="00FD0D76">
        <w:rPr>
          <w:rFonts w:ascii="Arial" w:hAnsi="Arial" w:cs="Arial"/>
          <w:bCs/>
          <w:sz w:val="24"/>
          <w:szCs w:val="24"/>
        </w:rPr>
        <w:t>)</w:t>
      </w:r>
    </w:p>
    <w:p w14:paraId="5F19C658" w14:textId="77777777" w:rsidR="00FD0D76" w:rsidRPr="00FD0D76" w:rsidRDefault="00FD0D76" w:rsidP="00FD0D76">
      <w:pPr>
        <w:numPr>
          <w:ilvl w:val="1"/>
          <w:numId w:val="39"/>
        </w:numPr>
        <w:rPr>
          <w:rFonts w:ascii="Arial" w:hAnsi="Arial" w:cs="Arial"/>
          <w:bCs/>
          <w:sz w:val="24"/>
          <w:szCs w:val="24"/>
        </w:rPr>
      </w:pPr>
      <w:r w:rsidRPr="00FD0D76">
        <w:rPr>
          <w:rFonts w:ascii="Arial" w:hAnsi="Arial" w:cs="Arial"/>
          <w:bCs/>
          <w:sz w:val="24"/>
          <w:szCs w:val="24"/>
        </w:rPr>
        <w:lastRenderedPageBreak/>
        <w:t>Asian or Asian British Bangladeshi (</w:t>
      </w:r>
      <w:r w:rsidRPr="00FD0D76">
        <w:rPr>
          <w:rFonts w:ascii="Arial" w:hAnsi="Arial" w:cs="Arial"/>
          <w:b/>
          <w:bCs/>
          <w:sz w:val="24"/>
          <w:szCs w:val="24"/>
        </w:rPr>
        <w:t>806; 3.5%</w:t>
      </w:r>
      <w:r w:rsidRPr="00FD0D76">
        <w:rPr>
          <w:rFonts w:ascii="Arial" w:hAnsi="Arial" w:cs="Arial"/>
          <w:bCs/>
          <w:sz w:val="24"/>
          <w:szCs w:val="24"/>
        </w:rPr>
        <w:t>)</w:t>
      </w:r>
    </w:p>
    <w:p w14:paraId="58A98D37" w14:textId="4FE3D4E6" w:rsidR="00FD0D76" w:rsidRPr="0003613D" w:rsidRDefault="00FD0D76" w:rsidP="00323F14">
      <w:pPr>
        <w:rPr>
          <w:rFonts w:ascii="Arial" w:hAnsi="Arial" w:cs="Arial"/>
          <w:bCs/>
          <w:sz w:val="24"/>
          <w:szCs w:val="24"/>
        </w:rPr>
      </w:pPr>
      <w:r w:rsidRPr="0003613D">
        <w:rPr>
          <w:rFonts w:ascii="Arial" w:hAnsi="Arial" w:cs="Arial"/>
          <w:bCs/>
          <w:sz w:val="24"/>
          <w:szCs w:val="24"/>
        </w:rPr>
        <w:t>Minority ethnic groups collectively make up a smaller proportion of total applications compared with White British households, highlighting the predominance of White British households among applicants.</w:t>
      </w:r>
    </w:p>
    <w:p w14:paraId="58D22A80" w14:textId="1E525C3F" w:rsidR="003B2EBA" w:rsidRPr="0003613D" w:rsidRDefault="003B2EBA">
      <w:pPr>
        <w:rPr>
          <w:rFonts w:ascii="Arial" w:hAnsi="Arial" w:cs="Arial"/>
          <w:bCs/>
          <w:color w:val="000000" w:themeColor="text1"/>
          <w:sz w:val="24"/>
          <w:szCs w:val="24"/>
        </w:rPr>
      </w:pPr>
      <w:r w:rsidRPr="0003613D">
        <w:rPr>
          <w:rFonts w:ascii="Arial" w:hAnsi="Arial" w:cs="Arial"/>
          <w:bCs/>
          <w:color w:val="000000" w:themeColor="text1"/>
          <w:sz w:val="24"/>
          <w:szCs w:val="24"/>
        </w:rPr>
        <w:t>Certain households of global majority groups includin</w:t>
      </w:r>
      <w:r w:rsidR="001277EA" w:rsidRPr="0003613D">
        <w:rPr>
          <w:rFonts w:ascii="Arial" w:hAnsi="Arial" w:cs="Arial"/>
          <w:bCs/>
          <w:color w:val="000000" w:themeColor="text1"/>
          <w:sz w:val="24"/>
          <w:szCs w:val="24"/>
        </w:rPr>
        <w:t>g Asian or Asian British Other and Asian or Asian British Pakistani</w:t>
      </w:r>
      <w:r w:rsidRPr="0003613D">
        <w:rPr>
          <w:rFonts w:ascii="Arial" w:hAnsi="Arial" w:cs="Arial"/>
          <w:bCs/>
          <w:color w:val="000000" w:themeColor="text1"/>
          <w:sz w:val="24"/>
          <w:szCs w:val="24"/>
        </w:rPr>
        <w:t>, were more likely to live in an overcrowded household.</w:t>
      </w:r>
    </w:p>
    <w:p w14:paraId="6D0C0E81" w14:textId="6F5B732C" w:rsidR="000A19F4" w:rsidRPr="0003613D" w:rsidRDefault="003B2EBA">
      <w:pPr>
        <w:rPr>
          <w:rFonts w:ascii="Arial" w:hAnsi="Arial" w:cs="Arial"/>
          <w:bCs/>
          <w:color w:val="000000" w:themeColor="text1"/>
          <w:sz w:val="24"/>
          <w:szCs w:val="24"/>
        </w:rPr>
      </w:pPr>
      <w:r w:rsidRPr="0003613D">
        <w:rPr>
          <w:rFonts w:ascii="Arial" w:hAnsi="Arial" w:cs="Arial"/>
          <w:bCs/>
          <w:color w:val="000000" w:themeColor="text1"/>
          <w:sz w:val="24"/>
          <w:szCs w:val="24"/>
        </w:rPr>
        <w:t xml:space="preserve">The table below presents, by ethnicity, the percentage of households, on the housing register, </w:t>
      </w:r>
      <w:r w:rsidR="00DF64E4" w:rsidRPr="0003613D">
        <w:rPr>
          <w:rFonts w:ascii="Arial" w:hAnsi="Arial" w:cs="Arial"/>
          <w:bCs/>
          <w:color w:val="000000" w:themeColor="text1"/>
          <w:sz w:val="24"/>
          <w:szCs w:val="24"/>
        </w:rPr>
        <w:t xml:space="preserve">that are </w:t>
      </w:r>
      <w:r w:rsidR="000A19F4" w:rsidRPr="0003613D">
        <w:rPr>
          <w:rFonts w:ascii="Arial" w:hAnsi="Arial" w:cs="Arial"/>
          <w:bCs/>
          <w:color w:val="000000" w:themeColor="text1"/>
          <w:sz w:val="24"/>
          <w:szCs w:val="24"/>
        </w:rPr>
        <w:t>know</w:t>
      </w:r>
      <w:r w:rsidR="00DF64E4" w:rsidRPr="0003613D">
        <w:rPr>
          <w:rFonts w:ascii="Arial" w:hAnsi="Arial" w:cs="Arial"/>
          <w:bCs/>
          <w:color w:val="000000" w:themeColor="text1"/>
          <w:sz w:val="24"/>
          <w:szCs w:val="24"/>
        </w:rPr>
        <w:t>n</w:t>
      </w:r>
      <w:r w:rsidR="000A19F4" w:rsidRPr="0003613D">
        <w:rPr>
          <w:rFonts w:ascii="Arial" w:hAnsi="Arial" w:cs="Arial"/>
          <w:bCs/>
          <w:color w:val="000000" w:themeColor="text1"/>
          <w:sz w:val="24"/>
          <w:szCs w:val="24"/>
        </w:rPr>
        <w:t xml:space="preserve"> </w:t>
      </w:r>
      <w:r w:rsidR="00E06B5A" w:rsidRPr="0003613D">
        <w:rPr>
          <w:rFonts w:ascii="Arial" w:hAnsi="Arial" w:cs="Arial"/>
          <w:bCs/>
          <w:color w:val="000000" w:themeColor="text1"/>
          <w:sz w:val="24"/>
          <w:szCs w:val="24"/>
        </w:rPr>
        <w:t xml:space="preserve">to be </w:t>
      </w:r>
      <w:r w:rsidR="00DF64E4" w:rsidRPr="0003613D">
        <w:rPr>
          <w:rFonts w:ascii="Arial" w:hAnsi="Arial" w:cs="Arial"/>
          <w:bCs/>
          <w:color w:val="000000" w:themeColor="text1"/>
          <w:sz w:val="24"/>
          <w:szCs w:val="24"/>
        </w:rPr>
        <w:t>overcrowded</w:t>
      </w:r>
      <w:r w:rsidRPr="0003613D">
        <w:rPr>
          <w:rFonts w:ascii="Arial" w:hAnsi="Arial" w:cs="Arial"/>
          <w:bCs/>
          <w:color w:val="000000" w:themeColor="text1"/>
          <w:sz w:val="24"/>
          <w:szCs w:val="24"/>
        </w:rPr>
        <w:t xml:space="preserve">. </w:t>
      </w:r>
      <w:r w:rsidR="000A19F4" w:rsidRPr="0003613D">
        <w:rPr>
          <w:rFonts w:ascii="Arial" w:hAnsi="Arial" w:cs="Arial"/>
          <w:bCs/>
          <w:color w:val="000000" w:themeColor="text1"/>
          <w:sz w:val="24"/>
          <w:szCs w:val="24"/>
        </w:rPr>
        <w:t xml:space="preserve">Please note that the percentage of households listed in the table below only represents households </w:t>
      </w:r>
      <w:r w:rsidR="00DF64E4" w:rsidRPr="0003613D">
        <w:rPr>
          <w:rFonts w:ascii="Arial" w:hAnsi="Arial" w:cs="Arial"/>
          <w:bCs/>
          <w:color w:val="000000" w:themeColor="text1"/>
          <w:sz w:val="24"/>
          <w:szCs w:val="24"/>
        </w:rPr>
        <w:t xml:space="preserve">that are known to be </w:t>
      </w:r>
      <w:r w:rsidR="000A19F4" w:rsidRPr="0003613D">
        <w:rPr>
          <w:rFonts w:ascii="Arial" w:hAnsi="Arial" w:cs="Arial"/>
          <w:bCs/>
          <w:color w:val="000000" w:themeColor="text1"/>
          <w:sz w:val="24"/>
          <w:szCs w:val="24"/>
        </w:rPr>
        <w:t>overcrowded. The actual percentage</w:t>
      </w:r>
      <w:r w:rsidR="001277EA" w:rsidRPr="0003613D">
        <w:rPr>
          <w:rFonts w:ascii="Arial" w:hAnsi="Arial" w:cs="Arial"/>
          <w:bCs/>
          <w:color w:val="000000" w:themeColor="text1"/>
          <w:sz w:val="24"/>
          <w:szCs w:val="24"/>
        </w:rPr>
        <w:t>s</w:t>
      </w:r>
      <w:r w:rsidR="000A19F4" w:rsidRPr="0003613D">
        <w:rPr>
          <w:rFonts w:ascii="Arial" w:hAnsi="Arial" w:cs="Arial"/>
          <w:bCs/>
          <w:color w:val="000000" w:themeColor="text1"/>
          <w:sz w:val="24"/>
          <w:szCs w:val="24"/>
        </w:rPr>
        <w:t xml:space="preserve"> could and </w:t>
      </w:r>
      <w:r w:rsidR="001277EA" w:rsidRPr="0003613D">
        <w:rPr>
          <w:rFonts w:ascii="Arial" w:hAnsi="Arial" w:cs="Arial"/>
          <w:bCs/>
          <w:color w:val="000000" w:themeColor="text1"/>
          <w:sz w:val="24"/>
          <w:szCs w:val="24"/>
        </w:rPr>
        <w:t xml:space="preserve">are </w:t>
      </w:r>
      <w:r w:rsidR="000A19F4" w:rsidRPr="0003613D">
        <w:rPr>
          <w:rFonts w:ascii="Arial" w:hAnsi="Arial" w:cs="Arial"/>
          <w:bCs/>
          <w:color w:val="000000" w:themeColor="text1"/>
          <w:sz w:val="24"/>
          <w:szCs w:val="24"/>
        </w:rPr>
        <w:t xml:space="preserve">likely to be higher. </w:t>
      </w:r>
    </w:p>
    <w:tbl>
      <w:tblPr>
        <w:tblStyle w:val="TableGrid"/>
        <w:tblW w:w="0" w:type="auto"/>
        <w:tblLook w:val="04A0" w:firstRow="1" w:lastRow="0" w:firstColumn="1" w:lastColumn="0" w:noHBand="0" w:noVBand="1"/>
      </w:tblPr>
      <w:tblGrid>
        <w:gridCol w:w="4508"/>
        <w:gridCol w:w="3284"/>
      </w:tblGrid>
      <w:tr w:rsidR="00E06B5A" w:rsidRPr="0003613D" w14:paraId="72538D8D" w14:textId="77777777" w:rsidTr="00E06B5A">
        <w:tc>
          <w:tcPr>
            <w:tcW w:w="4508" w:type="dxa"/>
          </w:tcPr>
          <w:p w14:paraId="60D38A56" w14:textId="44A1B33E" w:rsidR="00E06B5A" w:rsidRPr="0003613D" w:rsidRDefault="00E06B5A">
            <w:pPr>
              <w:rPr>
                <w:rFonts w:ascii="Arial" w:hAnsi="Arial" w:cs="Arial"/>
                <w:bCs/>
                <w:color w:val="000000" w:themeColor="text1"/>
                <w:sz w:val="24"/>
                <w:szCs w:val="24"/>
              </w:rPr>
            </w:pPr>
            <w:r w:rsidRPr="0003613D">
              <w:rPr>
                <w:rFonts w:ascii="Arial" w:hAnsi="Arial" w:cs="Arial"/>
                <w:bCs/>
                <w:color w:val="000000" w:themeColor="text1"/>
                <w:sz w:val="24"/>
                <w:szCs w:val="24"/>
              </w:rPr>
              <w:t>Group</w:t>
            </w:r>
          </w:p>
        </w:tc>
        <w:tc>
          <w:tcPr>
            <w:tcW w:w="3284" w:type="dxa"/>
          </w:tcPr>
          <w:p w14:paraId="2E6EF902" w14:textId="13777E6E" w:rsidR="00E06B5A" w:rsidRPr="0003613D" w:rsidRDefault="00E06B5A">
            <w:pPr>
              <w:rPr>
                <w:rFonts w:ascii="Arial" w:hAnsi="Arial" w:cs="Arial"/>
                <w:bCs/>
                <w:color w:val="000000" w:themeColor="text1"/>
                <w:sz w:val="24"/>
                <w:szCs w:val="24"/>
              </w:rPr>
            </w:pPr>
            <w:r w:rsidRPr="0003613D">
              <w:rPr>
                <w:rFonts w:ascii="Arial" w:hAnsi="Arial" w:cs="Arial"/>
                <w:bCs/>
                <w:color w:val="000000" w:themeColor="text1"/>
                <w:sz w:val="24"/>
                <w:szCs w:val="24"/>
              </w:rPr>
              <w:t xml:space="preserve">% of households that </w:t>
            </w:r>
            <w:r w:rsidR="00DF64E4" w:rsidRPr="0003613D">
              <w:rPr>
                <w:rFonts w:ascii="Arial" w:hAnsi="Arial" w:cs="Arial"/>
                <w:bCs/>
                <w:color w:val="000000" w:themeColor="text1"/>
                <w:sz w:val="24"/>
                <w:szCs w:val="24"/>
              </w:rPr>
              <w:t>are</w:t>
            </w:r>
            <w:r w:rsidRPr="0003613D">
              <w:rPr>
                <w:rFonts w:ascii="Arial" w:hAnsi="Arial" w:cs="Arial"/>
                <w:bCs/>
                <w:color w:val="000000" w:themeColor="text1"/>
                <w:sz w:val="24"/>
                <w:szCs w:val="24"/>
              </w:rPr>
              <w:t xml:space="preserve"> know</w:t>
            </w:r>
            <w:r w:rsidR="00DF64E4" w:rsidRPr="0003613D">
              <w:rPr>
                <w:rFonts w:ascii="Arial" w:hAnsi="Arial" w:cs="Arial"/>
                <w:bCs/>
                <w:color w:val="000000" w:themeColor="text1"/>
                <w:sz w:val="24"/>
                <w:szCs w:val="24"/>
              </w:rPr>
              <w:t>n</w:t>
            </w:r>
            <w:r w:rsidRPr="0003613D">
              <w:rPr>
                <w:rFonts w:ascii="Arial" w:hAnsi="Arial" w:cs="Arial"/>
                <w:bCs/>
                <w:color w:val="000000" w:themeColor="text1"/>
                <w:sz w:val="24"/>
                <w:szCs w:val="24"/>
              </w:rPr>
              <w:t xml:space="preserve"> to be overcrowded</w:t>
            </w:r>
          </w:p>
        </w:tc>
      </w:tr>
      <w:tr w:rsidR="00E06B5A" w:rsidRPr="0003613D" w14:paraId="7F1FD762" w14:textId="77777777" w:rsidTr="00E06B5A">
        <w:tc>
          <w:tcPr>
            <w:tcW w:w="4508" w:type="dxa"/>
          </w:tcPr>
          <w:p w14:paraId="0A6A5389" w14:textId="104B776C" w:rsidR="00E06B5A" w:rsidRPr="0003613D" w:rsidRDefault="00E06B5A" w:rsidP="00E06B5A">
            <w:pPr>
              <w:rPr>
                <w:rFonts w:ascii="Arial" w:hAnsi="Arial" w:cs="Arial"/>
                <w:bCs/>
                <w:color w:val="000000" w:themeColor="text1"/>
                <w:sz w:val="24"/>
                <w:szCs w:val="24"/>
              </w:rPr>
            </w:pPr>
            <w:r w:rsidRPr="0003613D">
              <w:rPr>
                <w:rFonts w:ascii="Arial" w:eastAsia="Times New Roman" w:hAnsi="Arial" w:cs="Arial"/>
                <w:color w:val="000000"/>
                <w:sz w:val="24"/>
                <w:szCs w:val="24"/>
                <w:lang w:eastAsia="en-GB"/>
              </w:rPr>
              <w:t>Asian or Asian British Bangladeshi</w:t>
            </w:r>
          </w:p>
        </w:tc>
        <w:tc>
          <w:tcPr>
            <w:tcW w:w="3284" w:type="dxa"/>
          </w:tcPr>
          <w:p w14:paraId="2C13653E" w14:textId="2DFCEE97" w:rsidR="00E06B5A" w:rsidRPr="0003613D" w:rsidRDefault="00E06B5A" w:rsidP="00E06B5A">
            <w:pPr>
              <w:rPr>
                <w:rFonts w:ascii="Arial" w:hAnsi="Arial" w:cs="Arial"/>
                <w:bCs/>
                <w:color w:val="000000" w:themeColor="text1"/>
                <w:sz w:val="24"/>
                <w:szCs w:val="24"/>
              </w:rPr>
            </w:pPr>
            <w:r w:rsidRPr="0003613D">
              <w:rPr>
                <w:rFonts w:ascii="Arial" w:hAnsi="Arial" w:cs="Arial"/>
                <w:bCs/>
                <w:color w:val="000000" w:themeColor="text1"/>
                <w:sz w:val="24"/>
                <w:szCs w:val="24"/>
              </w:rPr>
              <w:t>8.4%</w:t>
            </w:r>
          </w:p>
        </w:tc>
      </w:tr>
      <w:tr w:rsidR="00E06B5A" w:rsidRPr="0003613D" w14:paraId="413363C3" w14:textId="77777777" w:rsidTr="00E06B5A">
        <w:tc>
          <w:tcPr>
            <w:tcW w:w="4508" w:type="dxa"/>
          </w:tcPr>
          <w:p w14:paraId="0396BEF8" w14:textId="4E73DFE2" w:rsidR="00E06B5A" w:rsidRPr="0003613D" w:rsidRDefault="00E06B5A" w:rsidP="00E06B5A">
            <w:pPr>
              <w:rPr>
                <w:rFonts w:ascii="Arial" w:hAnsi="Arial" w:cs="Arial"/>
                <w:bCs/>
                <w:color w:val="000000" w:themeColor="text1"/>
                <w:sz w:val="24"/>
                <w:szCs w:val="24"/>
              </w:rPr>
            </w:pPr>
            <w:r w:rsidRPr="0003613D">
              <w:rPr>
                <w:rFonts w:ascii="Arial" w:eastAsia="Times New Roman" w:hAnsi="Arial" w:cs="Arial"/>
                <w:color w:val="000000"/>
                <w:sz w:val="24"/>
                <w:szCs w:val="24"/>
                <w:lang w:eastAsia="en-GB"/>
              </w:rPr>
              <w:t>Asian or Asian British Indian</w:t>
            </w:r>
          </w:p>
        </w:tc>
        <w:tc>
          <w:tcPr>
            <w:tcW w:w="3284" w:type="dxa"/>
          </w:tcPr>
          <w:p w14:paraId="4928E704" w14:textId="1BFA9005" w:rsidR="00E06B5A" w:rsidRPr="0003613D" w:rsidRDefault="00E06B5A" w:rsidP="00E06B5A">
            <w:pPr>
              <w:rPr>
                <w:rFonts w:ascii="Arial" w:hAnsi="Arial" w:cs="Arial"/>
                <w:bCs/>
                <w:color w:val="000000" w:themeColor="text1"/>
                <w:sz w:val="24"/>
                <w:szCs w:val="24"/>
              </w:rPr>
            </w:pPr>
            <w:r w:rsidRPr="0003613D">
              <w:rPr>
                <w:rFonts w:ascii="Arial" w:hAnsi="Arial" w:cs="Arial"/>
                <w:bCs/>
                <w:color w:val="000000" w:themeColor="text1"/>
                <w:sz w:val="24"/>
                <w:szCs w:val="24"/>
              </w:rPr>
              <w:t>5.2%</w:t>
            </w:r>
          </w:p>
        </w:tc>
      </w:tr>
      <w:tr w:rsidR="00E06B5A" w:rsidRPr="0003613D" w14:paraId="6A6C8A04" w14:textId="77777777" w:rsidTr="00E06B5A">
        <w:tc>
          <w:tcPr>
            <w:tcW w:w="4508" w:type="dxa"/>
          </w:tcPr>
          <w:p w14:paraId="6B870B7A" w14:textId="72352719" w:rsidR="00E06B5A" w:rsidRPr="0003613D" w:rsidRDefault="00E06B5A" w:rsidP="00E06B5A">
            <w:pPr>
              <w:rPr>
                <w:rFonts w:ascii="Arial" w:hAnsi="Arial" w:cs="Arial"/>
                <w:bCs/>
                <w:color w:val="000000" w:themeColor="text1"/>
                <w:sz w:val="24"/>
                <w:szCs w:val="24"/>
              </w:rPr>
            </w:pPr>
            <w:r w:rsidRPr="0003613D">
              <w:rPr>
                <w:rFonts w:ascii="Arial" w:eastAsia="Times New Roman" w:hAnsi="Arial" w:cs="Arial"/>
                <w:color w:val="000000"/>
                <w:sz w:val="24"/>
                <w:szCs w:val="24"/>
                <w:lang w:eastAsia="en-GB"/>
              </w:rPr>
              <w:t>Asian or Asian British Other</w:t>
            </w:r>
          </w:p>
        </w:tc>
        <w:tc>
          <w:tcPr>
            <w:tcW w:w="3284" w:type="dxa"/>
          </w:tcPr>
          <w:p w14:paraId="36D026C8" w14:textId="55FE9322" w:rsidR="00E06B5A" w:rsidRPr="0003613D" w:rsidRDefault="00E06B5A" w:rsidP="00E06B5A">
            <w:pPr>
              <w:rPr>
                <w:rFonts w:ascii="Arial" w:hAnsi="Arial" w:cs="Arial"/>
                <w:bCs/>
                <w:color w:val="000000" w:themeColor="text1"/>
                <w:sz w:val="24"/>
                <w:szCs w:val="24"/>
              </w:rPr>
            </w:pPr>
            <w:r w:rsidRPr="0003613D">
              <w:rPr>
                <w:rFonts w:ascii="Arial" w:hAnsi="Arial" w:cs="Arial"/>
                <w:bCs/>
                <w:color w:val="000000" w:themeColor="text1"/>
                <w:sz w:val="24"/>
                <w:szCs w:val="24"/>
              </w:rPr>
              <w:t>22.5%</w:t>
            </w:r>
          </w:p>
        </w:tc>
      </w:tr>
      <w:tr w:rsidR="00E06B5A" w:rsidRPr="0003613D" w14:paraId="26EE9941" w14:textId="77777777" w:rsidTr="00E06B5A">
        <w:tc>
          <w:tcPr>
            <w:tcW w:w="4508" w:type="dxa"/>
          </w:tcPr>
          <w:p w14:paraId="60F7A09B" w14:textId="3210B4F0" w:rsidR="00E06B5A" w:rsidRPr="0003613D" w:rsidRDefault="00E06B5A" w:rsidP="00E06B5A">
            <w:pPr>
              <w:rPr>
                <w:rFonts w:ascii="Arial" w:hAnsi="Arial" w:cs="Arial"/>
                <w:bCs/>
                <w:color w:val="000000" w:themeColor="text1"/>
                <w:sz w:val="24"/>
                <w:szCs w:val="24"/>
              </w:rPr>
            </w:pPr>
            <w:r w:rsidRPr="0003613D">
              <w:rPr>
                <w:rFonts w:ascii="Arial" w:eastAsia="Times New Roman" w:hAnsi="Arial" w:cs="Arial"/>
                <w:color w:val="000000"/>
                <w:sz w:val="24"/>
                <w:szCs w:val="24"/>
                <w:lang w:eastAsia="en-GB"/>
              </w:rPr>
              <w:t>Asian or Asian British Pakistani</w:t>
            </w:r>
          </w:p>
        </w:tc>
        <w:tc>
          <w:tcPr>
            <w:tcW w:w="3284" w:type="dxa"/>
          </w:tcPr>
          <w:p w14:paraId="16D93C64" w14:textId="21FB2D70" w:rsidR="00E06B5A" w:rsidRPr="0003613D" w:rsidRDefault="00E06B5A" w:rsidP="00E06B5A">
            <w:pPr>
              <w:rPr>
                <w:rFonts w:ascii="Arial" w:hAnsi="Arial" w:cs="Arial"/>
                <w:bCs/>
                <w:color w:val="000000" w:themeColor="text1"/>
                <w:sz w:val="24"/>
                <w:szCs w:val="24"/>
              </w:rPr>
            </w:pPr>
            <w:r w:rsidRPr="0003613D">
              <w:rPr>
                <w:rFonts w:ascii="Arial" w:hAnsi="Arial" w:cs="Arial"/>
                <w:bCs/>
                <w:color w:val="000000" w:themeColor="text1"/>
                <w:sz w:val="24"/>
                <w:szCs w:val="24"/>
              </w:rPr>
              <w:t>18.7%</w:t>
            </w:r>
          </w:p>
        </w:tc>
      </w:tr>
      <w:tr w:rsidR="00E06B5A" w:rsidRPr="0003613D" w14:paraId="2C7FB650" w14:textId="77777777" w:rsidTr="00E06B5A">
        <w:tc>
          <w:tcPr>
            <w:tcW w:w="4508" w:type="dxa"/>
          </w:tcPr>
          <w:p w14:paraId="2A7A0CAF" w14:textId="65A1E61A" w:rsidR="00E06B5A" w:rsidRPr="0003613D" w:rsidRDefault="00E06B5A" w:rsidP="00E06B5A">
            <w:pPr>
              <w:rPr>
                <w:rFonts w:ascii="Arial" w:hAnsi="Arial" w:cs="Arial"/>
                <w:bCs/>
                <w:color w:val="000000" w:themeColor="text1"/>
                <w:sz w:val="24"/>
                <w:szCs w:val="24"/>
              </w:rPr>
            </w:pPr>
            <w:r w:rsidRPr="0003613D">
              <w:rPr>
                <w:rFonts w:ascii="Arial" w:eastAsia="Times New Roman" w:hAnsi="Arial" w:cs="Arial"/>
                <w:color w:val="000000"/>
                <w:sz w:val="24"/>
                <w:szCs w:val="24"/>
                <w:lang w:eastAsia="en-GB"/>
              </w:rPr>
              <w:t>Black or Black British African</w:t>
            </w:r>
          </w:p>
        </w:tc>
        <w:tc>
          <w:tcPr>
            <w:tcW w:w="3284" w:type="dxa"/>
          </w:tcPr>
          <w:p w14:paraId="274566A6" w14:textId="6314D0FF" w:rsidR="00E06B5A" w:rsidRPr="0003613D" w:rsidRDefault="00E06B5A" w:rsidP="00E06B5A">
            <w:pPr>
              <w:rPr>
                <w:rFonts w:ascii="Arial" w:hAnsi="Arial" w:cs="Arial"/>
                <w:bCs/>
                <w:color w:val="000000" w:themeColor="text1"/>
                <w:sz w:val="24"/>
                <w:szCs w:val="24"/>
              </w:rPr>
            </w:pPr>
            <w:r w:rsidRPr="0003613D">
              <w:rPr>
                <w:rFonts w:ascii="Arial" w:hAnsi="Arial" w:cs="Arial"/>
                <w:bCs/>
                <w:color w:val="000000" w:themeColor="text1"/>
                <w:sz w:val="24"/>
                <w:szCs w:val="24"/>
              </w:rPr>
              <w:t>7.2%</w:t>
            </w:r>
          </w:p>
        </w:tc>
      </w:tr>
      <w:tr w:rsidR="00E06B5A" w:rsidRPr="0003613D" w14:paraId="27D57EBE" w14:textId="77777777" w:rsidTr="00E06B5A">
        <w:tc>
          <w:tcPr>
            <w:tcW w:w="4508" w:type="dxa"/>
          </w:tcPr>
          <w:p w14:paraId="16E9A5E9" w14:textId="1557ED7A" w:rsidR="00E06B5A" w:rsidRPr="0003613D" w:rsidRDefault="00E06B5A" w:rsidP="00E06B5A">
            <w:pPr>
              <w:rPr>
                <w:rFonts w:ascii="Arial" w:eastAsia="Times New Roman" w:hAnsi="Arial" w:cs="Arial"/>
                <w:color w:val="000000"/>
                <w:sz w:val="24"/>
                <w:szCs w:val="24"/>
                <w:lang w:eastAsia="en-GB"/>
              </w:rPr>
            </w:pPr>
            <w:r w:rsidRPr="0003613D">
              <w:rPr>
                <w:rFonts w:ascii="Arial" w:eastAsia="Times New Roman" w:hAnsi="Arial" w:cs="Arial"/>
                <w:color w:val="000000"/>
                <w:sz w:val="24"/>
                <w:szCs w:val="24"/>
                <w:lang w:eastAsia="en-GB"/>
              </w:rPr>
              <w:t>Black or Black British Caribbean</w:t>
            </w:r>
          </w:p>
        </w:tc>
        <w:tc>
          <w:tcPr>
            <w:tcW w:w="3284" w:type="dxa"/>
          </w:tcPr>
          <w:p w14:paraId="1C8EA826" w14:textId="4DEF7D78" w:rsidR="00E06B5A" w:rsidRPr="0003613D" w:rsidRDefault="00E06B5A" w:rsidP="00E06B5A">
            <w:pPr>
              <w:rPr>
                <w:rFonts w:ascii="Arial" w:hAnsi="Arial" w:cs="Arial"/>
                <w:bCs/>
                <w:color w:val="000000" w:themeColor="text1"/>
                <w:sz w:val="24"/>
                <w:szCs w:val="24"/>
              </w:rPr>
            </w:pPr>
            <w:r w:rsidRPr="0003613D">
              <w:rPr>
                <w:rFonts w:ascii="Arial" w:hAnsi="Arial" w:cs="Arial"/>
                <w:bCs/>
                <w:color w:val="000000" w:themeColor="text1"/>
                <w:sz w:val="24"/>
                <w:szCs w:val="24"/>
              </w:rPr>
              <w:t>4.2%</w:t>
            </w:r>
          </w:p>
        </w:tc>
      </w:tr>
      <w:tr w:rsidR="00E06B5A" w:rsidRPr="0003613D" w14:paraId="6E38C5BB" w14:textId="77777777" w:rsidTr="00E06B5A">
        <w:tc>
          <w:tcPr>
            <w:tcW w:w="4508" w:type="dxa"/>
          </w:tcPr>
          <w:p w14:paraId="4D859D40" w14:textId="1F32F3A8" w:rsidR="00E06B5A" w:rsidRPr="0003613D" w:rsidRDefault="00E06B5A" w:rsidP="00E06B5A">
            <w:pPr>
              <w:rPr>
                <w:rFonts w:ascii="Arial" w:eastAsia="Times New Roman" w:hAnsi="Arial" w:cs="Arial"/>
                <w:color w:val="000000"/>
                <w:sz w:val="24"/>
                <w:szCs w:val="24"/>
                <w:lang w:eastAsia="en-GB"/>
              </w:rPr>
            </w:pPr>
            <w:r w:rsidRPr="0003613D">
              <w:rPr>
                <w:rFonts w:ascii="Arial" w:eastAsia="Times New Roman" w:hAnsi="Arial" w:cs="Arial"/>
                <w:color w:val="000000"/>
                <w:sz w:val="24"/>
                <w:szCs w:val="24"/>
                <w:lang w:eastAsia="en-GB"/>
              </w:rPr>
              <w:t>Black or Black British Other</w:t>
            </w:r>
          </w:p>
        </w:tc>
        <w:tc>
          <w:tcPr>
            <w:tcW w:w="3284" w:type="dxa"/>
          </w:tcPr>
          <w:p w14:paraId="19EE8388" w14:textId="5048D770" w:rsidR="00E06B5A" w:rsidRPr="0003613D" w:rsidRDefault="00E06B5A" w:rsidP="00E06B5A">
            <w:pPr>
              <w:rPr>
                <w:rFonts w:ascii="Arial" w:hAnsi="Arial" w:cs="Arial"/>
                <w:bCs/>
                <w:color w:val="000000" w:themeColor="text1"/>
                <w:sz w:val="24"/>
                <w:szCs w:val="24"/>
              </w:rPr>
            </w:pPr>
            <w:r w:rsidRPr="0003613D">
              <w:rPr>
                <w:rFonts w:ascii="Arial" w:hAnsi="Arial" w:cs="Arial"/>
                <w:bCs/>
                <w:color w:val="000000" w:themeColor="text1"/>
                <w:sz w:val="24"/>
                <w:szCs w:val="24"/>
              </w:rPr>
              <w:t>9%</w:t>
            </w:r>
          </w:p>
        </w:tc>
      </w:tr>
      <w:tr w:rsidR="00E06B5A" w:rsidRPr="0003613D" w14:paraId="50CB47F9" w14:textId="77777777" w:rsidTr="00E06B5A">
        <w:tc>
          <w:tcPr>
            <w:tcW w:w="4508" w:type="dxa"/>
          </w:tcPr>
          <w:p w14:paraId="78B21CD6" w14:textId="0A6067DF" w:rsidR="00E06B5A" w:rsidRPr="0003613D" w:rsidRDefault="00E06B5A" w:rsidP="00E06B5A">
            <w:pPr>
              <w:rPr>
                <w:rFonts w:ascii="Arial" w:eastAsia="Times New Roman" w:hAnsi="Arial" w:cs="Arial"/>
                <w:color w:val="000000"/>
                <w:sz w:val="24"/>
                <w:szCs w:val="24"/>
                <w:lang w:eastAsia="en-GB"/>
              </w:rPr>
            </w:pPr>
            <w:r w:rsidRPr="0003613D">
              <w:rPr>
                <w:rFonts w:ascii="Arial" w:eastAsia="Times New Roman" w:hAnsi="Arial" w:cs="Arial"/>
                <w:color w:val="000000"/>
                <w:sz w:val="24"/>
                <w:szCs w:val="24"/>
                <w:lang w:eastAsia="en-GB"/>
              </w:rPr>
              <w:t>Chinese or Other Ethnic Group Chinese</w:t>
            </w:r>
          </w:p>
        </w:tc>
        <w:tc>
          <w:tcPr>
            <w:tcW w:w="3284" w:type="dxa"/>
          </w:tcPr>
          <w:p w14:paraId="6409388C" w14:textId="055E060E" w:rsidR="00E06B5A" w:rsidRPr="0003613D" w:rsidRDefault="00E06B5A" w:rsidP="00E06B5A">
            <w:pPr>
              <w:rPr>
                <w:rFonts w:ascii="Arial" w:hAnsi="Arial" w:cs="Arial"/>
                <w:bCs/>
                <w:color w:val="000000" w:themeColor="text1"/>
                <w:sz w:val="24"/>
                <w:szCs w:val="24"/>
              </w:rPr>
            </w:pPr>
            <w:r w:rsidRPr="0003613D">
              <w:rPr>
                <w:rFonts w:ascii="Arial" w:hAnsi="Arial" w:cs="Arial"/>
                <w:bCs/>
                <w:color w:val="000000" w:themeColor="text1"/>
                <w:sz w:val="24"/>
                <w:szCs w:val="24"/>
              </w:rPr>
              <w:t>20%*</w:t>
            </w:r>
          </w:p>
        </w:tc>
      </w:tr>
      <w:tr w:rsidR="00E06B5A" w:rsidRPr="0003613D" w14:paraId="2458ECAA" w14:textId="77777777" w:rsidTr="00E06B5A">
        <w:tc>
          <w:tcPr>
            <w:tcW w:w="4508" w:type="dxa"/>
          </w:tcPr>
          <w:p w14:paraId="111BFCE8" w14:textId="166F597A" w:rsidR="00E06B5A" w:rsidRPr="0003613D" w:rsidRDefault="00E06B5A" w:rsidP="00E06B5A">
            <w:pPr>
              <w:rPr>
                <w:rFonts w:ascii="Arial" w:eastAsia="Times New Roman" w:hAnsi="Arial" w:cs="Arial"/>
                <w:color w:val="000000"/>
                <w:sz w:val="24"/>
                <w:szCs w:val="24"/>
                <w:lang w:eastAsia="en-GB"/>
              </w:rPr>
            </w:pPr>
            <w:r w:rsidRPr="0003613D">
              <w:rPr>
                <w:rFonts w:ascii="Arial" w:eastAsia="Times New Roman" w:hAnsi="Arial" w:cs="Arial"/>
                <w:color w:val="000000"/>
                <w:sz w:val="24"/>
                <w:szCs w:val="24"/>
                <w:lang w:eastAsia="en-GB"/>
              </w:rPr>
              <w:t>Chinese or Other Ethnic Group Other</w:t>
            </w:r>
          </w:p>
        </w:tc>
        <w:tc>
          <w:tcPr>
            <w:tcW w:w="3284" w:type="dxa"/>
          </w:tcPr>
          <w:p w14:paraId="79C20C25" w14:textId="3D7E32D0" w:rsidR="00E06B5A" w:rsidRPr="0003613D" w:rsidRDefault="00E06B5A" w:rsidP="00E06B5A">
            <w:pPr>
              <w:rPr>
                <w:rFonts w:ascii="Arial" w:hAnsi="Arial" w:cs="Arial"/>
                <w:bCs/>
                <w:color w:val="000000" w:themeColor="text1"/>
                <w:sz w:val="24"/>
                <w:szCs w:val="24"/>
              </w:rPr>
            </w:pPr>
            <w:r w:rsidRPr="0003613D">
              <w:rPr>
                <w:rFonts w:ascii="Arial" w:hAnsi="Arial" w:cs="Arial"/>
                <w:bCs/>
                <w:color w:val="000000" w:themeColor="text1"/>
                <w:sz w:val="24"/>
                <w:szCs w:val="24"/>
              </w:rPr>
              <w:t>0%**</w:t>
            </w:r>
          </w:p>
        </w:tc>
      </w:tr>
      <w:tr w:rsidR="00E06B5A" w:rsidRPr="0003613D" w14:paraId="28653E87" w14:textId="77777777" w:rsidTr="00E06B5A">
        <w:tc>
          <w:tcPr>
            <w:tcW w:w="4508" w:type="dxa"/>
          </w:tcPr>
          <w:p w14:paraId="63677B31" w14:textId="7D77E793" w:rsidR="00E06B5A" w:rsidRPr="0003613D" w:rsidRDefault="00E06B5A" w:rsidP="00E06B5A">
            <w:pPr>
              <w:rPr>
                <w:rFonts w:ascii="Arial" w:eastAsia="Times New Roman" w:hAnsi="Arial" w:cs="Arial"/>
                <w:color w:val="000000"/>
                <w:sz w:val="24"/>
                <w:szCs w:val="24"/>
                <w:lang w:eastAsia="en-GB"/>
              </w:rPr>
            </w:pPr>
            <w:r w:rsidRPr="0003613D">
              <w:rPr>
                <w:rFonts w:ascii="Arial" w:eastAsia="Times New Roman" w:hAnsi="Arial" w:cs="Arial"/>
                <w:color w:val="000000"/>
                <w:sz w:val="24"/>
                <w:szCs w:val="24"/>
                <w:lang w:eastAsia="en-GB"/>
              </w:rPr>
              <w:t>Gypsy</w:t>
            </w:r>
          </w:p>
        </w:tc>
        <w:tc>
          <w:tcPr>
            <w:tcW w:w="3284" w:type="dxa"/>
          </w:tcPr>
          <w:p w14:paraId="13EDE48A" w14:textId="2ABEED52" w:rsidR="00E06B5A" w:rsidRPr="0003613D" w:rsidRDefault="00E06B5A" w:rsidP="00E06B5A">
            <w:pPr>
              <w:rPr>
                <w:rFonts w:ascii="Arial" w:hAnsi="Arial" w:cs="Arial"/>
                <w:bCs/>
                <w:color w:val="000000" w:themeColor="text1"/>
                <w:sz w:val="24"/>
                <w:szCs w:val="24"/>
              </w:rPr>
            </w:pPr>
            <w:r w:rsidRPr="0003613D">
              <w:rPr>
                <w:rFonts w:ascii="Arial" w:hAnsi="Arial" w:cs="Arial"/>
                <w:bCs/>
                <w:color w:val="000000" w:themeColor="text1"/>
                <w:sz w:val="24"/>
                <w:szCs w:val="24"/>
              </w:rPr>
              <w:t>0%***</w:t>
            </w:r>
          </w:p>
        </w:tc>
      </w:tr>
      <w:tr w:rsidR="00E06B5A" w:rsidRPr="0003613D" w14:paraId="49FE404B" w14:textId="77777777" w:rsidTr="00E06B5A">
        <w:tc>
          <w:tcPr>
            <w:tcW w:w="4508" w:type="dxa"/>
          </w:tcPr>
          <w:p w14:paraId="3A166FC7" w14:textId="56220C88" w:rsidR="00E06B5A" w:rsidRPr="0003613D" w:rsidRDefault="00E06B5A" w:rsidP="00E06B5A">
            <w:pPr>
              <w:rPr>
                <w:rFonts w:ascii="Arial" w:eastAsia="Times New Roman" w:hAnsi="Arial" w:cs="Arial"/>
                <w:color w:val="000000"/>
                <w:sz w:val="24"/>
                <w:szCs w:val="24"/>
                <w:lang w:eastAsia="en-GB"/>
              </w:rPr>
            </w:pPr>
            <w:r w:rsidRPr="0003613D">
              <w:rPr>
                <w:rFonts w:ascii="Arial" w:eastAsia="Times New Roman" w:hAnsi="Arial" w:cs="Arial"/>
                <w:color w:val="000000"/>
                <w:sz w:val="24"/>
                <w:szCs w:val="24"/>
                <w:lang w:eastAsia="en-GB"/>
              </w:rPr>
              <w:t>Mixed Other</w:t>
            </w:r>
          </w:p>
        </w:tc>
        <w:tc>
          <w:tcPr>
            <w:tcW w:w="3284" w:type="dxa"/>
          </w:tcPr>
          <w:p w14:paraId="09CAF3F9" w14:textId="019CB4BD" w:rsidR="00E06B5A" w:rsidRPr="0003613D" w:rsidRDefault="00E06B5A" w:rsidP="00E06B5A">
            <w:pPr>
              <w:rPr>
                <w:rFonts w:ascii="Arial" w:hAnsi="Arial" w:cs="Arial"/>
                <w:bCs/>
                <w:color w:val="000000" w:themeColor="text1"/>
                <w:sz w:val="24"/>
                <w:szCs w:val="24"/>
              </w:rPr>
            </w:pPr>
            <w:r w:rsidRPr="0003613D">
              <w:rPr>
                <w:rFonts w:ascii="Arial" w:hAnsi="Arial" w:cs="Arial"/>
                <w:bCs/>
                <w:color w:val="000000" w:themeColor="text1"/>
                <w:sz w:val="24"/>
                <w:szCs w:val="24"/>
              </w:rPr>
              <w:t>9%</w:t>
            </w:r>
          </w:p>
        </w:tc>
      </w:tr>
      <w:tr w:rsidR="00E06B5A" w:rsidRPr="0003613D" w14:paraId="3225A283" w14:textId="77777777" w:rsidTr="00E06B5A">
        <w:tc>
          <w:tcPr>
            <w:tcW w:w="4508" w:type="dxa"/>
          </w:tcPr>
          <w:p w14:paraId="19E1689E" w14:textId="460DD2AA" w:rsidR="00E06B5A" w:rsidRPr="0003613D" w:rsidRDefault="00E06B5A" w:rsidP="00E06B5A">
            <w:pPr>
              <w:rPr>
                <w:rFonts w:ascii="Arial" w:eastAsia="Times New Roman" w:hAnsi="Arial" w:cs="Arial"/>
                <w:color w:val="000000"/>
                <w:sz w:val="24"/>
                <w:szCs w:val="24"/>
                <w:lang w:eastAsia="en-GB"/>
              </w:rPr>
            </w:pPr>
            <w:r w:rsidRPr="0003613D">
              <w:rPr>
                <w:rFonts w:ascii="Arial" w:eastAsia="Times New Roman" w:hAnsi="Arial" w:cs="Arial"/>
                <w:color w:val="000000"/>
                <w:sz w:val="24"/>
                <w:szCs w:val="24"/>
                <w:lang w:eastAsia="en-GB"/>
              </w:rPr>
              <w:t>Mixed White and Asian</w:t>
            </w:r>
          </w:p>
        </w:tc>
        <w:tc>
          <w:tcPr>
            <w:tcW w:w="3284" w:type="dxa"/>
          </w:tcPr>
          <w:p w14:paraId="77772DD1" w14:textId="1997B3A0" w:rsidR="00E06B5A" w:rsidRPr="0003613D" w:rsidRDefault="00E06B5A" w:rsidP="00E06B5A">
            <w:pPr>
              <w:rPr>
                <w:rFonts w:ascii="Arial" w:hAnsi="Arial" w:cs="Arial"/>
                <w:bCs/>
                <w:color w:val="000000" w:themeColor="text1"/>
                <w:sz w:val="24"/>
                <w:szCs w:val="24"/>
              </w:rPr>
            </w:pPr>
            <w:r w:rsidRPr="0003613D">
              <w:rPr>
                <w:rFonts w:ascii="Arial" w:hAnsi="Arial" w:cs="Arial"/>
                <w:bCs/>
                <w:color w:val="000000" w:themeColor="text1"/>
                <w:sz w:val="24"/>
                <w:szCs w:val="24"/>
              </w:rPr>
              <w:t>2.4%</w:t>
            </w:r>
          </w:p>
        </w:tc>
      </w:tr>
      <w:tr w:rsidR="00E06B5A" w:rsidRPr="0003613D" w14:paraId="1F659051" w14:textId="77777777" w:rsidTr="00E06B5A">
        <w:tc>
          <w:tcPr>
            <w:tcW w:w="4508" w:type="dxa"/>
          </w:tcPr>
          <w:p w14:paraId="5B8653ED" w14:textId="1978988E" w:rsidR="00E06B5A" w:rsidRPr="0003613D" w:rsidRDefault="00E06B5A" w:rsidP="00E06B5A">
            <w:pPr>
              <w:rPr>
                <w:rFonts w:ascii="Arial" w:eastAsia="Times New Roman" w:hAnsi="Arial" w:cs="Arial"/>
                <w:color w:val="000000"/>
                <w:sz w:val="24"/>
                <w:szCs w:val="24"/>
                <w:lang w:eastAsia="en-GB"/>
              </w:rPr>
            </w:pPr>
            <w:r w:rsidRPr="0003613D">
              <w:rPr>
                <w:rFonts w:ascii="Arial" w:eastAsia="Times New Roman" w:hAnsi="Arial" w:cs="Arial"/>
                <w:color w:val="000000"/>
                <w:sz w:val="24"/>
                <w:szCs w:val="24"/>
                <w:lang w:eastAsia="en-GB"/>
              </w:rPr>
              <w:t>Mixed White and Black African</w:t>
            </w:r>
          </w:p>
        </w:tc>
        <w:tc>
          <w:tcPr>
            <w:tcW w:w="3284" w:type="dxa"/>
          </w:tcPr>
          <w:p w14:paraId="4B4E8C34" w14:textId="5CAEB642" w:rsidR="00E06B5A" w:rsidRPr="0003613D" w:rsidRDefault="00E06B5A" w:rsidP="00E06B5A">
            <w:pPr>
              <w:rPr>
                <w:rFonts w:ascii="Arial" w:hAnsi="Arial" w:cs="Arial"/>
                <w:bCs/>
                <w:color w:val="000000" w:themeColor="text1"/>
                <w:sz w:val="24"/>
                <w:szCs w:val="24"/>
              </w:rPr>
            </w:pPr>
            <w:r w:rsidRPr="0003613D">
              <w:rPr>
                <w:rFonts w:ascii="Arial" w:hAnsi="Arial" w:cs="Arial"/>
                <w:bCs/>
                <w:color w:val="000000" w:themeColor="text1"/>
                <w:sz w:val="24"/>
                <w:szCs w:val="24"/>
              </w:rPr>
              <w:t>9.9%</w:t>
            </w:r>
          </w:p>
        </w:tc>
      </w:tr>
      <w:tr w:rsidR="00E06B5A" w:rsidRPr="0003613D" w14:paraId="30E6C05E" w14:textId="77777777" w:rsidTr="00E06B5A">
        <w:tc>
          <w:tcPr>
            <w:tcW w:w="4508" w:type="dxa"/>
          </w:tcPr>
          <w:p w14:paraId="5CB34D4D" w14:textId="4FDCB3D1" w:rsidR="00E06B5A" w:rsidRPr="0003613D" w:rsidRDefault="00E06B5A" w:rsidP="00E06B5A">
            <w:pPr>
              <w:rPr>
                <w:rFonts w:ascii="Arial" w:eastAsia="Times New Roman" w:hAnsi="Arial" w:cs="Arial"/>
                <w:color w:val="000000"/>
                <w:sz w:val="24"/>
                <w:szCs w:val="24"/>
                <w:lang w:eastAsia="en-GB"/>
              </w:rPr>
            </w:pPr>
            <w:r w:rsidRPr="0003613D">
              <w:rPr>
                <w:rFonts w:ascii="Arial" w:eastAsia="Times New Roman" w:hAnsi="Arial" w:cs="Arial"/>
                <w:color w:val="000000"/>
                <w:sz w:val="24"/>
                <w:szCs w:val="24"/>
                <w:lang w:eastAsia="en-GB"/>
              </w:rPr>
              <w:t>Mixed White and Black Caribbean</w:t>
            </w:r>
          </w:p>
        </w:tc>
        <w:tc>
          <w:tcPr>
            <w:tcW w:w="3284" w:type="dxa"/>
          </w:tcPr>
          <w:p w14:paraId="65A9747D" w14:textId="760EACA7" w:rsidR="00E06B5A" w:rsidRPr="0003613D" w:rsidRDefault="00E06B5A" w:rsidP="00E06B5A">
            <w:pPr>
              <w:rPr>
                <w:rFonts w:ascii="Arial" w:hAnsi="Arial" w:cs="Arial"/>
                <w:bCs/>
                <w:color w:val="000000" w:themeColor="text1"/>
                <w:sz w:val="24"/>
                <w:szCs w:val="24"/>
              </w:rPr>
            </w:pPr>
            <w:r w:rsidRPr="0003613D">
              <w:rPr>
                <w:rFonts w:ascii="Arial" w:hAnsi="Arial" w:cs="Arial"/>
                <w:bCs/>
                <w:color w:val="000000" w:themeColor="text1"/>
                <w:sz w:val="24"/>
                <w:szCs w:val="24"/>
              </w:rPr>
              <w:t>4.1%</w:t>
            </w:r>
          </w:p>
        </w:tc>
      </w:tr>
      <w:tr w:rsidR="00E06B5A" w:rsidRPr="0003613D" w14:paraId="1A762951" w14:textId="77777777" w:rsidTr="00E06B5A">
        <w:tc>
          <w:tcPr>
            <w:tcW w:w="4508" w:type="dxa"/>
          </w:tcPr>
          <w:p w14:paraId="747A9D1C" w14:textId="035EE840" w:rsidR="00E06B5A" w:rsidRPr="0003613D" w:rsidRDefault="00E06B5A" w:rsidP="00E06B5A">
            <w:pPr>
              <w:rPr>
                <w:rFonts w:ascii="Arial" w:eastAsia="Times New Roman" w:hAnsi="Arial" w:cs="Arial"/>
                <w:color w:val="000000"/>
                <w:sz w:val="24"/>
                <w:szCs w:val="24"/>
                <w:lang w:eastAsia="en-GB"/>
              </w:rPr>
            </w:pPr>
            <w:r w:rsidRPr="0003613D">
              <w:rPr>
                <w:rFonts w:ascii="Arial" w:eastAsia="Times New Roman" w:hAnsi="Arial" w:cs="Arial"/>
                <w:color w:val="000000"/>
                <w:sz w:val="24"/>
                <w:szCs w:val="24"/>
                <w:lang w:eastAsia="en-GB"/>
              </w:rPr>
              <w:t xml:space="preserve">White British </w:t>
            </w:r>
          </w:p>
        </w:tc>
        <w:tc>
          <w:tcPr>
            <w:tcW w:w="3284" w:type="dxa"/>
          </w:tcPr>
          <w:p w14:paraId="1EEA3814" w14:textId="635693F2" w:rsidR="00E06B5A" w:rsidRPr="0003613D" w:rsidRDefault="00E06B5A" w:rsidP="00E06B5A">
            <w:pPr>
              <w:rPr>
                <w:rFonts w:ascii="Arial" w:hAnsi="Arial" w:cs="Arial"/>
                <w:bCs/>
                <w:color w:val="000000" w:themeColor="text1"/>
                <w:sz w:val="24"/>
                <w:szCs w:val="24"/>
              </w:rPr>
            </w:pPr>
            <w:r w:rsidRPr="0003613D">
              <w:rPr>
                <w:rFonts w:ascii="Arial" w:hAnsi="Arial" w:cs="Arial"/>
                <w:bCs/>
                <w:color w:val="000000" w:themeColor="text1"/>
                <w:sz w:val="24"/>
                <w:szCs w:val="24"/>
              </w:rPr>
              <w:t>6.2%</w:t>
            </w:r>
          </w:p>
        </w:tc>
      </w:tr>
      <w:tr w:rsidR="00E06B5A" w:rsidRPr="0003613D" w14:paraId="3AEB3C84" w14:textId="77777777" w:rsidTr="00E06B5A">
        <w:tc>
          <w:tcPr>
            <w:tcW w:w="4508" w:type="dxa"/>
          </w:tcPr>
          <w:p w14:paraId="2AF61673" w14:textId="568365C1" w:rsidR="00E06B5A" w:rsidRPr="0003613D" w:rsidRDefault="00E06B5A" w:rsidP="00E06B5A">
            <w:pPr>
              <w:rPr>
                <w:rFonts w:ascii="Arial" w:eastAsia="Times New Roman" w:hAnsi="Arial" w:cs="Arial"/>
                <w:color w:val="000000"/>
                <w:sz w:val="24"/>
                <w:szCs w:val="24"/>
                <w:lang w:eastAsia="en-GB"/>
              </w:rPr>
            </w:pPr>
            <w:r w:rsidRPr="0003613D">
              <w:rPr>
                <w:rFonts w:ascii="Arial" w:eastAsia="Times New Roman" w:hAnsi="Arial" w:cs="Arial"/>
                <w:color w:val="000000"/>
                <w:sz w:val="24"/>
                <w:szCs w:val="24"/>
                <w:lang w:eastAsia="en-GB"/>
              </w:rPr>
              <w:t>White Irish</w:t>
            </w:r>
          </w:p>
        </w:tc>
        <w:tc>
          <w:tcPr>
            <w:tcW w:w="3284" w:type="dxa"/>
          </w:tcPr>
          <w:p w14:paraId="3DC7F412" w14:textId="4DE84973" w:rsidR="00E06B5A" w:rsidRPr="0003613D" w:rsidRDefault="00E06B5A" w:rsidP="00E06B5A">
            <w:pPr>
              <w:rPr>
                <w:rFonts w:ascii="Arial" w:hAnsi="Arial" w:cs="Arial"/>
                <w:bCs/>
                <w:color w:val="000000" w:themeColor="text1"/>
                <w:sz w:val="24"/>
                <w:szCs w:val="24"/>
              </w:rPr>
            </w:pPr>
            <w:r w:rsidRPr="0003613D">
              <w:rPr>
                <w:rFonts w:ascii="Arial" w:hAnsi="Arial" w:cs="Arial"/>
                <w:bCs/>
                <w:color w:val="000000" w:themeColor="text1"/>
                <w:sz w:val="24"/>
                <w:szCs w:val="24"/>
              </w:rPr>
              <w:t>6.5%</w:t>
            </w:r>
          </w:p>
        </w:tc>
      </w:tr>
      <w:tr w:rsidR="00E06B5A" w:rsidRPr="0003613D" w14:paraId="6289C700" w14:textId="77777777" w:rsidTr="00E06B5A">
        <w:tc>
          <w:tcPr>
            <w:tcW w:w="4508" w:type="dxa"/>
          </w:tcPr>
          <w:p w14:paraId="3CCEB66B" w14:textId="170841CA" w:rsidR="00E06B5A" w:rsidRPr="0003613D" w:rsidRDefault="00E06B5A" w:rsidP="00E06B5A">
            <w:pPr>
              <w:rPr>
                <w:rFonts w:ascii="Arial" w:eastAsia="Times New Roman" w:hAnsi="Arial" w:cs="Arial"/>
                <w:color w:val="000000"/>
                <w:sz w:val="24"/>
                <w:szCs w:val="24"/>
                <w:lang w:eastAsia="en-GB"/>
              </w:rPr>
            </w:pPr>
            <w:r w:rsidRPr="0003613D">
              <w:rPr>
                <w:rFonts w:ascii="Arial" w:eastAsia="Times New Roman" w:hAnsi="Arial" w:cs="Arial"/>
                <w:color w:val="000000"/>
                <w:sz w:val="24"/>
                <w:szCs w:val="24"/>
                <w:lang w:eastAsia="en-GB"/>
              </w:rPr>
              <w:t xml:space="preserve">White Other </w:t>
            </w:r>
          </w:p>
        </w:tc>
        <w:tc>
          <w:tcPr>
            <w:tcW w:w="3284" w:type="dxa"/>
          </w:tcPr>
          <w:p w14:paraId="6138FE89" w14:textId="06BE4EF9" w:rsidR="00E06B5A" w:rsidRPr="0003613D" w:rsidRDefault="00E06B5A" w:rsidP="00E06B5A">
            <w:pPr>
              <w:rPr>
                <w:rFonts w:ascii="Arial" w:hAnsi="Arial" w:cs="Arial"/>
                <w:bCs/>
                <w:color w:val="000000" w:themeColor="text1"/>
                <w:sz w:val="24"/>
                <w:szCs w:val="24"/>
              </w:rPr>
            </w:pPr>
            <w:r w:rsidRPr="0003613D">
              <w:rPr>
                <w:rFonts w:ascii="Arial" w:hAnsi="Arial" w:cs="Arial"/>
                <w:bCs/>
                <w:color w:val="000000" w:themeColor="text1"/>
                <w:sz w:val="24"/>
                <w:szCs w:val="24"/>
              </w:rPr>
              <w:t>9.3%</w:t>
            </w:r>
          </w:p>
        </w:tc>
      </w:tr>
      <w:tr w:rsidR="00E06B5A" w:rsidRPr="0003613D" w14:paraId="030407E7" w14:textId="77777777" w:rsidTr="00E06B5A">
        <w:tc>
          <w:tcPr>
            <w:tcW w:w="4508" w:type="dxa"/>
          </w:tcPr>
          <w:p w14:paraId="45127C23" w14:textId="5449EDA8" w:rsidR="00E06B5A" w:rsidRPr="0003613D" w:rsidRDefault="00E06B5A" w:rsidP="00E06B5A">
            <w:pPr>
              <w:rPr>
                <w:rFonts w:ascii="Arial" w:eastAsia="Times New Roman" w:hAnsi="Arial" w:cs="Arial"/>
                <w:color w:val="000000"/>
                <w:sz w:val="24"/>
                <w:szCs w:val="24"/>
                <w:lang w:eastAsia="en-GB"/>
              </w:rPr>
            </w:pPr>
            <w:r w:rsidRPr="0003613D">
              <w:rPr>
                <w:rFonts w:ascii="Arial" w:eastAsia="Times New Roman" w:hAnsi="Arial" w:cs="Arial"/>
                <w:color w:val="000000"/>
                <w:sz w:val="24"/>
                <w:szCs w:val="24"/>
                <w:lang w:eastAsia="en-GB"/>
              </w:rPr>
              <w:t>Average</w:t>
            </w:r>
          </w:p>
        </w:tc>
        <w:tc>
          <w:tcPr>
            <w:tcW w:w="3284" w:type="dxa"/>
          </w:tcPr>
          <w:p w14:paraId="7131151E" w14:textId="25B1FBC7" w:rsidR="00E06B5A" w:rsidRPr="0003613D" w:rsidRDefault="001277EA" w:rsidP="00E06B5A">
            <w:pPr>
              <w:rPr>
                <w:rFonts w:ascii="Arial" w:hAnsi="Arial" w:cs="Arial"/>
                <w:bCs/>
                <w:color w:val="000000" w:themeColor="text1"/>
                <w:sz w:val="24"/>
                <w:szCs w:val="24"/>
              </w:rPr>
            </w:pPr>
            <w:r w:rsidRPr="0003613D">
              <w:rPr>
                <w:rFonts w:ascii="Arial" w:hAnsi="Arial" w:cs="Arial"/>
                <w:bCs/>
                <w:color w:val="000000" w:themeColor="text1"/>
                <w:sz w:val="24"/>
                <w:szCs w:val="24"/>
              </w:rPr>
              <w:t>8.8%****</w:t>
            </w:r>
          </w:p>
        </w:tc>
      </w:tr>
    </w:tbl>
    <w:p w14:paraId="6C6578D3" w14:textId="77777777" w:rsidR="00E06B5A" w:rsidRPr="0003613D" w:rsidRDefault="00E06B5A">
      <w:pPr>
        <w:rPr>
          <w:rFonts w:ascii="Arial" w:hAnsi="Arial" w:cs="Arial"/>
          <w:bCs/>
          <w:color w:val="000000" w:themeColor="text1"/>
          <w:sz w:val="24"/>
          <w:szCs w:val="24"/>
        </w:rPr>
      </w:pPr>
    </w:p>
    <w:p w14:paraId="04081800" w14:textId="5FF61B3F" w:rsidR="001277EA" w:rsidRPr="0003613D" w:rsidRDefault="001277EA" w:rsidP="001277EA">
      <w:pPr>
        <w:rPr>
          <w:rFonts w:ascii="Arial" w:hAnsi="Arial" w:cs="Arial"/>
          <w:bCs/>
          <w:color w:val="000000" w:themeColor="text1"/>
          <w:sz w:val="24"/>
          <w:szCs w:val="24"/>
        </w:rPr>
      </w:pPr>
      <w:r w:rsidRPr="0003613D">
        <w:rPr>
          <w:rFonts w:ascii="Arial" w:hAnsi="Arial" w:cs="Arial"/>
          <w:bCs/>
          <w:color w:val="000000" w:themeColor="text1"/>
          <w:sz w:val="24"/>
          <w:szCs w:val="24"/>
        </w:rPr>
        <w:t>*A small sample size was used to calculate this percentage.</w:t>
      </w:r>
    </w:p>
    <w:p w14:paraId="7205B39E" w14:textId="4EA151C6" w:rsidR="001277EA" w:rsidRPr="0003613D" w:rsidRDefault="001277EA" w:rsidP="001277EA">
      <w:pPr>
        <w:rPr>
          <w:rFonts w:ascii="Arial" w:hAnsi="Arial" w:cs="Arial"/>
          <w:bCs/>
          <w:color w:val="000000" w:themeColor="text1"/>
          <w:sz w:val="24"/>
          <w:szCs w:val="24"/>
        </w:rPr>
      </w:pPr>
      <w:r w:rsidRPr="0003613D">
        <w:rPr>
          <w:rFonts w:ascii="Arial" w:hAnsi="Arial" w:cs="Arial"/>
          <w:bCs/>
          <w:color w:val="000000" w:themeColor="text1"/>
          <w:sz w:val="24"/>
          <w:szCs w:val="24"/>
        </w:rPr>
        <w:t>**A small sample size was used to calculate this percentage.</w:t>
      </w:r>
    </w:p>
    <w:p w14:paraId="0C4672F6" w14:textId="7CD6E44C" w:rsidR="001277EA" w:rsidRPr="0003613D" w:rsidRDefault="001277EA" w:rsidP="001277EA">
      <w:pPr>
        <w:rPr>
          <w:rFonts w:ascii="Arial" w:hAnsi="Arial" w:cs="Arial"/>
          <w:bCs/>
          <w:color w:val="000000" w:themeColor="text1"/>
          <w:sz w:val="24"/>
          <w:szCs w:val="24"/>
        </w:rPr>
      </w:pPr>
      <w:r w:rsidRPr="0003613D">
        <w:rPr>
          <w:rFonts w:ascii="Arial" w:hAnsi="Arial" w:cs="Arial"/>
          <w:bCs/>
          <w:color w:val="000000" w:themeColor="text1"/>
          <w:sz w:val="24"/>
          <w:szCs w:val="24"/>
        </w:rPr>
        <w:t>***There was insufficient data to calculate a percentage</w:t>
      </w:r>
    </w:p>
    <w:p w14:paraId="24B457D1" w14:textId="73B92C83" w:rsidR="000D3A39" w:rsidRPr="0003613D" w:rsidRDefault="001277EA">
      <w:pPr>
        <w:rPr>
          <w:rFonts w:ascii="Arial" w:hAnsi="Arial" w:cs="Arial"/>
          <w:bCs/>
          <w:color w:val="000000" w:themeColor="text1"/>
          <w:sz w:val="24"/>
          <w:szCs w:val="24"/>
        </w:rPr>
      </w:pPr>
      <w:r w:rsidRPr="0003613D">
        <w:rPr>
          <w:rFonts w:ascii="Arial" w:hAnsi="Arial" w:cs="Arial"/>
          <w:bCs/>
          <w:color w:val="000000" w:themeColor="text1"/>
          <w:sz w:val="24"/>
          <w:szCs w:val="24"/>
        </w:rPr>
        <w:t xml:space="preserve">****The average is calculated using the mean of all groups, not accounting for the number of households pertaining to each group. The average does not include the percentage for the groups Chinese or Other Ethnic Group Chinese, </w:t>
      </w:r>
      <w:r w:rsidRPr="0003613D">
        <w:rPr>
          <w:rFonts w:ascii="Arial" w:eastAsia="Times New Roman" w:hAnsi="Arial" w:cs="Arial"/>
          <w:color w:val="000000"/>
          <w:sz w:val="24"/>
          <w:szCs w:val="24"/>
          <w:lang w:eastAsia="en-GB"/>
        </w:rPr>
        <w:t>Chinese or Other Ethnic Group Other and Gypsy households</w:t>
      </w:r>
      <w:r w:rsidR="00CF3866" w:rsidRPr="0003613D">
        <w:rPr>
          <w:rFonts w:ascii="Arial" w:eastAsia="Times New Roman" w:hAnsi="Arial" w:cs="Arial"/>
          <w:color w:val="000000"/>
          <w:sz w:val="24"/>
          <w:szCs w:val="24"/>
          <w:lang w:eastAsia="en-GB"/>
        </w:rPr>
        <w:t>.</w:t>
      </w:r>
    </w:p>
    <w:p w14:paraId="563B50D2" w14:textId="780EA528" w:rsidR="00F25FC1" w:rsidRPr="0003613D" w:rsidRDefault="00D3135D">
      <w:pPr>
        <w:rPr>
          <w:rFonts w:ascii="Arial" w:hAnsi="Arial" w:cs="Arial"/>
          <w:b/>
          <w:sz w:val="24"/>
          <w:szCs w:val="24"/>
        </w:rPr>
      </w:pPr>
      <w:r w:rsidRPr="0003613D">
        <w:rPr>
          <w:rFonts w:ascii="Arial" w:hAnsi="Arial" w:cs="Arial"/>
          <w:b/>
          <w:sz w:val="24"/>
          <w:szCs w:val="24"/>
        </w:rPr>
        <w:t>Gyps</w:t>
      </w:r>
      <w:r w:rsidR="00362843" w:rsidRPr="0003613D">
        <w:rPr>
          <w:rFonts w:ascii="Arial" w:hAnsi="Arial" w:cs="Arial"/>
          <w:b/>
          <w:sz w:val="24"/>
          <w:szCs w:val="24"/>
        </w:rPr>
        <w:t>y,</w:t>
      </w:r>
      <w:r w:rsidRPr="0003613D">
        <w:rPr>
          <w:rFonts w:ascii="Arial" w:hAnsi="Arial" w:cs="Arial"/>
          <w:b/>
          <w:sz w:val="24"/>
          <w:szCs w:val="24"/>
        </w:rPr>
        <w:t xml:space="preserve"> </w:t>
      </w:r>
      <w:r w:rsidR="00362843" w:rsidRPr="0003613D">
        <w:rPr>
          <w:rFonts w:ascii="Arial" w:hAnsi="Arial" w:cs="Arial"/>
          <w:b/>
          <w:sz w:val="24"/>
          <w:szCs w:val="24"/>
        </w:rPr>
        <w:t>Roma</w:t>
      </w:r>
      <w:r w:rsidR="00354FAC" w:rsidRPr="0003613D">
        <w:rPr>
          <w:rFonts w:ascii="Arial" w:hAnsi="Arial" w:cs="Arial"/>
          <w:b/>
          <w:sz w:val="24"/>
          <w:szCs w:val="24"/>
        </w:rPr>
        <w:t>,</w:t>
      </w:r>
      <w:r w:rsidR="00362843" w:rsidRPr="0003613D">
        <w:rPr>
          <w:rFonts w:ascii="Arial" w:hAnsi="Arial" w:cs="Arial"/>
          <w:b/>
          <w:sz w:val="24"/>
          <w:szCs w:val="24"/>
        </w:rPr>
        <w:t xml:space="preserve"> </w:t>
      </w:r>
      <w:r w:rsidRPr="0003613D">
        <w:rPr>
          <w:rFonts w:ascii="Arial" w:hAnsi="Arial" w:cs="Arial"/>
          <w:b/>
          <w:sz w:val="24"/>
          <w:szCs w:val="24"/>
        </w:rPr>
        <w:t>and Traveller</w:t>
      </w:r>
      <w:r w:rsidR="00362843" w:rsidRPr="0003613D">
        <w:rPr>
          <w:rFonts w:ascii="Arial" w:hAnsi="Arial" w:cs="Arial"/>
          <w:b/>
          <w:sz w:val="24"/>
          <w:szCs w:val="24"/>
        </w:rPr>
        <w:t xml:space="preserve"> communities</w:t>
      </w:r>
      <w:r w:rsidRPr="0003613D">
        <w:rPr>
          <w:rFonts w:ascii="Arial" w:hAnsi="Arial" w:cs="Arial"/>
          <w:b/>
          <w:sz w:val="24"/>
          <w:szCs w:val="24"/>
        </w:rPr>
        <w:t xml:space="preserve"> residing in permanent dwellings </w:t>
      </w:r>
      <w:r w:rsidR="00803223" w:rsidRPr="0003613D">
        <w:rPr>
          <w:rFonts w:ascii="Arial" w:hAnsi="Arial" w:cs="Arial"/>
          <w:b/>
          <w:sz w:val="24"/>
          <w:szCs w:val="24"/>
        </w:rPr>
        <w:t xml:space="preserve"> </w:t>
      </w:r>
    </w:p>
    <w:p w14:paraId="7CED480E" w14:textId="55C6B27B" w:rsidR="002720CA" w:rsidRPr="0003613D" w:rsidRDefault="002720CA">
      <w:pPr>
        <w:rPr>
          <w:rFonts w:ascii="Arial" w:eastAsia="Calibri" w:hAnsi="Arial" w:cs="Arial"/>
          <w:sz w:val="24"/>
          <w:szCs w:val="24"/>
        </w:rPr>
      </w:pPr>
      <w:r w:rsidRPr="0003613D">
        <w:rPr>
          <w:rFonts w:ascii="Arial" w:eastAsia="Calibri" w:hAnsi="Arial" w:cs="Arial"/>
          <w:sz w:val="24"/>
          <w:szCs w:val="24"/>
        </w:rPr>
        <w:t>There is a long history of Gypsies and Travellers residing in the Black Country</w:t>
      </w:r>
      <w:r w:rsidR="00F4798F" w:rsidRPr="0003613D">
        <w:rPr>
          <w:rFonts w:ascii="Arial" w:eastAsia="Calibri" w:hAnsi="Arial" w:cs="Arial"/>
          <w:sz w:val="24"/>
          <w:szCs w:val="24"/>
        </w:rPr>
        <w:t>.</w:t>
      </w:r>
      <w:r w:rsidR="00B602C6" w:rsidRPr="0003613D">
        <w:rPr>
          <w:rFonts w:ascii="Arial" w:eastAsia="Calibri" w:hAnsi="Arial" w:cs="Arial"/>
          <w:sz w:val="24"/>
          <w:szCs w:val="24"/>
        </w:rPr>
        <w:t xml:space="preserve"> </w:t>
      </w:r>
    </w:p>
    <w:p w14:paraId="02313859" w14:textId="7045D1D8" w:rsidR="00A26DDB" w:rsidRPr="0003613D" w:rsidRDefault="00D30842">
      <w:pPr>
        <w:rPr>
          <w:rFonts w:ascii="Arial" w:eastAsia="Times New Roman" w:hAnsi="Arial" w:cs="Arial"/>
          <w:sz w:val="24"/>
          <w:szCs w:val="24"/>
          <w:lang w:eastAsia="en-GB"/>
        </w:rPr>
      </w:pPr>
      <w:r w:rsidRPr="0003613D">
        <w:rPr>
          <w:rFonts w:ascii="Arial" w:eastAsia="Times New Roman" w:hAnsi="Arial" w:cs="Arial"/>
          <w:sz w:val="24"/>
          <w:szCs w:val="24"/>
          <w:lang w:eastAsia="en-GB"/>
        </w:rPr>
        <w:lastRenderedPageBreak/>
        <w:t>The collective term Gypsey refers to English Gypsies, Scottish Gypsies or Travellers, Welsh Gypsies and other Romany people. The term Irish Traveller refers to travellers with specific Irish roots and the term Roma refers to migrants from Central and Eastern Europe. The 2021 Census presents data separately for the Gypsy or Irish Traveller group and Roma people</w:t>
      </w:r>
      <w:r w:rsidR="005A02B8" w:rsidRPr="0003613D">
        <w:rPr>
          <w:rFonts w:ascii="Arial" w:eastAsia="Times New Roman" w:hAnsi="Arial" w:cs="Arial"/>
          <w:sz w:val="24"/>
          <w:szCs w:val="24"/>
          <w:lang w:eastAsia="en-GB"/>
        </w:rPr>
        <w:t xml:space="preserve"> [44]</w:t>
      </w:r>
      <w:r w:rsidRPr="0003613D">
        <w:rPr>
          <w:rFonts w:ascii="Arial" w:eastAsia="Times New Roman" w:hAnsi="Arial" w:cs="Arial"/>
          <w:sz w:val="24"/>
          <w:szCs w:val="24"/>
          <w:lang w:eastAsia="en-GB"/>
        </w:rPr>
        <w:t xml:space="preserve">. </w:t>
      </w:r>
    </w:p>
    <w:p w14:paraId="6C35B889" w14:textId="42BA0674" w:rsidR="00F4798F" w:rsidRPr="0003613D" w:rsidRDefault="00C81458">
      <w:pPr>
        <w:rPr>
          <w:rFonts w:ascii="Arial" w:eastAsia="Calibri" w:hAnsi="Arial" w:cs="Arial"/>
          <w:sz w:val="24"/>
          <w:szCs w:val="24"/>
        </w:rPr>
      </w:pPr>
      <w:r w:rsidRPr="0003613D">
        <w:rPr>
          <w:rFonts w:ascii="Arial" w:eastAsia="Calibri" w:hAnsi="Arial" w:cs="Arial"/>
          <w:sz w:val="24"/>
          <w:szCs w:val="24"/>
        </w:rPr>
        <w:t>According to the 2021 Census, i</w:t>
      </w:r>
      <w:r w:rsidR="009F7A40" w:rsidRPr="0003613D">
        <w:rPr>
          <w:rFonts w:ascii="Arial" w:eastAsia="Calibri" w:hAnsi="Arial" w:cs="Arial"/>
          <w:sz w:val="24"/>
          <w:szCs w:val="24"/>
        </w:rPr>
        <w:t>n Sandwell there were 324 Gypsies or Irish Travellers</w:t>
      </w:r>
      <w:r w:rsidR="008E380E" w:rsidRPr="0003613D">
        <w:rPr>
          <w:rFonts w:ascii="Arial" w:eastAsia="Calibri" w:hAnsi="Arial" w:cs="Arial"/>
          <w:sz w:val="24"/>
          <w:szCs w:val="24"/>
        </w:rPr>
        <w:t xml:space="preserve"> (0.09% of the population)</w:t>
      </w:r>
      <w:r w:rsidR="009F7A40" w:rsidRPr="0003613D">
        <w:rPr>
          <w:rFonts w:ascii="Arial" w:eastAsia="Calibri" w:hAnsi="Arial" w:cs="Arial"/>
          <w:sz w:val="24"/>
          <w:szCs w:val="24"/>
        </w:rPr>
        <w:t xml:space="preserve"> and 375 Roma people</w:t>
      </w:r>
      <w:r w:rsidR="00776CE3" w:rsidRPr="0003613D">
        <w:rPr>
          <w:rFonts w:ascii="Arial" w:eastAsia="Calibri" w:hAnsi="Arial" w:cs="Arial"/>
          <w:sz w:val="24"/>
          <w:szCs w:val="24"/>
        </w:rPr>
        <w:t xml:space="preserve"> </w:t>
      </w:r>
      <w:r w:rsidR="008E380E" w:rsidRPr="0003613D">
        <w:rPr>
          <w:rFonts w:ascii="Arial" w:eastAsia="Calibri" w:hAnsi="Arial" w:cs="Arial"/>
          <w:sz w:val="24"/>
          <w:szCs w:val="24"/>
        </w:rPr>
        <w:t>(0.11% of the population)</w:t>
      </w:r>
      <w:r w:rsidRPr="0003613D">
        <w:rPr>
          <w:rFonts w:ascii="Arial" w:eastAsia="Calibri" w:hAnsi="Arial" w:cs="Arial"/>
          <w:sz w:val="24"/>
          <w:szCs w:val="24"/>
        </w:rPr>
        <w:t>.</w:t>
      </w:r>
      <w:r w:rsidR="008E380E" w:rsidRPr="0003613D">
        <w:rPr>
          <w:rFonts w:ascii="Arial" w:eastAsia="Calibri" w:hAnsi="Arial" w:cs="Arial"/>
          <w:sz w:val="24"/>
          <w:szCs w:val="24"/>
        </w:rPr>
        <w:t xml:space="preserve"> </w:t>
      </w:r>
      <w:r w:rsidR="00055508" w:rsidRPr="0003613D">
        <w:rPr>
          <w:rFonts w:ascii="Arial" w:eastAsia="Calibri" w:hAnsi="Arial" w:cs="Arial"/>
          <w:sz w:val="24"/>
          <w:szCs w:val="24"/>
        </w:rPr>
        <w:t>There were 31 Gypsy households on the housing register as of March 2025.</w:t>
      </w:r>
    </w:p>
    <w:p w14:paraId="356BF2E6" w14:textId="77777777" w:rsidR="00483DC6" w:rsidRPr="0003613D" w:rsidRDefault="00F4798F">
      <w:pPr>
        <w:rPr>
          <w:rFonts w:ascii="Arial" w:eastAsia="Calibri" w:hAnsi="Arial" w:cs="Arial"/>
          <w:sz w:val="24"/>
          <w:szCs w:val="24"/>
        </w:rPr>
      </w:pPr>
      <w:r w:rsidRPr="0003613D">
        <w:rPr>
          <w:rFonts w:ascii="Arial" w:eastAsia="Calibri" w:hAnsi="Arial" w:cs="Arial"/>
          <w:sz w:val="24"/>
          <w:szCs w:val="24"/>
        </w:rPr>
        <w:t xml:space="preserve">‘White Gypsy or Irish Traveller’ was the smallest ethic group in the West Midlands in the 2021 census, with a population of 6,207. The next smallest ethnic group was ‘White Roma’ with a population of 6,809. </w:t>
      </w:r>
    </w:p>
    <w:p w14:paraId="7A101564" w14:textId="5315AAF3" w:rsidR="00F4798F" w:rsidRPr="0003613D" w:rsidRDefault="00111EF8">
      <w:pPr>
        <w:rPr>
          <w:rFonts w:ascii="Arial" w:eastAsia="Calibri" w:hAnsi="Arial" w:cs="Arial"/>
          <w:sz w:val="24"/>
          <w:szCs w:val="24"/>
        </w:rPr>
      </w:pPr>
      <w:r w:rsidRPr="0003613D">
        <w:rPr>
          <w:rFonts w:ascii="Arial" w:eastAsia="Calibri" w:hAnsi="Arial" w:cs="Arial"/>
          <w:sz w:val="24"/>
          <w:szCs w:val="24"/>
        </w:rPr>
        <w:t>Data from the Black Country Gypsy and Traveller Accommodation Assessment, indicates that Sandwell has the lowest proportion of the total number of Gypsies</w:t>
      </w:r>
      <w:r w:rsidR="00A26DDB" w:rsidRPr="0003613D">
        <w:rPr>
          <w:rFonts w:ascii="Arial" w:eastAsia="Calibri" w:hAnsi="Arial" w:cs="Arial"/>
          <w:sz w:val="24"/>
          <w:szCs w:val="24"/>
        </w:rPr>
        <w:t>,</w:t>
      </w:r>
      <w:r w:rsidRPr="0003613D">
        <w:rPr>
          <w:rFonts w:ascii="Arial" w:eastAsia="Calibri" w:hAnsi="Arial" w:cs="Arial"/>
          <w:sz w:val="24"/>
          <w:szCs w:val="24"/>
        </w:rPr>
        <w:t xml:space="preserve"> </w:t>
      </w:r>
      <w:r w:rsidR="00A26DDB" w:rsidRPr="0003613D">
        <w:rPr>
          <w:rFonts w:ascii="Arial" w:eastAsia="Calibri" w:hAnsi="Arial" w:cs="Arial"/>
          <w:sz w:val="24"/>
          <w:szCs w:val="24"/>
        </w:rPr>
        <w:t xml:space="preserve">Irish </w:t>
      </w:r>
      <w:r w:rsidRPr="0003613D">
        <w:rPr>
          <w:rFonts w:ascii="Arial" w:eastAsia="Calibri" w:hAnsi="Arial" w:cs="Arial"/>
          <w:sz w:val="24"/>
          <w:szCs w:val="24"/>
        </w:rPr>
        <w:t xml:space="preserve">Travellers </w:t>
      </w:r>
      <w:r w:rsidR="00A26DDB" w:rsidRPr="0003613D">
        <w:rPr>
          <w:rFonts w:ascii="Arial" w:eastAsia="Calibri" w:hAnsi="Arial" w:cs="Arial"/>
          <w:sz w:val="24"/>
          <w:szCs w:val="24"/>
        </w:rPr>
        <w:t xml:space="preserve">and Roma people </w:t>
      </w:r>
      <w:r w:rsidRPr="0003613D">
        <w:rPr>
          <w:rFonts w:ascii="Arial" w:eastAsia="Calibri" w:hAnsi="Arial" w:cs="Arial"/>
          <w:sz w:val="24"/>
          <w:szCs w:val="24"/>
        </w:rPr>
        <w:t>in the Black Country of all 4 local authority areas</w:t>
      </w:r>
      <w:r w:rsidR="00A26DDB" w:rsidRPr="0003613D">
        <w:rPr>
          <w:rFonts w:ascii="Arial" w:eastAsia="Calibri" w:hAnsi="Arial" w:cs="Arial"/>
          <w:sz w:val="24"/>
          <w:szCs w:val="24"/>
        </w:rPr>
        <w:t xml:space="preserve"> (just 5%)</w:t>
      </w:r>
      <w:r w:rsidR="005A02B8" w:rsidRPr="0003613D">
        <w:rPr>
          <w:rFonts w:ascii="Arial" w:eastAsia="Calibri" w:hAnsi="Arial" w:cs="Arial"/>
          <w:sz w:val="24"/>
          <w:szCs w:val="24"/>
        </w:rPr>
        <w:t xml:space="preserve"> [45]</w:t>
      </w:r>
      <w:r w:rsidRPr="0003613D">
        <w:rPr>
          <w:rFonts w:ascii="Arial" w:eastAsia="Calibri" w:hAnsi="Arial" w:cs="Arial"/>
          <w:sz w:val="24"/>
          <w:szCs w:val="24"/>
        </w:rPr>
        <w:t xml:space="preserve">. </w:t>
      </w:r>
      <w:r w:rsidR="00483DC6" w:rsidRPr="0003613D">
        <w:rPr>
          <w:rFonts w:ascii="Arial" w:eastAsia="Calibri" w:hAnsi="Arial" w:cs="Arial"/>
          <w:sz w:val="24"/>
          <w:szCs w:val="24"/>
        </w:rPr>
        <w:t xml:space="preserve">This may be reflective of the lack of pitching sites available within the borough. There is currently </w:t>
      </w:r>
      <w:r w:rsidR="00A26DDB" w:rsidRPr="0003613D">
        <w:rPr>
          <w:rFonts w:ascii="Arial" w:eastAsia="Calibri" w:hAnsi="Arial" w:cs="Arial"/>
          <w:sz w:val="24"/>
          <w:szCs w:val="24"/>
        </w:rPr>
        <w:t xml:space="preserve">only </w:t>
      </w:r>
      <w:r w:rsidR="00483DC6" w:rsidRPr="0003613D">
        <w:rPr>
          <w:rFonts w:ascii="Arial" w:eastAsia="Calibri" w:hAnsi="Arial" w:cs="Arial"/>
          <w:sz w:val="24"/>
          <w:szCs w:val="24"/>
        </w:rPr>
        <w:t xml:space="preserve">one permanent traveller site in Sandwell, with 16 pitches at Hillside View, Brierley Lane, and Bilston. The number of pitching sites (16) in Sandwell, is lower than that in the other Black Country local authority areas. The table below presents the number of </w:t>
      </w:r>
      <w:r w:rsidR="00983737" w:rsidRPr="0003613D">
        <w:rPr>
          <w:rFonts w:ascii="Arial" w:eastAsia="Calibri" w:hAnsi="Arial" w:cs="Arial"/>
          <w:sz w:val="24"/>
          <w:szCs w:val="24"/>
        </w:rPr>
        <w:t xml:space="preserve">authorised </w:t>
      </w:r>
      <w:r w:rsidR="00483DC6" w:rsidRPr="0003613D">
        <w:rPr>
          <w:rFonts w:ascii="Arial" w:eastAsia="Calibri" w:hAnsi="Arial" w:cs="Arial"/>
          <w:sz w:val="24"/>
          <w:szCs w:val="24"/>
        </w:rPr>
        <w:t>pitches available in each Black Country local authority area</w:t>
      </w:r>
      <w:r w:rsidR="005A02B8" w:rsidRPr="0003613D">
        <w:rPr>
          <w:rFonts w:ascii="Arial" w:eastAsia="Calibri" w:hAnsi="Arial" w:cs="Arial"/>
          <w:sz w:val="24"/>
          <w:szCs w:val="24"/>
        </w:rPr>
        <w:t xml:space="preserve"> [46]</w:t>
      </w:r>
      <w:r w:rsidR="00483DC6" w:rsidRPr="0003613D">
        <w:rPr>
          <w:rFonts w:ascii="Arial" w:eastAsia="Calibri" w:hAnsi="Arial" w:cs="Arial"/>
          <w:sz w:val="24"/>
          <w:szCs w:val="24"/>
        </w:rPr>
        <w:t xml:space="preserve">.  </w:t>
      </w:r>
    </w:p>
    <w:tbl>
      <w:tblPr>
        <w:tblStyle w:val="TableGrid"/>
        <w:tblW w:w="0" w:type="auto"/>
        <w:tblLook w:val="04A0" w:firstRow="1" w:lastRow="0" w:firstColumn="1" w:lastColumn="0" w:noHBand="0" w:noVBand="1"/>
      </w:tblPr>
      <w:tblGrid>
        <w:gridCol w:w="3005"/>
        <w:gridCol w:w="3005"/>
        <w:gridCol w:w="3006"/>
      </w:tblGrid>
      <w:tr w:rsidR="00983737" w:rsidRPr="0003613D" w14:paraId="06B21C70" w14:textId="77777777" w:rsidTr="00983737">
        <w:tc>
          <w:tcPr>
            <w:tcW w:w="3005" w:type="dxa"/>
          </w:tcPr>
          <w:p w14:paraId="4D8B5C95" w14:textId="3E66D1AA" w:rsidR="00983737" w:rsidRPr="0003613D" w:rsidRDefault="00983737">
            <w:pPr>
              <w:rPr>
                <w:rFonts w:ascii="Arial" w:eastAsia="Calibri" w:hAnsi="Arial" w:cs="Arial"/>
                <w:b/>
                <w:bCs/>
                <w:sz w:val="24"/>
                <w:szCs w:val="24"/>
              </w:rPr>
            </w:pPr>
            <w:r w:rsidRPr="0003613D">
              <w:rPr>
                <w:rFonts w:ascii="Arial" w:eastAsia="Calibri" w:hAnsi="Arial" w:cs="Arial"/>
                <w:b/>
                <w:bCs/>
                <w:sz w:val="24"/>
                <w:szCs w:val="24"/>
              </w:rPr>
              <w:t xml:space="preserve">Local Authority Area </w:t>
            </w:r>
          </w:p>
        </w:tc>
        <w:tc>
          <w:tcPr>
            <w:tcW w:w="3005" w:type="dxa"/>
          </w:tcPr>
          <w:p w14:paraId="766B9E3C" w14:textId="127914B8" w:rsidR="00983737" w:rsidRPr="0003613D" w:rsidRDefault="00983737">
            <w:pPr>
              <w:rPr>
                <w:rFonts w:ascii="Arial" w:eastAsia="Calibri" w:hAnsi="Arial" w:cs="Arial"/>
                <w:b/>
                <w:bCs/>
                <w:sz w:val="24"/>
                <w:szCs w:val="24"/>
              </w:rPr>
            </w:pPr>
            <w:r w:rsidRPr="0003613D">
              <w:rPr>
                <w:rFonts w:ascii="Arial" w:eastAsia="Calibri" w:hAnsi="Arial" w:cs="Arial"/>
                <w:b/>
                <w:bCs/>
                <w:sz w:val="24"/>
                <w:szCs w:val="24"/>
              </w:rPr>
              <w:t>Sites</w:t>
            </w:r>
          </w:p>
        </w:tc>
        <w:tc>
          <w:tcPr>
            <w:tcW w:w="3006" w:type="dxa"/>
          </w:tcPr>
          <w:p w14:paraId="19A26966" w14:textId="44D5D2B9" w:rsidR="00983737" w:rsidRPr="0003613D" w:rsidRDefault="00983737">
            <w:pPr>
              <w:rPr>
                <w:rFonts w:ascii="Arial" w:eastAsia="Calibri" w:hAnsi="Arial" w:cs="Arial"/>
                <w:b/>
                <w:bCs/>
                <w:sz w:val="24"/>
                <w:szCs w:val="24"/>
              </w:rPr>
            </w:pPr>
            <w:r w:rsidRPr="0003613D">
              <w:rPr>
                <w:rFonts w:ascii="Arial" w:eastAsia="Calibri" w:hAnsi="Arial" w:cs="Arial"/>
                <w:b/>
                <w:bCs/>
                <w:sz w:val="24"/>
                <w:szCs w:val="24"/>
              </w:rPr>
              <w:t>Pitches</w:t>
            </w:r>
          </w:p>
        </w:tc>
      </w:tr>
      <w:tr w:rsidR="00983737" w:rsidRPr="0003613D" w14:paraId="35891195" w14:textId="77777777" w:rsidTr="00983737">
        <w:tc>
          <w:tcPr>
            <w:tcW w:w="3005" w:type="dxa"/>
          </w:tcPr>
          <w:p w14:paraId="79F9B8DE" w14:textId="64F9501E" w:rsidR="00983737" w:rsidRPr="0003613D" w:rsidRDefault="00983737">
            <w:pPr>
              <w:rPr>
                <w:rFonts w:ascii="Arial" w:eastAsia="Calibri" w:hAnsi="Arial" w:cs="Arial"/>
                <w:sz w:val="24"/>
                <w:szCs w:val="24"/>
              </w:rPr>
            </w:pPr>
            <w:r w:rsidRPr="0003613D">
              <w:rPr>
                <w:rFonts w:ascii="Arial" w:eastAsia="Calibri" w:hAnsi="Arial" w:cs="Arial"/>
                <w:sz w:val="24"/>
                <w:szCs w:val="24"/>
              </w:rPr>
              <w:t>Dudley</w:t>
            </w:r>
          </w:p>
        </w:tc>
        <w:tc>
          <w:tcPr>
            <w:tcW w:w="3005" w:type="dxa"/>
          </w:tcPr>
          <w:p w14:paraId="7C362816" w14:textId="2240E8E9" w:rsidR="00983737" w:rsidRPr="0003613D" w:rsidRDefault="00983737">
            <w:pPr>
              <w:rPr>
                <w:rFonts w:ascii="Arial" w:eastAsia="Calibri" w:hAnsi="Arial" w:cs="Arial"/>
                <w:sz w:val="24"/>
                <w:szCs w:val="24"/>
              </w:rPr>
            </w:pPr>
            <w:r w:rsidRPr="0003613D">
              <w:rPr>
                <w:rFonts w:ascii="Arial" w:eastAsia="Calibri" w:hAnsi="Arial" w:cs="Arial"/>
                <w:sz w:val="24"/>
                <w:szCs w:val="24"/>
              </w:rPr>
              <w:t>4</w:t>
            </w:r>
          </w:p>
        </w:tc>
        <w:tc>
          <w:tcPr>
            <w:tcW w:w="3006" w:type="dxa"/>
          </w:tcPr>
          <w:p w14:paraId="44ACD58B" w14:textId="6C8C18C0" w:rsidR="00983737" w:rsidRPr="0003613D" w:rsidRDefault="00983737">
            <w:pPr>
              <w:rPr>
                <w:rFonts w:ascii="Arial" w:eastAsia="Calibri" w:hAnsi="Arial" w:cs="Arial"/>
                <w:sz w:val="24"/>
                <w:szCs w:val="24"/>
              </w:rPr>
            </w:pPr>
            <w:r w:rsidRPr="0003613D">
              <w:rPr>
                <w:rFonts w:ascii="Arial" w:eastAsia="Calibri" w:hAnsi="Arial" w:cs="Arial"/>
                <w:sz w:val="24"/>
                <w:szCs w:val="24"/>
              </w:rPr>
              <w:t>38</w:t>
            </w:r>
          </w:p>
        </w:tc>
      </w:tr>
      <w:tr w:rsidR="00983737" w:rsidRPr="0003613D" w14:paraId="66FEAAFA" w14:textId="77777777" w:rsidTr="00983737">
        <w:tc>
          <w:tcPr>
            <w:tcW w:w="3005" w:type="dxa"/>
          </w:tcPr>
          <w:p w14:paraId="66746408" w14:textId="11AF6CD9" w:rsidR="00983737" w:rsidRPr="0003613D" w:rsidRDefault="00983737">
            <w:pPr>
              <w:rPr>
                <w:rFonts w:ascii="Arial" w:eastAsia="Calibri" w:hAnsi="Arial" w:cs="Arial"/>
                <w:sz w:val="24"/>
                <w:szCs w:val="24"/>
              </w:rPr>
            </w:pPr>
            <w:r w:rsidRPr="0003613D">
              <w:rPr>
                <w:rFonts w:ascii="Arial" w:eastAsia="Calibri" w:hAnsi="Arial" w:cs="Arial"/>
                <w:sz w:val="24"/>
                <w:szCs w:val="24"/>
              </w:rPr>
              <w:t>Sandwell</w:t>
            </w:r>
          </w:p>
        </w:tc>
        <w:tc>
          <w:tcPr>
            <w:tcW w:w="3005" w:type="dxa"/>
          </w:tcPr>
          <w:p w14:paraId="1A2E7E1F" w14:textId="2F33F5B5" w:rsidR="00983737" w:rsidRPr="0003613D" w:rsidRDefault="00983737">
            <w:pPr>
              <w:rPr>
                <w:rFonts w:ascii="Arial" w:eastAsia="Calibri" w:hAnsi="Arial" w:cs="Arial"/>
                <w:sz w:val="24"/>
                <w:szCs w:val="24"/>
              </w:rPr>
            </w:pPr>
            <w:r w:rsidRPr="0003613D">
              <w:rPr>
                <w:rFonts w:ascii="Arial" w:eastAsia="Calibri" w:hAnsi="Arial" w:cs="Arial"/>
                <w:sz w:val="24"/>
                <w:szCs w:val="24"/>
              </w:rPr>
              <w:t>1</w:t>
            </w:r>
          </w:p>
        </w:tc>
        <w:tc>
          <w:tcPr>
            <w:tcW w:w="3006" w:type="dxa"/>
          </w:tcPr>
          <w:p w14:paraId="04A91E5E" w14:textId="396D2CC1" w:rsidR="00983737" w:rsidRPr="0003613D" w:rsidRDefault="00983737">
            <w:pPr>
              <w:rPr>
                <w:rFonts w:ascii="Arial" w:eastAsia="Calibri" w:hAnsi="Arial" w:cs="Arial"/>
                <w:sz w:val="24"/>
                <w:szCs w:val="24"/>
              </w:rPr>
            </w:pPr>
            <w:r w:rsidRPr="0003613D">
              <w:rPr>
                <w:rFonts w:ascii="Arial" w:eastAsia="Calibri" w:hAnsi="Arial" w:cs="Arial"/>
                <w:sz w:val="24"/>
                <w:szCs w:val="24"/>
              </w:rPr>
              <w:t>16</w:t>
            </w:r>
          </w:p>
        </w:tc>
      </w:tr>
      <w:tr w:rsidR="00983737" w:rsidRPr="0003613D" w14:paraId="57F6E772" w14:textId="77777777" w:rsidTr="00983737">
        <w:tc>
          <w:tcPr>
            <w:tcW w:w="3005" w:type="dxa"/>
          </w:tcPr>
          <w:p w14:paraId="52F226D0" w14:textId="478A0080" w:rsidR="00983737" w:rsidRPr="0003613D" w:rsidRDefault="00983737">
            <w:pPr>
              <w:rPr>
                <w:rFonts w:ascii="Arial" w:eastAsia="Calibri" w:hAnsi="Arial" w:cs="Arial"/>
                <w:sz w:val="24"/>
                <w:szCs w:val="24"/>
              </w:rPr>
            </w:pPr>
            <w:r w:rsidRPr="0003613D">
              <w:rPr>
                <w:rFonts w:ascii="Arial" w:eastAsia="Calibri" w:hAnsi="Arial" w:cs="Arial"/>
                <w:sz w:val="24"/>
                <w:szCs w:val="24"/>
              </w:rPr>
              <w:t>Walsall</w:t>
            </w:r>
          </w:p>
        </w:tc>
        <w:tc>
          <w:tcPr>
            <w:tcW w:w="3005" w:type="dxa"/>
          </w:tcPr>
          <w:p w14:paraId="2EC7EC47" w14:textId="36D58A23" w:rsidR="00983737" w:rsidRPr="0003613D" w:rsidRDefault="00983737">
            <w:pPr>
              <w:rPr>
                <w:rFonts w:ascii="Arial" w:eastAsia="Calibri" w:hAnsi="Arial" w:cs="Arial"/>
                <w:sz w:val="24"/>
                <w:szCs w:val="24"/>
              </w:rPr>
            </w:pPr>
            <w:r w:rsidRPr="0003613D">
              <w:rPr>
                <w:rFonts w:ascii="Arial" w:eastAsia="Calibri" w:hAnsi="Arial" w:cs="Arial"/>
                <w:sz w:val="24"/>
                <w:szCs w:val="24"/>
              </w:rPr>
              <w:t>7</w:t>
            </w:r>
          </w:p>
        </w:tc>
        <w:tc>
          <w:tcPr>
            <w:tcW w:w="3006" w:type="dxa"/>
          </w:tcPr>
          <w:p w14:paraId="46C03D27" w14:textId="3025E6F2" w:rsidR="00983737" w:rsidRPr="0003613D" w:rsidRDefault="00983737">
            <w:pPr>
              <w:rPr>
                <w:rFonts w:ascii="Arial" w:eastAsia="Calibri" w:hAnsi="Arial" w:cs="Arial"/>
                <w:sz w:val="24"/>
                <w:szCs w:val="24"/>
              </w:rPr>
            </w:pPr>
            <w:r w:rsidRPr="0003613D">
              <w:rPr>
                <w:rFonts w:ascii="Arial" w:eastAsia="Calibri" w:hAnsi="Arial" w:cs="Arial"/>
                <w:sz w:val="24"/>
                <w:szCs w:val="24"/>
              </w:rPr>
              <w:t>36</w:t>
            </w:r>
          </w:p>
        </w:tc>
      </w:tr>
      <w:tr w:rsidR="00983737" w:rsidRPr="0003613D" w14:paraId="20869096" w14:textId="77777777" w:rsidTr="00983737">
        <w:tc>
          <w:tcPr>
            <w:tcW w:w="3005" w:type="dxa"/>
          </w:tcPr>
          <w:p w14:paraId="3619D7EE" w14:textId="7E8A7F41" w:rsidR="00983737" w:rsidRPr="0003613D" w:rsidRDefault="00983737">
            <w:pPr>
              <w:rPr>
                <w:rFonts w:ascii="Arial" w:eastAsia="Calibri" w:hAnsi="Arial" w:cs="Arial"/>
                <w:sz w:val="24"/>
                <w:szCs w:val="24"/>
              </w:rPr>
            </w:pPr>
            <w:r w:rsidRPr="0003613D">
              <w:rPr>
                <w:rFonts w:ascii="Arial" w:eastAsia="Calibri" w:hAnsi="Arial" w:cs="Arial"/>
                <w:sz w:val="24"/>
                <w:szCs w:val="24"/>
              </w:rPr>
              <w:t>Wolverhampton</w:t>
            </w:r>
          </w:p>
        </w:tc>
        <w:tc>
          <w:tcPr>
            <w:tcW w:w="3005" w:type="dxa"/>
          </w:tcPr>
          <w:p w14:paraId="187DA54C" w14:textId="3921219A" w:rsidR="00983737" w:rsidRPr="0003613D" w:rsidRDefault="00983737">
            <w:pPr>
              <w:rPr>
                <w:rFonts w:ascii="Arial" w:eastAsia="Calibri" w:hAnsi="Arial" w:cs="Arial"/>
                <w:sz w:val="24"/>
                <w:szCs w:val="24"/>
              </w:rPr>
            </w:pPr>
            <w:r w:rsidRPr="0003613D">
              <w:rPr>
                <w:rFonts w:ascii="Arial" w:eastAsia="Calibri" w:hAnsi="Arial" w:cs="Arial"/>
                <w:sz w:val="24"/>
                <w:szCs w:val="24"/>
              </w:rPr>
              <w:t>2</w:t>
            </w:r>
          </w:p>
        </w:tc>
        <w:tc>
          <w:tcPr>
            <w:tcW w:w="3006" w:type="dxa"/>
          </w:tcPr>
          <w:p w14:paraId="273B144D" w14:textId="24FF2968" w:rsidR="00983737" w:rsidRPr="0003613D" w:rsidRDefault="00983737">
            <w:pPr>
              <w:rPr>
                <w:rFonts w:ascii="Arial" w:eastAsia="Calibri" w:hAnsi="Arial" w:cs="Arial"/>
                <w:sz w:val="24"/>
                <w:szCs w:val="24"/>
              </w:rPr>
            </w:pPr>
            <w:r w:rsidRPr="0003613D">
              <w:rPr>
                <w:rFonts w:ascii="Arial" w:eastAsia="Calibri" w:hAnsi="Arial" w:cs="Arial"/>
                <w:sz w:val="24"/>
                <w:szCs w:val="24"/>
              </w:rPr>
              <w:t>42</w:t>
            </w:r>
          </w:p>
        </w:tc>
      </w:tr>
      <w:tr w:rsidR="00983737" w:rsidRPr="0003613D" w14:paraId="3703331F" w14:textId="77777777" w:rsidTr="00983737">
        <w:tc>
          <w:tcPr>
            <w:tcW w:w="3005" w:type="dxa"/>
          </w:tcPr>
          <w:p w14:paraId="65659053" w14:textId="6E7AF80A" w:rsidR="00983737" w:rsidRPr="0003613D" w:rsidRDefault="00983737">
            <w:pPr>
              <w:rPr>
                <w:rFonts w:ascii="Arial" w:eastAsia="Calibri" w:hAnsi="Arial" w:cs="Arial"/>
                <w:sz w:val="24"/>
                <w:szCs w:val="24"/>
              </w:rPr>
            </w:pPr>
            <w:r w:rsidRPr="0003613D">
              <w:rPr>
                <w:rFonts w:ascii="Arial" w:eastAsia="Calibri" w:hAnsi="Arial" w:cs="Arial"/>
                <w:sz w:val="24"/>
                <w:szCs w:val="24"/>
              </w:rPr>
              <w:t>Total</w:t>
            </w:r>
          </w:p>
        </w:tc>
        <w:tc>
          <w:tcPr>
            <w:tcW w:w="3005" w:type="dxa"/>
          </w:tcPr>
          <w:p w14:paraId="045EA516" w14:textId="3D809EC7" w:rsidR="00983737" w:rsidRPr="0003613D" w:rsidRDefault="00983737">
            <w:pPr>
              <w:rPr>
                <w:rFonts w:ascii="Arial" w:eastAsia="Calibri" w:hAnsi="Arial" w:cs="Arial"/>
                <w:sz w:val="24"/>
                <w:szCs w:val="24"/>
              </w:rPr>
            </w:pPr>
            <w:r w:rsidRPr="0003613D">
              <w:rPr>
                <w:rFonts w:ascii="Arial" w:eastAsia="Calibri" w:hAnsi="Arial" w:cs="Arial"/>
                <w:sz w:val="24"/>
                <w:szCs w:val="24"/>
              </w:rPr>
              <w:t>14</w:t>
            </w:r>
          </w:p>
        </w:tc>
        <w:tc>
          <w:tcPr>
            <w:tcW w:w="3006" w:type="dxa"/>
          </w:tcPr>
          <w:p w14:paraId="3DEFE3CE" w14:textId="1441F00A" w:rsidR="00983737" w:rsidRPr="0003613D" w:rsidRDefault="00983737">
            <w:pPr>
              <w:rPr>
                <w:rFonts w:ascii="Arial" w:eastAsia="Calibri" w:hAnsi="Arial" w:cs="Arial"/>
                <w:sz w:val="24"/>
                <w:szCs w:val="24"/>
              </w:rPr>
            </w:pPr>
            <w:r w:rsidRPr="0003613D">
              <w:rPr>
                <w:rFonts w:ascii="Arial" w:eastAsia="Calibri" w:hAnsi="Arial" w:cs="Arial"/>
                <w:sz w:val="24"/>
                <w:szCs w:val="24"/>
              </w:rPr>
              <w:t>132</w:t>
            </w:r>
          </w:p>
        </w:tc>
      </w:tr>
    </w:tbl>
    <w:p w14:paraId="2617A6D2" w14:textId="77777777" w:rsidR="00A26DDB" w:rsidRPr="0003613D" w:rsidRDefault="00A26DDB">
      <w:pPr>
        <w:rPr>
          <w:rFonts w:ascii="Arial" w:eastAsia="Calibri" w:hAnsi="Arial" w:cs="Arial"/>
          <w:sz w:val="24"/>
          <w:szCs w:val="24"/>
        </w:rPr>
      </w:pPr>
    </w:p>
    <w:p w14:paraId="313E6053" w14:textId="613E177B" w:rsidR="0046657F" w:rsidRPr="0003613D" w:rsidRDefault="0046657F">
      <w:pPr>
        <w:rPr>
          <w:rFonts w:ascii="Arial" w:eastAsia="Calibri" w:hAnsi="Arial" w:cs="Arial"/>
          <w:sz w:val="24"/>
          <w:szCs w:val="24"/>
        </w:rPr>
      </w:pPr>
      <w:r w:rsidRPr="0003613D">
        <w:rPr>
          <w:rFonts w:ascii="Arial" w:eastAsia="Calibri" w:hAnsi="Arial" w:cs="Arial"/>
          <w:sz w:val="24"/>
          <w:szCs w:val="24"/>
        </w:rPr>
        <w:t xml:space="preserve">The 2021 Census shows that across England and Wales, </w:t>
      </w:r>
      <w:r w:rsidR="00B460CD" w:rsidRPr="0003613D">
        <w:rPr>
          <w:rFonts w:ascii="Arial" w:eastAsia="Calibri" w:hAnsi="Arial" w:cs="Arial"/>
          <w:sz w:val="24"/>
          <w:szCs w:val="24"/>
        </w:rPr>
        <w:t xml:space="preserve">there were </w:t>
      </w:r>
      <w:r w:rsidRPr="0003613D">
        <w:rPr>
          <w:rFonts w:ascii="Arial" w:eastAsia="Calibri" w:hAnsi="Arial" w:cs="Arial"/>
          <w:sz w:val="24"/>
          <w:szCs w:val="24"/>
        </w:rPr>
        <w:t>71,440 people who identified as</w:t>
      </w:r>
      <w:r w:rsidR="00B460CD" w:rsidRPr="0003613D">
        <w:rPr>
          <w:rFonts w:ascii="Arial" w:eastAsia="Calibri" w:hAnsi="Arial" w:cs="Arial"/>
          <w:sz w:val="24"/>
          <w:szCs w:val="24"/>
        </w:rPr>
        <w:t xml:space="preserve"> a</w:t>
      </w:r>
      <w:r w:rsidRPr="0003613D">
        <w:rPr>
          <w:rFonts w:ascii="Arial" w:eastAsia="Calibri" w:hAnsi="Arial" w:cs="Arial"/>
          <w:sz w:val="24"/>
          <w:szCs w:val="24"/>
        </w:rPr>
        <w:t xml:space="preserve"> Gypsy or Irish Traveller</w:t>
      </w:r>
      <w:r w:rsidR="00B460CD" w:rsidRPr="0003613D">
        <w:rPr>
          <w:rFonts w:ascii="Arial" w:eastAsia="Calibri" w:hAnsi="Arial" w:cs="Arial"/>
          <w:sz w:val="24"/>
          <w:szCs w:val="24"/>
        </w:rPr>
        <w:t>.</w:t>
      </w:r>
    </w:p>
    <w:p w14:paraId="67F5CC20" w14:textId="7E38C401" w:rsidR="00776CE3" w:rsidRPr="0003613D" w:rsidRDefault="00776CE3">
      <w:pPr>
        <w:rPr>
          <w:rFonts w:ascii="Arial" w:eastAsia="Calibri" w:hAnsi="Arial" w:cs="Arial"/>
          <w:sz w:val="24"/>
          <w:szCs w:val="24"/>
        </w:rPr>
      </w:pPr>
      <w:r w:rsidRPr="0003613D">
        <w:rPr>
          <w:rFonts w:ascii="Arial" w:eastAsia="Calibri" w:hAnsi="Arial" w:cs="Arial"/>
          <w:sz w:val="24"/>
          <w:szCs w:val="24"/>
        </w:rPr>
        <w:t xml:space="preserve">The chart below illustrates </w:t>
      </w:r>
      <w:r w:rsidR="00080918" w:rsidRPr="0003613D">
        <w:rPr>
          <w:rFonts w:ascii="Arial" w:eastAsia="Calibri" w:hAnsi="Arial" w:cs="Arial"/>
          <w:sz w:val="24"/>
          <w:szCs w:val="24"/>
        </w:rPr>
        <w:t xml:space="preserve">the </w:t>
      </w:r>
      <w:r w:rsidRPr="0003613D">
        <w:rPr>
          <w:rFonts w:ascii="Arial" w:eastAsia="Calibri" w:hAnsi="Arial" w:cs="Arial"/>
          <w:sz w:val="24"/>
          <w:szCs w:val="24"/>
        </w:rPr>
        <w:t>percentage of the</w:t>
      </w:r>
      <w:r w:rsidR="001E74A0" w:rsidRPr="0003613D">
        <w:rPr>
          <w:rFonts w:ascii="Arial" w:eastAsia="Calibri" w:hAnsi="Arial" w:cs="Arial"/>
          <w:sz w:val="24"/>
          <w:szCs w:val="24"/>
        </w:rPr>
        <w:t xml:space="preserve"> 71,440</w:t>
      </w:r>
      <w:r w:rsidRPr="0003613D">
        <w:rPr>
          <w:rFonts w:ascii="Arial" w:eastAsia="Calibri" w:hAnsi="Arial" w:cs="Arial"/>
          <w:sz w:val="24"/>
          <w:szCs w:val="24"/>
        </w:rPr>
        <w:t xml:space="preserve"> Gyps</w:t>
      </w:r>
      <w:r w:rsidR="001E74A0" w:rsidRPr="0003613D">
        <w:rPr>
          <w:rFonts w:ascii="Arial" w:eastAsia="Calibri" w:hAnsi="Arial" w:cs="Arial"/>
          <w:sz w:val="24"/>
          <w:szCs w:val="24"/>
        </w:rPr>
        <w:t>ies</w:t>
      </w:r>
      <w:r w:rsidRPr="0003613D">
        <w:rPr>
          <w:rFonts w:ascii="Arial" w:eastAsia="Calibri" w:hAnsi="Arial" w:cs="Arial"/>
          <w:sz w:val="24"/>
          <w:szCs w:val="24"/>
        </w:rPr>
        <w:t xml:space="preserve"> and Irish Traveller</w:t>
      </w:r>
      <w:r w:rsidR="001E74A0" w:rsidRPr="0003613D">
        <w:rPr>
          <w:rFonts w:ascii="Arial" w:eastAsia="Calibri" w:hAnsi="Arial" w:cs="Arial"/>
          <w:sz w:val="24"/>
          <w:szCs w:val="24"/>
        </w:rPr>
        <w:t>s</w:t>
      </w:r>
      <w:r w:rsidRPr="0003613D">
        <w:rPr>
          <w:rFonts w:ascii="Arial" w:eastAsia="Calibri" w:hAnsi="Arial" w:cs="Arial"/>
          <w:sz w:val="24"/>
          <w:szCs w:val="24"/>
        </w:rPr>
        <w:t xml:space="preserve"> liv</w:t>
      </w:r>
      <w:r w:rsidR="00080918" w:rsidRPr="0003613D">
        <w:rPr>
          <w:rFonts w:ascii="Arial" w:eastAsia="Calibri" w:hAnsi="Arial" w:cs="Arial"/>
          <w:sz w:val="24"/>
          <w:szCs w:val="24"/>
        </w:rPr>
        <w:t>ing</w:t>
      </w:r>
      <w:r w:rsidRPr="0003613D">
        <w:rPr>
          <w:rFonts w:ascii="Arial" w:eastAsia="Calibri" w:hAnsi="Arial" w:cs="Arial"/>
          <w:sz w:val="24"/>
          <w:szCs w:val="24"/>
        </w:rPr>
        <w:t xml:space="preserve"> in each type of dwelling</w:t>
      </w:r>
      <w:r w:rsidR="00725319" w:rsidRPr="0003613D">
        <w:rPr>
          <w:rFonts w:ascii="Arial" w:eastAsia="Calibri" w:hAnsi="Arial" w:cs="Arial"/>
          <w:sz w:val="24"/>
          <w:szCs w:val="24"/>
        </w:rPr>
        <w:t xml:space="preserve"> [47]</w:t>
      </w:r>
      <w:r w:rsidRPr="0003613D">
        <w:rPr>
          <w:rFonts w:ascii="Arial" w:eastAsia="Calibri" w:hAnsi="Arial" w:cs="Arial"/>
          <w:sz w:val="24"/>
          <w:szCs w:val="24"/>
        </w:rPr>
        <w:t xml:space="preserve">. </w:t>
      </w:r>
    </w:p>
    <w:p w14:paraId="2565D079" w14:textId="782906AB" w:rsidR="00B460CD" w:rsidRPr="0003613D" w:rsidRDefault="00B460CD" w:rsidP="0046657F">
      <w:pPr>
        <w:rPr>
          <w:rFonts w:ascii="Arial" w:hAnsi="Arial" w:cs="Arial"/>
          <w:sz w:val="24"/>
          <w:szCs w:val="24"/>
        </w:rPr>
      </w:pPr>
      <w:r w:rsidRPr="0003613D">
        <w:rPr>
          <w:rFonts w:ascii="Arial" w:hAnsi="Arial" w:cs="Arial"/>
          <w:noProof/>
          <w:sz w:val="24"/>
          <w:szCs w:val="24"/>
        </w:rPr>
        <w:lastRenderedPageBreak/>
        <w:drawing>
          <wp:inline distT="0" distB="0" distL="0" distR="0" wp14:anchorId="58F1CF12" wp14:editId="72C6606D">
            <wp:extent cx="5731510" cy="2445385"/>
            <wp:effectExtent l="0" t="0" r="2540" b="0"/>
            <wp:docPr id="2073381823" name="Picture 1" descr="A graph of a house and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381823" name="Picture 1" descr="A graph of a house and house&#10;&#10;AI-generated content may be incorrect."/>
                    <pic:cNvPicPr/>
                  </pic:nvPicPr>
                  <pic:blipFill>
                    <a:blip r:embed="rId21"/>
                    <a:stretch>
                      <a:fillRect/>
                    </a:stretch>
                  </pic:blipFill>
                  <pic:spPr>
                    <a:xfrm>
                      <a:off x="0" y="0"/>
                      <a:ext cx="5731510" cy="2445385"/>
                    </a:xfrm>
                    <a:prstGeom prst="rect">
                      <a:avLst/>
                    </a:prstGeom>
                  </pic:spPr>
                </pic:pic>
              </a:graphicData>
            </a:graphic>
          </wp:inline>
        </w:drawing>
      </w:r>
    </w:p>
    <w:p w14:paraId="334E2F1F" w14:textId="10D66C08" w:rsidR="00732D8D" w:rsidRPr="0003613D" w:rsidRDefault="00732D8D">
      <w:pPr>
        <w:rPr>
          <w:rFonts w:ascii="Arial" w:hAnsi="Arial" w:cs="Arial"/>
          <w:bCs/>
          <w:sz w:val="24"/>
          <w:szCs w:val="24"/>
        </w:rPr>
      </w:pPr>
      <w:r w:rsidRPr="0003613D">
        <w:rPr>
          <w:rFonts w:ascii="Arial" w:hAnsi="Arial" w:cs="Arial"/>
          <w:bCs/>
          <w:sz w:val="24"/>
          <w:szCs w:val="24"/>
        </w:rPr>
        <w:t>In total, 78.4% of Gypsy and Irish travellers nationally lived in a permanent dwellings.</w:t>
      </w:r>
    </w:p>
    <w:p w14:paraId="59728284" w14:textId="05E20A39" w:rsidR="00732D8D" w:rsidRPr="0003613D" w:rsidRDefault="00080918" w:rsidP="00732D8D">
      <w:pPr>
        <w:rPr>
          <w:rFonts w:ascii="Arial" w:hAnsi="Arial" w:cs="Arial"/>
          <w:sz w:val="24"/>
          <w:szCs w:val="24"/>
        </w:rPr>
      </w:pPr>
      <w:r w:rsidRPr="0003613D">
        <w:rPr>
          <w:rFonts w:ascii="Arial" w:hAnsi="Arial" w:cs="Arial"/>
          <w:sz w:val="24"/>
          <w:szCs w:val="24"/>
        </w:rPr>
        <w:t>Nationally, s</w:t>
      </w:r>
      <w:r w:rsidR="00732D8D" w:rsidRPr="0003613D">
        <w:rPr>
          <w:rFonts w:ascii="Arial" w:hAnsi="Arial" w:cs="Arial"/>
          <w:sz w:val="24"/>
          <w:szCs w:val="24"/>
        </w:rPr>
        <w:t xml:space="preserve">emi-detached houses were the most common accommodation type for people who identified as </w:t>
      </w:r>
      <w:r w:rsidRPr="0003613D">
        <w:rPr>
          <w:rFonts w:ascii="Arial" w:hAnsi="Arial" w:cs="Arial"/>
          <w:sz w:val="24"/>
          <w:szCs w:val="24"/>
        </w:rPr>
        <w:t xml:space="preserve">a </w:t>
      </w:r>
      <w:r w:rsidR="00732D8D" w:rsidRPr="0003613D">
        <w:rPr>
          <w:rFonts w:ascii="Arial" w:hAnsi="Arial" w:cs="Arial"/>
          <w:sz w:val="24"/>
          <w:szCs w:val="24"/>
        </w:rPr>
        <w:t>Gypsy or Irish Traveller (28.3%).</w:t>
      </w:r>
    </w:p>
    <w:p w14:paraId="021674AD" w14:textId="0E9B7DF2" w:rsidR="00EF79DF" w:rsidRPr="0003613D" w:rsidRDefault="00EF79DF" w:rsidP="00EF79DF">
      <w:pPr>
        <w:rPr>
          <w:rFonts w:ascii="Arial" w:hAnsi="Arial" w:cs="Arial"/>
          <w:sz w:val="24"/>
          <w:szCs w:val="24"/>
        </w:rPr>
      </w:pPr>
      <w:r w:rsidRPr="0003613D">
        <w:rPr>
          <w:rFonts w:ascii="Arial" w:hAnsi="Arial" w:cs="Arial"/>
          <w:sz w:val="24"/>
          <w:szCs w:val="24"/>
        </w:rPr>
        <w:t>In comparison with the population of England and Wales, people who identified as Gypsy or Irish Traveller were:</w:t>
      </w:r>
    </w:p>
    <w:p w14:paraId="22CFB5CE" w14:textId="388D578D" w:rsidR="00EF79DF" w:rsidRPr="0003613D" w:rsidRDefault="00EF79DF" w:rsidP="00EF79DF">
      <w:pPr>
        <w:numPr>
          <w:ilvl w:val="0"/>
          <w:numId w:val="4"/>
        </w:numPr>
        <w:rPr>
          <w:rFonts w:ascii="Arial" w:hAnsi="Arial" w:cs="Arial"/>
          <w:sz w:val="24"/>
          <w:szCs w:val="24"/>
        </w:rPr>
      </w:pPr>
      <w:r w:rsidRPr="0003613D">
        <w:rPr>
          <w:rFonts w:ascii="Arial" w:hAnsi="Arial" w:cs="Arial"/>
          <w:sz w:val="24"/>
          <w:szCs w:val="24"/>
        </w:rPr>
        <w:t>over twice as likely to live in social rented accommodation (42.3% compared with 16.6%).</w:t>
      </w:r>
    </w:p>
    <w:p w14:paraId="09B67243" w14:textId="56962E55" w:rsidR="00032566" w:rsidRPr="0003613D" w:rsidRDefault="00EF79DF" w:rsidP="00032566">
      <w:pPr>
        <w:numPr>
          <w:ilvl w:val="0"/>
          <w:numId w:val="4"/>
        </w:numPr>
        <w:rPr>
          <w:rFonts w:ascii="Arial" w:hAnsi="Arial" w:cs="Arial"/>
          <w:sz w:val="24"/>
          <w:szCs w:val="24"/>
        </w:rPr>
      </w:pPr>
      <w:r w:rsidRPr="0003613D">
        <w:rPr>
          <w:rFonts w:ascii="Arial" w:hAnsi="Arial" w:cs="Arial"/>
          <w:sz w:val="24"/>
          <w:szCs w:val="24"/>
        </w:rPr>
        <w:t>four times less likely to own their accommodation with a mortgage, loan or shared ownership (9.5% compared with 35.6%)</w:t>
      </w:r>
      <w:r w:rsidR="00725319" w:rsidRPr="0003613D">
        <w:rPr>
          <w:rFonts w:ascii="Arial" w:hAnsi="Arial" w:cs="Arial"/>
          <w:sz w:val="24"/>
          <w:szCs w:val="24"/>
        </w:rPr>
        <w:t xml:space="preserve"> [48]</w:t>
      </w:r>
      <w:r w:rsidRPr="0003613D">
        <w:rPr>
          <w:rFonts w:ascii="Arial" w:hAnsi="Arial" w:cs="Arial"/>
          <w:sz w:val="24"/>
          <w:szCs w:val="24"/>
        </w:rPr>
        <w:t>.</w:t>
      </w:r>
    </w:p>
    <w:p w14:paraId="43FBFBF8" w14:textId="3862D7C9" w:rsidR="00316D44" w:rsidRPr="0003613D" w:rsidRDefault="00316D44" w:rsidP="00316D44">
      <w:pPr>
        <w:rPr>
          <w:rFonts w:ascii="Arial" w:hAnsi="Arial" w:cs="Arial"/>
          <w:sz w:val="24"/>
          <w:szCs w:val="24"/>
        </w:rPr>
      </w:pPr>
      <w:r w:rsidRPr="0003613D">
        <w:rPr>
          <w:rFonts w:ascii="Arial" w:hAnsi="Arial" w:cs="Arial"/>
          <w:sz w:val="24"/>
          <w:szCs w:val="24"/>
        </w:rPr>
        <w:t>People who identified as Gypsy or Irish Traveller were over three times more likely to live in overcrowded accommodation than the national population (26.5% compared with 8.4%).</w:t>
      </w:r>
    </w:p>
    <w:p w14:paraId="3DC2949C" w14:textId="44193A9D" w:rsidR="00F25FC1" w:rsidRPr="0003613D" w:rsidRDefault="00032566">
      <w:pPr>
        <w:rPr>
          <w:rFonts w:ascii="Arial" w:eastAsia="Times New Roman" w:hAnsi="Arial" w:cs="Arial"/>
          <w:sz w:val="24"/>
          <w:szCs w:val="24"/>
          <w:lang w:eastAsia="en-GB"/>
        </w:rPr>
      </w:pPr>
      <w:r w:rsidRPr="0003613D">
        <w:rPr>
          <w:rFonts w:ascii="Arial" w:eastAsia="Times New Roman" w:hAnsi="Arial" w:cs="Arial"/>
          <w:sz w:val="24"/>
          <w:szCs w:val="24"/>
          <w:lang w:eastAsia="en-GB"/>
        </w:rPr>
        <w:t>Those who identified as Roma were also more likely to live in overcrowded accommodation, over a quarter (26.5%), lived in overcrowded accommodation</w:t>
      </w:r>
      <w:r w:rsidR="00725319" w:rsidRPr="0003613D">
        <w:rPr>
          <w:rFonts w:ascii="Arial" w:eastAsia="Times New Roman" w:hAnsi="Arial" w:cs="Arial"/>
          <w:sz w:val="24"/>
          <w:szCs w:val="24"/>
          <w:lang w:eastAsia="en-GB"/>
        </w:rPr>
        <w:t xml:space="preserve"> [49]</w:t>
      </w:r>
      <w:r w:rsidR="00316D44" w:rsidRPr="0003613D">
        <w:rPr>
          <w:rFonts w:ascii="Arial" w:eastAsia="Times New Roman" w:hAnsi="Arial" w:cs="Arial"/>
          <w:sz w:val="24"/>
          <w:szCs w:val="24"/>
          <w:lang w:eastAsia="en-GB"/>
        </w:rPr>
        <w:t>.</w:t>
      </w:r>
    </w:p>
    <w:p w14:paraId="1E0AD586" w14:textId="3678B38D" w:rsidR="00062166" w:rsidRPr="0003613D" w:rsidRDefault="00062166" w:rsidP="00062166">
      <w:pPr>
        <w:spacing w:line="276" w:lineRule="auto"/>
        <w:rPr>
          <w:rFonts w:ascii="Arial" w:eastAsia="Calibri" w:hAnsi="Arial" w:cs="Arial"/>
          <w:sz w:val="24"/>
          <w:szCs w:val="24"/>
        </w:rPr>
      </w:pPr>
      <w:r w:rsidRPr="0003613D">
        <w:rPr>
          <w:rFonts w:ascii="Arial" w:eastAsia="Calibri" w:hAnsi="Arial" w:cs="Arial"/>
          <w:sz w:val="24"/>
          <w:szCs w:val="24"/>
        </w:rPr>
        <w:t>The 2022 Black Country Gypsy and Traveller Accommodation Assessment highlights problems associated with living in permanent dwellings, as identified by the Gypsy and Traveller population in Sandwell</w:t>
      </w:r>
      <w:r w:rsidR="00BE393A" w:rsidRPr="0003613D">
        <w:rPr>
          <w:rFonts w:ascii="Arial" w:eastAsia="Calibri" w:hAnsi="Arial" w:cs="Arial"/>
          <w:sz w:val="24"/>
          <w:szCs w:val="24"/>
        </w:rPr>
        <w:t xml:space="preserve">. These problems </w:t>
      </w:r>
      <w:r w:rsidRPr="0003613D">
        <w:rPr>
          <w:rFonts w:ascii="Arial" w:eastAsia="Calibri" w:hAnsi="Arial" w:cs="Arial"/>
          <w:sz w:val="24"/>
          <w:szCs w:val="24"/>
        </w:rPr>
        <w:t>includ</w:t>
      </w:r>
      <w:r w:rsidR="00BE393A" w:rsidRPr="0003613D">
        <w:rPr>
          <w:rFonts w:ascii="Arial" w:eastAsia="Calibri" w:hAnsi="Arial" w:cs="Arial"/>
          <w:sz w:val="24"/>
          <w:szCs w:val="24"/>
        </w:rPr>
        <w:t>e</w:t>
      </w:r>
      <w:r w:rsidRPr="0003613D">
        <w:rPr>
          <w:rFonts w:ascii="Arial" w:eastAsia="Calibri" w:hAnsi="Arial" w:cs="Arial"/>
          <w:sz w:val="24"/>
          <w:szCs w:val="24"/>
        </w:rPr>
        <w:t xml:space="preserve"> social isolation, </w:t>
      </w:r>
      <w:r w:rsidR="00BE393A" w:rsidRPr="0003613D">
        <w:rPr>
          <w:rFonts w:ascii="Arial" w:eastAsia="Calibri" w:hAnsi="Arial" w:cs="Arial"/>
          <w:sz w:val="24"/>
          <w:szCs w:val="24"/>
        </w:rPr>
        <w:t xml:space="preserve">a </w:t>
      </w:r>
      <w:r w:rsidRPr="0003613D">
        <w:rPr>
          <w:rFonts w:ascii="Arial" w:eastAsia="Calibri" w:hAnsi="Arial" w:cs="Arial"/>
          <w:sz w:val="24"/>
          <w:szCs w:val="24"/>
        </w:rPr>
        <w:t>lack of freedom and being misunderstood by the community</w:t>
      </w:r>
      <w:r w:rsidR="00725319" w:rsidRPr="0003613D">
        <w:rPr>
          <w:rFonts w:ascii="Arial" w:eastAsia="Calibri" w:hAnsi="Arial" w:cs="Arial"/>
          <w:sz w:val="24"/>
          <w:szCs w:val="24"/>
        </w:rPr>
        <w:t xml:space="preserve"> [50]</w:t>
      </w:r>
      <w:r w:rsidRPr="0003613D">
        <w:rPr>
          <w:rFonts w:ascii="Arial" w:eastAsia="Calibri" w:hAnsi="Arial" w:cs="Arial"/>
          <w:sz w:val="24"/>
          <w:szCs w:val="24"/>
        </w:rPr>
        <w:t>.</w:t>
      </w:r>
    </w:p>
    <w:p w14:paraId="4DA069E2" w14:textId="679F4038" w:rsidR="00062166" w:rsidRPr="0003613D" w:rsidRDefault="00080918" w:rsidP="00062166">
      <w:pPr>
        <w:rPr>
          <w:rFonts w:ascii="Arial" w:hAnsi="Arial" w:cs="Arial"/>
        </w:rPr>
      </w:pPr>
      <w:r w:rsidRPr="0003613D">
        <w:rPr>
          <w:rFonts w:ascii="Arial" w:eastAsia="Calibri" w:hAnsi="Arial" w:cs="Arial"/>
          <w:sz w:val="24"/>
          <w:szCs w:val="24"/>
        </w:rPr>
        <w:t>F</w:t>
      </w:r>
      <w:r w:rsidR="00062166" w:rsidRPr="0003613D">
        <w:rPr>
          <w:rFonts w:ascii="Arial" w:eastAsia="Calibri" w:hAnsi="Arial" w:cs="Arial"/>
          <w:sz w:val="24"/>
          <w:szCs w:val="24"/>
        </w:rPr>
        <w:t xml:space="preserve">indings of the 2022 Black Country Gypsy and Traveller Accommodation Assessment suggest that there may be households who currently reside in permanent dwellings, that would prefer to reside on </w:t>
      </w:r>
      <w:r w:rsidRPr="0003613D">
        <w:rPr>
          <w:rFonts w:ascii="Arial" w:eastAsia="Calibri" w:hAnsi="Arial" w:cs="Arial"/>
          <w:sz w:val="24"/>
          <w:szCs w:val="24"/>
        </w:rPr>
        <w:t xml:space="preserve">a </w:t>
      </w:r>
      <w:r w:rsidR="00062166" w:rsidRPr="0003613D">
        <w:rPr>
          <w:rFonts w:ascii="Arial" w:eastAsia="Calibri" w:hAnsi="Arial" w:cs="Arial"/>
          <w:sz w:val="24"/>
          <w:szCs w:val="24"/>
        </w:rPr>
        <w:t>site.</w:t>
      </w:r>
    </w:p>
    <w:p w14:paraId="259F08C6" w14:textId="77777777" w:rsidR="00C76A0D" w:rsidRPr="0003613D" w:rsidRDefault="00C76A0D">
      <w:pPr>
        <w:rPr>
          <w:rFonts w:ascii="Arial" w:hAnsi="Arial" w:cs="Arial"/>
          <w:b/>
          <w:color w:val="C00000"/>
          <w:sz w:val="32"/>
          <w:szCs w:val="32"/>
          <w:u w:val="single"/>
        </w:rPr>
      </w:pPr>
    </w:p>
    <w:p w14:paraId="27BCA222" w14:textId="77777777" w:rsidR="0000735F" w:rsidRPr="0003613D" w:rsidRDefault="0000735F">
      <w:pPr>
        <w:rPr>
          <w:rFonts w:ascii="Arial" w:hAnsi="Arial" w:cs="Arial"/>
          <w:b/>
          <w:color w:val="C00000"/>
          <w:sz w:val="32"/>
          <w:szCs w:val="32"/>
          <w:u w:val="single"/>
        </w:rPr>
      </w:pPr>
    </w:p>
    <w:p w14:paraId="6EB8EB4A" w14:textId="77777777" w:rsidR="0000735F" w:rsidRPr="0003613D" w:rsidRDefault="0000735F">
      <w:pPr>
        <w:rPr>
          <w:rFonts w:ascii="Arial" w:hAnsi="Arial" w:cs="Arial"/>
          <w:b/>
          <w:color w:val="C00000"/>
          <w:sz w:val="32"/>
          <w:szCs w:val="32"/>
          <w:u w:val="single"/>
        </w:rPr>
      </w:pPr>
    </w:p>
    <w:p w14:paraId="4EE4676F" w14:textId="77777777" w:rsidR="0000735F" w:rsidRPr="0003613D" w:rsidRDefault="0000735F">
      <w:pPr>
        <w:rPr>
          <w:rFonts w:ascii="Arial" w:hAnsi="Arial" w:cs="Arial"/>
          <w:b/>
          <w:color w:val="C00000"/>
          <w:sz w:val="32"/>
          <w:szCs w:val="32"/>
          <w:u w:val="single"/>
        </w:rPr>
      </w:pPr>
    </w:p>
    <w:p w14:paraId="64C1D95E" w14:textId="47276F44" w:rsidR="00C76A0D" w:rsidRPr="0003613D" w:rsidRDefault="00C76A0D">
      <w:pPr>
        <w:rPr>
          <w:rFonts w:ascii="Arial" w:hAnsi="Arial" w:cs="Arial"/>
          <w:b/>
          <w:sz w:val="32"/>
          <w:szCs w:val="32"/>
          <w:u w:val="single"/>
        </w:rPr>
      </w:pPr>
      <w:r w:rsidRPr="0003613D">
        <w:rPr>
          <w:rFonts w:ascii="Arial" w:hAnsi="Arial" w:cs="Arial"/>
          <w:b/>
          <w:sz w:val="32"/>
          <w:szCs w:val="32"/>
          <w:u w:val="single"/>
        </w:rPr>
        <w:lastRenderedPageBreak/>
        <w:t>References</w:t>
      </w:r>
    </w:p>
    <w:p w14:paraId="719A8912" w14:textId="77777777" w:rsidR="00BF48EC" w:rsidRPr="0003613D" w:rsidRDefault="00BF48EC" w:rsidP="00BF48EC">
      <w:pPr>
        <w:rPr>
          <w:rFonts w:ascii="Arial" w:hAnsi="Arial" w:cs="Arial"/>
          <w:bCs/>
          <w:sz w:val="24"/>
          <w:szCs w:val="24"/>
        </w:rPr>
      </w:pPr>
      <w:r w:rsidRPr="0003613D">
        <w:rPr>
          <w:rFonts w:ascii="Arial" w:hAnsi="Arial" w:cs="Arial"/>
          <w:bCs/>
          <w:sz w:val="24"/>
          <w:szCs w:val="24"/>
        </w:rPr>
        <w:t xml:space="preserve">[1] Office for National Statistics, ‘How the population changed in Sandwell: Census 2021’ (June 2022) </w:t>
      </w:r>
      <w:hyperlink r:id="rId22" w:history="1">
        <w:r w:rsidRPr="0003613D">
          <w:rPr>
            <w:rStyle w:val="Hyperlink"/>
            <w:rFonts w:ascii="Arial" w:hAnsi="Arial" w:cs="Arial"/>
            <w:bCs/>
            <w:sz w:val="24"/>
            <w:szCs w:val="24"/>
          </w:rPr>
          <w:t>https://www.ons.gov.uk/visualisations/censuspopulationchange/E08000028/</w:t>
        </w:r>
      </w:hyperlink>
      <w:r w:rsidRPr="0003613D">
        <w:rPr>
          <w:rFonts w:ascii="Arial" w:hAnsi="Arial" w:cs="Arial"/>
          <w:bCs/>
          <w:color w:val="C00000"/>
          <w:sz w:val="24"/>
          <w:szCs w:val="24"/>
        </w:rPr>
        <w:t xml:space="preserve"> </w:t>
      </w:r>
      <w:r w:rsidRPr="0003613D">
        <w:rPr>
          <w:rFonts w:ascii="Arial" w:hAnsi="Arial" w:cs="Arial"/>
          <w:bCs/>
          <w:sz w:val="24"/>
          <w:szCs w:val="24"/>
        </w:rPr>
        <w:t>[Accessed March 2025]</w:t>
      </w:r>
    </w:p>
    <w:p w14:paraId="50897D23" w14:textId="77777777" w:rsidR="00BF48EC" w:rsidRPr="0003613D" w:rsidRDefault="00BF48EC" w:rsidP="00BF48EC">
      <w:pPr>
        <w:rPr>
          <w:rFonts w:ascii="Arial" w:hAnsi="Arial" w:cs="Arial"/>
          <w:bCs/>
          <w:color w:val="C00000"/>
          <w:sz w:val="24"/>
          <w:szCs w:val="24"/>
        </w:rPr>
      </w:pPr>
      <w:r w:rsidRPr="0003613D">
        <w:rPr>
          <w:rFonts w:ascii="Arial" w:hAnsi="Arial" w:cs="Arial"/>
          <w:bCs/>
          <w:sz w:val="24"/>
          <w:szCs w:val="24"/>
        </w:rPr>
        <w:t xml:space="preserve">[2] Office for National Statistics, ‘How the population changed in Sandwell: Census 2021’ (June 2022) </w:t>
      </w:r>
      <w:hyperlink r:id="rId23" w:history="1">
        <w:r w:rsidRPr="0003613D">
          <w:rPr>
            <w:rStyle w:val="Hyperlink"/>
            <w:rFonts w:ascii="Arial" w:hAnsi="Arial" w:cs="Arial"/>
            <w:bCs/>
            <w:sz w:val="24"/>
            <w:szCs w:val="24"/>
          </w:rPr>
          <w:t>https://www.ons.gov.uk/visualisations/censuspopulationchange/E08000028/</w:t>
        </w:r>
      </w:hyperlink>
      <w:r w:rsidRPr="0003613D">
        <w:rPr>
          <w:rFonts w:ascii="Arial" w:hAnsi="Arial" w:cs="Arial"/>
          <w:bCs/>
          <w:color w:val="C00000"/>
          <w:sz w:val="24"/>
          <w:szCs w:val="24"/>
        </w:rPr>
        <w:t xml:space="preserve"> </w:t>
      </w:r>
      <w:r w:rsidRPr="0003613D">
        <w:rPr>
          <w:rFonts w:ascii="Arial" w:hAnsi="Arial" w:cs="Arial"/>
          <w:bCs/>
          <w:sz w:val="24"/>
          <w:szCs w:val="24"/>
        </w:rPr>
        <w:t>[Accessed March 2025]</w:t>
      </w:r>
    </w:p>
    <w:p w14:paraId="45927C75" w14:textId="77777777" w:rsidR="00BF48EC" w:rsidRPr="0003613D" w:rsidRDefault="00BF48EC" w:rsidP="00BF48EC">
      <w:pPr>
        <w:rPr>
          <w:rFonts w:ascii="Arial" w:hAnsi="Arial" w:cs="Arial"/>
          <w:bCs/>
          <w:sz w:val="24"/>
          <w:szCs w:val="24"/>
        </w:rPr>
      </w:pPr>
      <w:r w:rsidRPr="0003613D">
        <w:rPr>
          <w:rFonts w:ascii="Arial" w:hAnsi="Arial" w:cs="Arial"/>
          <w:bCs/>
          <w:sz w:val="24"/>
          <w:szCs w:val="24"/>
        </w:rPr>
        <w:t xml:space="preserve">[3] Office for National Statistics, ‘How the population changed in Sandwell: Census 2021’ (June 2022) </w:t>
      </w:r>
      <w:hyperlink r:id="rId24" w:history="1">
        <w:r w:rsidRPr="0003613D">
          <w:rPr>
            <w:rStyle w:val="Hyperlink"/>
            <w:rFonts w:ascii="Arial" w:hAnsi="Arial" w:cs="Arial"/>
            <w:bCs/>
            <w:sz w:val="24"/>
            <w:szCs w:val="24"/>
          </w:rPr>
          <w:t>https://www.ons.gov.uk/visualisations/censuspopulationchange/E08000028/</w:t>
        </w:r>
      </w:hyperlink>
      <w:r w:rsidRPr="0003613D">
        <w:rPr>
          <w:rFonts w:ascii="Arial" w:hAnsi="Arial" w:cs="Arial"/>
          <w:bCs/>
          <w:color w:val="C00000"/>
          <w:sz w:val="24"/>
          <w:szCs w:val="24"/>
        </w:rPr>
        <w:t xml:space="preserve"> </w:t>
      </w:r>
      <w:r w:rsidRPr="0003613D">
        <w:rPr>
          <w:rFonts w:ascii="Arial" w:hAnsi="Arial" w:cs="Arial"/>
          <w:bCs/>
          <w:sz w:val="24"/>
          <w:szCs w:val="24"/>
        </w:rPr>
        <w:t>[Accessed March 2025]</w:t>
      </w:r>
    </w:p>
    <w:p w14:paraId="1FBD7F0E" w14:textId="77777777" w:rsidR="00BF48EC" w:rsidRPr="0003613D" w:rsidRDefault="00BF48EC" w:rsidP="00BF48EC">
      <w:pPr>
        <w:rPr>
          <w:rFonts w:ascii="Arial" w:hAnsi="Arial" w:cs="Arial"/>
          <w:bCs/>
          <w:sz w:val="24"/>
          <w:szCs w:val="24"/>
        </w:rPr>
      </w:pPr>
      <w:r w:rsidRPr="0003613D">
        <w:rPr>
          <w:rFonts w:ascii="Arial" w:hAnsi="Arial" w:cs="Arial"/>
          <w:bCs/>
          <w:sz w:val="24"/>
          <w:szCs w:val="24"/>
        </w:rPr>
        <w:t xml:space="preserve">[4] Sandwell Trends, ‘Ethnic Group and Language’ </w:t>
      </w:r>
      <w:hyperlink r:id="rId25" w:history="1">
        <w:r w:rsidRPr="0003613D">
          <w:rPr>
            <w:rStyle w:val="Hyperlink"/>
            <w:rFonts w:ascii="Arial" w:hAnsi="Arial" w:cs="Arial"/>
            <w:bCs/>
            <w:sz w:val="24"/>
            <w:szCs w:val="24"/>
          </w:rPr>
          <w:t>https://www.sandwelltrends.info/ethnicity-religion-country-of-birth/</w:t>
        </w:r>
      </w:hyperlink>
      <w:r w:rsidRPr="0003613D">
        <w:rPr>
          <w:rFonts w:ascii="Arial" w:hAnsi="Arial" w:cs="Arial"/>
          <w:bCs/>
          <w:color w:val="C00000"/>
          <w:sz w:val="24"/>
          <w:szCs w:val="24"/>
        </w:rPr>
        <w:t xml:space="preserve"> </w:t>
      </w:r>
      <w:r w:rsidRPr="0003613D">
        <w:rPr>
          <w:rFonts w:ascii="Arial" w:hAnsi="Arial" w:cs="Arial"/>
          <w:bCs/>
          <w:sz w:val="24"/>
          <w:szCs w:val="24"/>
        </w:rPr>
        <w:t>[Accessed March 2025]</w:t>
      </w:r>
    </w:p>
    <w:p w14:paraId="43BFFACD" w14:textId="77777777" w:rsidR="00BF48EC" w:rsidRPr="0003613D" w:rsidRDefault="00BF48EC" w:rsidP="00BF48EC">
      <w:pPr>
        <w:rPr>
          <w:rFonts w:ascii="Arial" w:hAnsi="Arial" w:cs="Arial"/>
          <w:bCs/>
          <w:sz w:val="24"/>
          <w:szCs w:val="24"/>
        </w:rPr>
      </w:pPr>
      <w:r w:rsidRPr="0003613D">
        <w:rPr>
          <w:rFonts w:ascii="Arial" w:hAnsi="Arial" w:cs="Arial"/>
          <w:bCs/>
          <w:sz w:val="24"/>
          <w:szCs w:val="24"/>
        </w:rPr>
        <w:t xml:space="preserve">[5] Sandwell Trends, ‘Population Change since 2011’ </w:t>
      </w:r>
      <w:hyperlink r:id="rId26" w:history="1">
        <w:r w:rsidRPr="0003613D">
          <w:rPr>
            <w:rStyle w:val="Hyperlink"/>
            <w:rFonts w:ascii="Arial" w:hAnsi="Arial" w:cs="Arial"/>
            <w:bCs/>
            <w:sz w:val="24"/>
            <w:szCs w:val="24"/>
          </w:rPr>
          <w:t>https://www.sandwelltrends.info/population/population-by-ward/</w:t>
        </w:r>
      </w:hyperlink>
      <w:r w:rsidRPr="0003613D">
        <w:rPr>
          <w:rFonts w:ascii="Arial" w:hAnsi="Arial" w:cs="Arial"/>
          <w:bCs/>
          <w:sz w:val="24"/>
          <w:szCs w:val="24"/>
        </w:rPr>
        <w:t xml:space="preserve"> [Accessed March 2025]</w:t>
      </w:r>
    </w:p>
    <w:p w14:paraId="37056596" w14:textId="77777777" w:rsidR="00BF48EC" w:rsidRPr="0003613D" w:rsidRDefault="00BF48EC" w:rsidP="00BF48EC">
      <w:pPr>
        <w:rPr>
          <w:rFonts w:ascii="Arial" w:hAnsi="Arial" w:cs="Arial"/>
          <w:sz w:val="24"/>
          <w:szCs w:val="24"/>
        </w:rPr>
      </w:pPr>
      <w:r w:rsidRPr="0003613D">
        <w:rPr>
          <w:rFonts w:ascii="Arial" w:hAnsi="Arial" w:cs="Arial"/>
          <w:bCs/>
          <w:sz w:val="24"/>
          <w:szCs w:val="24"/>
        </w:rPr>
        <w:t>[6] Sandwell Council, ‘</w:t>
      </w:r>
      <w:r w:rsidRPr="0003613D">
        <w:rPr>
          <w:rFonts w:ascii="Arial" w:hAnsi="Arial" w:cs="Arial"/>
          <w:sz w:val="24"/>
          <w:szCs w:val="24"/>
        </w:rPr>
        <w:t xml:space="preserve">Sandwell Authority Monitoring Report 2023-2024’ P.5 </w:t>
      </w:r>
    </w:p>
    <w:p w14:paraId="65170089" w14:textId="77777777" w:rsidR="00BF48EC" w:rsidRPr="0003613D" w:rsidRDefault="00BF48EC" w:rsidP="00BF48EC">
      <w:pPr>
        <w:rPr>
          <w:rFonts w:ascii="Arial" w:hAnsi="Arial" w:cs="Arial"/>
          <w:sz w:val="24"/>
          <w:szCs w:val="24"/>
        </w:rPr>
      </w:pPr>
      <w:r w:rsidRPr="0003613D">
        <w:rPr>
          <w:rFonts w:ascii="Arial" w:hAnsi="Arial" w:cs="Arial"/>
          <w:sz w:val="24"/>
          <w:szCs w:val="24"/>
        </w:rPr>
        <w:t>[7] Public Health Sandwell Council, ‘Sandwell Pharmaceutical Needs Assessment 2022’ P.87</w:t>
      </w:r>
    </w:p>
    <w:p w14:paraId="3E7C67D4" w14:textId="3BC77AD0" w:rsidR="00BF48EC" w:rsidRPr="0003613D" w:rsidRDefault="00BF48EC" w:rsidP="00BF48EC">
      <w:pPr>
        <w:rPr>
          <w:rFonts w:ascii="Arial" w:hAnsi="Arial" w:cs="Arial"/>
          <w:sz w:val="24"/>
          <w:szCs w:val="24"/>
        </w:rPr>
      </w:pPr>
      <w:r w:rsidRPr="0003613D">
        <w:rPr>
          <w:rFonts w:ascii="Arial" w:eastAsia="Calibri" w:hAnsi="Arial" w:cs="Arial"/>
          <w:bCs/>
          <w:sz w:val="24"/>
          <w:szCs w:val="24"/>
        </w:rPr>
        <w:t xml:space="preserve">[8] </w:t>
      </w:r>
      <w:r w:rsidRPr="0003613D">
        <w:rPr>
          <w:rFonts w:ascii="Arial" w:hAnsi="Arial" w:cs="Arial"/>
          <w:bCs/>
          <w:sz w:val="24"/>
          <w:szCs w:val="24"/>
        </w:rPr>
        <w:t xml:space="preserve">Sandwell </w:t>
      </w:r>
      <w:r w:rsidR="001C0635" w:rsidRPr="0003613D">
        <w:rPr>
          <w:rFonts w:ascii="Arial" w:hAnsi="Arial" w:cs="Arial"/>
          <w:bCs/>
          <w:sz w:val="24"/>
          <w:szCs w:val="24"/>
        </w:rPr>
        <w:t>Trends</w:t>
      </w:r>
      <w:r w:rsidRPr="0003613D">
        <w:rPr>
          <w:rFonts w:ascii="Arial" w:hAnsi="Arial" w:cs="Arial"/>
          <w:bCs/>
          <w:sz w:val="24"/>
          <w:szCs w:val="24"/>
        </w:rPr>
        <w:t>, ‘</w:t>
      </w:r>
      <w:r w:rsidR="001C0635" w:rsidRPr="0003613D">
        <w:rPr>
          <w:rFonts w:ascii="Arial" w:hAnsi="Arial" w:cs="Arial"/>
          <w:sz w:val="24"/>
          <w:szCs w:val="24"/>
        </w:rPr>
        <w:t>Sandwell and the English Indices of Deprivation 2025</w:t>
      </w:r>
      <w:r w:rsidRPr="0003613D">
        <w:rPr>
          <w:rFonts w:ascii="Arial" w:hAnsi="Arial" w:cs="Arial"/>
          <w:sz w:val="24"/>
          <w:szCs w:val="24"/>
        </w:rPr>
        <w:t>’</w:t>
      </w:r>
      <w:r w:rsidR="001C0635" w:rsidRPr="0003613D">
        <w:rPr>
          <w:rFonts w:ascii="Arial" w:hAnsi="Arial" w:cs="Arial"/>
          <w:sz w:val="24"/>
          <w:szCs w:val="24"/>
        </w:rPr>
        <w:t xml:space="preserve"> </w:t>
      </w:r>
      <w:hyperlink r:id="rId27" w:history="1">
        <w:r w:rsidR="001C0635" w:rsidRPr="0003613D">
          <w:rPr>
            <w:rStyle w:val="Hyperlink"/>
            <w:rFonts w:ascii="Arial" w:hAnsi="Arial" w:cs="Arial"/>
            <w:sz w:val="24"/>
            <w:szCs w:val="24"/>
          </w:rPr>
          <w:t>https://www.sandwelltrends.info/deprivation-2025/</w:t>
        </w:r>
      </w:hyperlink>
      <w:r w:rsidR="001C0635" w:rsidRPr="0003613D">
        <w:rPr>
          <w:rFonts w:ascii="Arial" w:hAnsi="Arial" w:cs="Arial"/>
          <w:sz w:val="24"/>
          <w:szCs w:val="24"/>
        </w:rPr>
        <w:t xml:space="preserve"> [Accessed November 2025]</w:t>
      </w:r>
    </w:p>
    <w:p w14:paraId="45A8049C" w14:textId="77777777" w:rsidR="00BF48EC" w:rsidRPr="0003613D" w:rsidRDefault="00BF48EC" w:rsidP="00BF48EC">
      <w:pPr>
        <w:rPr>
          <w:rFonts w:ascii="Arial" w:hAnsi="Arial" w:cs="Arial"/>
          <w:sz w:val="24"/>
          <w:szCs w:val="24"/>
        </w:rPr>
      </w:pPr>
      <w:r w:rsidRPr="0003613D">
        <w:rPr>
          <w:rFonts w:ascii="Arial" w:hAnsi="Arial" w:cs="Arial"/>
          <w:sz w:val="24"/>
          <w:szCs w:val="24"/>
        </w:rPr>
        <w:t xml:space="preserve">[9] Nomis Official Labour Market Statistics, ‘Labour Market Profile Sandwell’ </w:t>
      </w:r>
      <w:hyperlink r:id="rId28" w:history="1">
        <w:r w:rsidRPr="0003613D">
          <w:rPr>
            <w:rStyle w:val="Hyperlink"/>
            <w:rFonts w:ascii="Arial" w:hAnsi="Arial" w:cs="Arial"/>
            <w:sz w:val="24"/>
            <w:szCs w:val="24"/>
          </w:rPr>
          <w:t>https://www.nomisweb.co.uk/reports/lmp/la/1946157189/printable.aspx</w:t>
        </w:r>
      </w:hyperlink>
      <w:r w:rsidRPr="0003613D">
        <w:rPr>
          <w:rFonts w:ascii="Arial" w:hAnsi="Arial" w:cs="Arial"/>
          <w:sz w:val="24"/>
          <w:szCs w:val="24"/>
        </w:rPr>
        <w:t xml:space="preserve"> [Accessed March 2025]</w:t>
      </w:r>
    </w:p>
    <w:p w14:paraId="59C5B148" w14:textId="77777777" w:rsidR="00BF48EC" w:rsidRPr="0003613D" w:rsidRDefault="00BF48EC" w:rsidP="00BF48EC">
      <w:pPr>
        <w:rPr>
          <w:rFonts w:ascii="Arial" w:hAnsi="Arial" w:cs="Arial"/>
          <w:sz w:val="24"/>
          <w:szCs w:val="24"/>
        </w:rPr>
      </w:pPr>
      <w:r w:rsidRPr="0003613D">
        <w:rPr>
          <w:rFonts w:ascii="Arial" w:hAnsi="Arial" w:cs="Arial"/>
          <w:sz w:val="24"/>
          <w:szCs w:val="24"/>
        </w:rPr>
        <w:t>[10] HDH Planning and Development Ltd, ‘Sandwell Council Market Assessment Update 2024’ P.20</w:t>
      </w:r>
    </w:p>
    <w:p w14:paraId="102F047B" w14:textId="77777777" w:rsidR="00BF48EC" w:rsidRPr="0003613D" w:rsidRDefault="00BF48EC" w:rsidP="00BF48EC">
      <w:pPr>
        <w:rPr>
          <w:rFonts w:ascii="Arial" w:hAnsi="Arial" w:cs="Arial"/>
          <w:sz w:val="24"/>
          <w:szCs w:val="24"/>
        </w:rPr>
      </w:pPr>
      <w:r w:rsidRPr="0003613D">
        <w:rPr>
          <w:rFonts w:ascii="Arial" w:hAnsi="Arial" w:cs="Arial"/>
          <w:sz w:val="24"/>
          <w:szCs w:val="24"/>
        </w:rPr>
        <w:t>[11] Research Sandwell, ‘</w:t>
      </w:r>
      <w:r w:rsidRPr="0003613D">
        <w:rPr>
          <w:rFonts w:ascii="Arial" w:eastAsia="Calibri" w:hAnsi="Arial" w:cs="Arial"/>
          <w:bCs/>
          <w:sz w:val="24"/>
          <w:szCs w:val="24"/>
        </w:rPr>
        <w:t>The Combined Towns Profile of Sandwell 2023’ P.4</w:t>
      </w:r>
    </w:p>
    <w:p w14:paraId="76CB96AE" w14:textId="77777777" w:rsidR="00BF48EC" w:rsidRPr="0003613D" w:rsidRDefault="00BF48EC" w:rsidP="00BF48EC">
      <w:pPr>
        <w:rPr>
          <w:rFonts w:ascii="Arial" w:hAnsi="Arial" w:cs="Arial"/>
          <w:sz w:val="24"/>
          <w:szCs w:val="24"/>
        </w:rPr>
      </w:pPr>
      <w:r w:rsidRPr="0003613D">
        <w:rPr>
          <w:rFonts w:ascii="Arial" w:hAnsi="Arial" w:cs="Arial"/>
          <w:sz w:val="24"/>
          <w:szCs w:val="24"/>
        </w:rPr>
        <w:t xml:space="preserve">[12] Open Data Institute, ‘Fuel Poverty Risk Index 2023’ </w:t>
      </w:r>
      <w:hyperlink r:id="rId29" w:history="1">
        <w:r w:rsidRPr="0003613D">
          <w:rPr>
            <w:rStyle w:val="Hyperlink"/>
            <w:rFonts w:ascii="Arial" w:hAnsi="Arial" w:cs="Arial"/>
            <w:sz w:val="24"/>
            <w:szCs w:val="24"/>
          </w:rPr>
          <w:t>https://theodi.org/insights/reports/fuel-poverty-risk-index-2023/</w:t>
        </w:r>
      </w:hyperlink>
      <w:r w:rsidRPr="0003613D">
        <w:rPr>
          <w:rFonts w:ascii="Arial" w:hAnsi="Arial" w:cs="Arial"/>
          <w:sz w:val="24"/>
          <w:szCs w:val="24"/>
        </w:rPr>
        <w:t xml:space="preserve"> [Accessed March 2025]</w:t>
      </w:r>
    </w:p>
    <w:p w14:paraId="7B6093A8" w14:textId="77777777" w:rsidR="00BF48EC" w:rsidRPr="0003613D" w:rsidRDefault="00BF48EC" w:rsidP="00BF48EC">
      <w:pPr>
        <w:rPr>
          <w:rFonts w:ascii="Arial" w:eastAsia="Calibri" w:hAnsi="Arial" w:cs="Arial"/>
          <w:bCs/>
          <w:sz w:val="24"/>
          <w:szCs w:val="24"/>
        </w:rPr>
      </w:pPr>
      <w:r w:rsidRPr="0003613D">
        <w:rPr>
          <w:rFonts w:ascii="Arial" w:hAnsi="Arial" w:cs="Arial"/>
          <w:sz w:val="24"/>
          <w:szCs w:val="24"/>
        </w:rPr>
        <w:t>[13] Research Sandwell, ‘</w:t>
      </w:r>
      <w:r w:rsidRPr="0003613D">
        <w:rPr>
          <w:rFonts w:ascii="Arial" w:eastAsia="Calibri" w:hAnsi="Arial" w:cs="Arial"/>
          <w:bCs/>
          <w:sz w:val="24"/>
          <w:szCs w:val="24"/>
        </w:rPr>
        <w:t>The Combined Towns Profile of Sandwell 2023’ P.9</w:t>
      </w:r>
    </w:p>
    <w:p w14:paraId="430D9D60" w14:textId="77777777" w:rsidR="00BF48EC" w:rsidRPr="0003613D" w:rsidRDefault="00BF48EC" w:rsidP="00BF48EC">
      <w:pPr>
        <w:rPr>
          <w:rFonts w:ascii="Arial" w:hAnsi="Arial" w:cs="Arial"/>
          <w:sz w:val="24"/>
          <w:szCs w:val="24"/>
        </w:rPr>
      </w:pPr>
      <w:r w:rsidRPr="0003613D">
        <w:rPr>
          <w:rFonts w:ascii="Arial" w:eastAsia="Calibri" w:hAnsi="Arial" w:cs="Arial"/>
          <w:bCs/>
          <w:sz w:val="24"/>
          <w:szCs w:val="24"/>
        </w:rPr>
        <w:t xml:space="preserve">[14] </w:t>
      </w:r>
      <w:r w:rsidRPr="0003613D">
        <w:rPr>
          <w:rFonts w:ascii="Arial" w:hAnsi="Arial" w:cs="Arial"/>
          <w:sz w:val="24"/>
          <w:szCs w:val="24"/>
        </w:rPr>
        <w:t>HDH Planning and Development Ltd, ‘Sandwell Council Market Assessment Update 2024’</w:t>
      </w:r>
    </w:p>
    <w:p w14:paraId="7C5B43C3" w14:textId="77777777" w:rsidR="00BF48EC" w:rsidRPr="0003613D" w:rsidRDefault="00BF48EC" w:rsidP="00BF48EC">
      <w:pPr>
        <w:rPr>
          <w:rFonts w:ascii="Arial" w:hAnsi="Arial" w:cs="Arial"/>
          <w:sz w:val="24"/>
          <w:szCs w:val="24"/>
        </w:rPr>
      </w:pPr>
      <w:r w:rsidRPr="0003613D">
        <w:rPr>
          <w:rFonts w:ascii="Arial" w:eastAsia="Calibri" w:hAnsi="Arial" w:cs="Arial"/>
          <w:bCs/>
          <w:sz w:val="24"/>
          <w:szCs w:val="24"/>
        </w:rPr>
        <w:t xml:space="preserve">[15] </w:t>
      </w:r>
      <w:r w:rsidRPr="0003613D">
        <w:rPr>
          <w:rFonts w:ascii="Arial" w:hAnsi="Arial" w:cs="Arial"/>
          <w:sz w:val="24"/>
          <w:szCs w:val="24"/>
        </w:rPr>
        <w:t>HDH Planning and Development Ltd, ‘Sandwell Council Market Assessment Update 2024’</w:t>
      </w:r>
    </w:p>
    <w:p w14:paraId="54439284" w14:textId="77777777" w:rsidR="00BF48EC" w:rsidRPr="0003613D" w:rsidRDefault="00BF48EC" w:rsidP="00BF48EC">
      <w:pPr>
        <w:rPr>
          <w:rFonts w:ascii="Arial" w:hAnsi="Arial" w:cs="Arial"/>
          <w:sz w:val="24"/>
          <w:szCs w:val="24"/>
        </w:rPr>
      </w:pPr>
      <w:r w:rsidRPr="0003613D">
        <w:rPr>
          <w:rFonts w:ascii="Arial" w:hAnsi="Arial" w:cs="Arial"/>
          <w:sz w:val="24"/>
          <w:szCs w:val="24"/>
        </w:rPr>
        <w:lastRenderedPageBreak/>
        <w:t>[16] HDH Planning and Development Ltd, ‘Sandwell Council Market Assessment Update 2024’ P.21</w:t>
      </w:r>
    </w:p>
    <w:p w14:paraId="3F58A367" w14:textId="77777777" w:rsidR="00BF48EC" w:rsidRPr="0003613D" w:rsidRDefault="00BF48EC" w:rsidP="00BF48EC">
      <w:pPr>
        <w:rPr>
          <w:rFonts w:ascii="Arial" w:eastAsia="Calibri" w:hAnsi="Arial" w:cs="Arial"/>
          <w:bCs/>
          <w:sz w:val="24"/>
          <w:szCs w:val="24"/>
        </w:rPr>
      </w:pPr>
      <w:r w:rsidRPr="0003613D">
        <w:rPr>
          <w:rFonts w:ascii="Arial" w:hAnsi="Arial" w:cs="Arial"/>
          <w:sz w:val="24"/>
          <w:szCs w:val="24"/>
        </w:rPr>
        <w:t xml:space="preserve">[17] Office for National Statistics, ‘Housing Prices in Sandwell’ </w:t>
      </w:r>
      <w:hyperlink r:id="rId30" w:anchor="house_price" w:history="1">
        <w:r w:rsidRPr="0003613D">
          <w:rPr>
            <w:rStyle w:val="Hyperlink"/>
            <w:rFonts w:ascii="Arial" w:eastAsia="Calibri" w:hAnsi="Arial" w:cs="Arial"/>
            <w:bCs/>
            <w:sz w:val="24"/>
            <w:szCs w:val="24"/>
          </w:rPr>
          <w:t>https://www.ons.gov.uk/visualisations/housingpriceslocal/E08000028/#house_price</w:t>
        </w:r>
      </w:hyperlink>
      <w:r w:rsidRPr="0003613D">
        <w:rPr>
          <w:rFonts w:ascii="Arial" w:eastAsia="Calibri" w:hAnsi="Arial" w:cs="Arial"/>
          <w:bCs/>
          <w:sz w:val="24"/>
          <w:szCs w:val="24"/>
        </w:rPr>
        <w:t xml:space="preserve"> [Accessed March 2025]</w:t>
      </w:r>
    </w:p>
    <w:p w14:paraId="46816AE7" w14:textId="77777777" w:rsidR="00BF48EC" w:rsidRPr="0003613D" w:rsidRDefault="00BF48EC" w:rsidP="00BF48EC">
      <w:pPr>
        <w:rPr>
          <w:rFonts w:ascii="Arial" w:eastAsia="Calibri" w:hAnsi="Arial" w:cs="Arial"/>
          <w:bCs/>
          <w:sz w:val="24"/>
          <w:szCs w:val="24"/>
        </w:rPr>
      </w:pPr>
      <w:r w:rsidRPr="0003613D">
        <w:rPr>
          <w:rFonts w:ascii="Arial" w:hAnsi="Arial" w:cs="Arial"/>
          <w:sz w:val="24"/>
          <w:szCs w:val="24"/>
        </w:rPr>
        <w:t xml:space="preserve">[18] Office for National Statistics, ‘Housing Prices in Sandwell’ </w:t>
      </w:r>
      <w:hyperlink r:id="rId31" w:anchor="house_price" w:history="1">
        <w:r w:rsidRPr="0003613D">
          <w:rPr>
            <w:rStyle w:val="Hyperlink"/>
            <w:rFonts w:ascii="Arial" w:eastAsia="Calibri" w:hAnsi="Arial" w:cs="Arial"/>
            <w:bCs/>
            <w:sz w:val="24"/>
            <w:szCs w:val="24"/>
          </w:rPr>
          <w:t>https://www.ons.gov.uk/visualisations/housingpriceslocal/E08000028/#house_price</w:t>
        </w:r>
      </w:hyperlink>
      <w:r w:rsidRPr="0003613D">
        <w:rPr>
          <w:rFonts w:ascii="Arial" w:eastAsia="Calibri" w:hAnsi="Arial" w:cs="Arial"/>
          <w:bCs/>
          <w:sz w:val="24"/>
          <w:szCs w:val="24"/>
        </w:rPr>
        <w:t xml:space="preserve"> [Accessed March 2025]</w:t>
      </w:r>
    </w:p>
    <w:p w14:paraId="6DEEFA81" w14:textId="77777777" w:rsidR="00BF48EC" w:rsidRPr="0003613D" w:rsidRDefault="00BF48EC" w:rsidP="00BF48EC">
      <w:pPr>
        <w:rPr>
          <w:rFonts w:ascii="Arial" w:eastAsia="Calibri" w:hAnsi="Arial" w:cs="Arial"/>
          <w:bCs/>
          <w:sz w:val="24"/>
          <w:szCs w:val="24"/>
        </w:rPr>
      </w:pPr>
      <w:r w:rsidRPr="0003613D">
        <w:rPr>
          <w:rFonts w:ascii="Arial" w:hAnsi="Arial" w:cs="Arial"/>
          <w:sz w:val="24"/>
          <w:szCs w:val="24"/>
        </w:rPr>
        <w:t>[19] Research Sandwell, ‘</w:t>
      </w:r>
      <w:r w:rsidRPr="0003613D">
        <w:rPr>
          <w:rFonts w:ascii="Arial" w:eastAsia="Calibri" w:hAnsi="Arial" w:cs="Arial"/>
          <w:bCs/>
          <w:sz w:val="24"/>
          <w:szCs w:val="24"/>
        </w:rPr>
        <w:t>The Combined Towns Profile of Sandwell 2023’ P.10</w:t>
      </w:r>
    </w:p>
    <w:p w14:paraId="040D17DC" w14:textId="77777777" w:rsidR="00BF48EC" w:rsidRPr="0003613D" w:rsidRDefault="00BF48EC" w:rsidP="00BF48EC">
      <w:pPr>
        <w:rPr>
          <w:rFonts w:ascii="Arial" w:eastAsia="Calibri" w:hAnsi="Arial" w:cs="Arial"/>
          <w:bCs/>
          <w:sz w:val="24"/>
          <w:szCs w:val="24"/>
        </w:rPr>
      </w:pPr>
      <w:r w:rsidRPr="0003613D">
        <w:rPr>
          <w:rFonts w:ascii="Arial" w:hAnsi="Arial" w:cs="Arial"/>
          <w:sz w:val="24"/>
          <w:szCs w:val="24"/>
        </w:rPr>
        <w:t>[20] Research Sandwell, ‘</w:t>
      </w:r>
      <w:r w:rsidRPr="0003613D">
        <w:rPr>
          <w:rFonts w:ascii="Arial" w:eastAsia="Calibri" w:hAnsi="Arial" w:cs="Arial"/>
          <w:bCs/>
          <w:sz w:val="24"/>
          <w:szCs w:val="24"/>
        </w:rPr>
        <w:t>The Combined Towns Profile of Sandwell 2023’ P.10</w:t>
      </w:r>
    </w:p>
    <w:p w14:paraId="0559031B" w14:textId="77777777" w:rsidR="00BF48EC" w:rsidRPr="0003613D" w:rsidRDefault="00BF48EC" w:rsidP="00BF48EC">
      <w:pPr>
        <w:rPr>
          <w:rFonts w:ascii="Arial" w:eastAsia="Calibri" w:hAnsi="Arial" w:cs="Arial"/>
          <w:bCs/>
          <w:sz w:val="24"/>
          <w:szCs w:val="24"/>
        </w:rPr>
      </w:pPr>
      <w:r w:rsidRPr="0003613D">
        <w:rPr>
          <w:rFonts w:ascii="Arial" w:hAnsi="Arial" w:cs="Arial"/>
          <w:sz w:val="24"/>
          <w:szCs w:val="24"/>
        </w:rPr>
        <w:t>[21] Research Sandwell, ‘</w:t>
      </w:r>
      <w:r w:rsidRPr="0003613D">
        <w:rPr>
          <w:rFonts w:ascii="Arial" w:eastAsia="Calibri" w:hAnsi="Arial" w:cs="Arial"/>
          <w:bCs/>
          <w:sz w:val="24"/>
          <w:szCs w:val="24"/>
        </w:rPr>
        <w:t>The Combined Towns Profile of Sandwell 2023’ P.10</w:t>
      </w:r>
    </w:p>
    <w:p w14:paraId="42D8CE6B" w14:textId="77777777" w:rsidR="00BF48EC" w:rsidRPr="0003613D" w:rsidRDefault="00BF48EC" w:rsidP="00BF48EC">
      <w:pPr>
        <w:rPr>
          <w:rFonts w:ascii="Arial" w:eastAsia="Calibri" w:hAnsi="Arial" w:cs="Arial"/>
          <w:bCs/>
          <w:sz w:val="24"/>
          <w:szCs w:val="24"/>
        </w:rPr>
      </w:pPr>
      <w:r w:rsidRPr="0003613D">
        <w:rPr>
          <w:rFonts w:ascii="Arial" w:eastAsia="Calibri" w:hAnsi="Arial" w:cs="Arial"/>
          <w:bCs/>
          <w:sz w:val="24"/>
          <w:szCs w:val="24"/>
        </w:rPr>
        <w:t xml:space="preserve">[22] Sandwell Trends, ‘Households’ </w:t>
      </w:r>
      <w:hyperlink r:id="rId32" w:anchor=":~:text=In%202021%2C%2054.2%25%20(70%2C635,respectively%20in%20England%20%26%20Wales)" w:history="1">
        <w:r w:rsidRPr="0003613D">
          <w:rPr>
            <w:rStyle w:val="Hyperlink"/>
            <w:rFonts w:ascii="Arial" w:eastAsia="Calibri" w:hAnsi="Arial" w:cs="Arial"/>
            <w:bCs/>
            <w:sz w:val="24"/>
            <w:szCs w:val="24"/>
          </w:rPr>
          <w:t>https://www.sandwelltrends.info/household-characteristics/#:~:text=In%202021%2C%2054.2%25%20(70%2C635,respectively%20in%20England%20%26%20Wales)</w:t>
        </w:r>
      </w:hyperlink>
      <w:r w:rsidRPr="0003613D">
        <w:rPr>
          <w:rFonts w:ascii="Arial" w:eastAsia="Calibri" w:hAnsi="Arial" w:cs="Arial"/>
          <w:bCs/>
          <w:sz w:val="24"/>
          <w:szCs w:val="24"/>
        </w:rPr>
        <w:t xml:space="preserve"> [Accessed March 2025]</w:t>
      </w:r>
    </w:p>
    <w:p w14:paraId="1273ADC6" w14:textId="77777777" w:rsidR="00BF48EC" w:rsidRPr="0003613D" w:rsidRDefault="00BF48EC" w:rsidP="00BF48EC">
      <w:pPr>
        <w:rPr>
          <w:rFonts w:ascii="Arial" w:eastAsia="Calibri" w:hAnsi="Arial" w:cs="Arial"/>
          <w:bCs/>
          <w:sz w:val="24"/>
          <w:szCs w:val="24"/>
        </w:rPr>
      </w:pPr>
      <w:r w:rsidRPr="0003613D">
        <w:rPr>
          <w:rFonts w:ascii="Arial" w:eastAsia="Calibri" w:hAnsi="Arial" w:cs="Arial"/>
          <w:bCs/>
          <w:sz w:val="24"/>
          <w:szCs w:val="24"/>
        </w:rPr>
        <w:t xml:space="preserve">[23] </w:t>
      </w:r>
      <w:r w:rsidRPr="0003613D">
        <w:rPr>
          <w:rFonts w:ascii="Arial" w:hAnsi="Arial" w:cs="Arial"/>
          <w:sz w:val="24"/>
          <w:szCs w:val="24"/>
        </w:rPr>
        <w:t>Research Sandwell, ‘</w:t>
      </w:r>
      <w:r w:rsidRPr="0003613D">
        <w:rPr>
          <w:rFonts w:ascii="Arial" w:eastAsia="Calibri" w:hAnsi="Arial" w:cs="Arial"/>
          <w:bCs/>
          <w:sz w:val="24"/>
          <w:szCs w:val="24"/>
        </w:rPr>
        <w:t>The Combined Towns Profile of Sandwell 2023’ P.10</w:t>
      </w:r>
    </w:p>
    <w:p w14:paraId="7ADE42AB" w14:textId="77777777" w:rsidR="00BF48EC" w:rsidRPr="0003613D" w:rsidRDefault="00BF48EC" w:rsidP="00BF48EC">
      <w:pPr>
        <w:rPr>
          <w:rFonts w:ascii="Arial" w:hAnsi="Arial" w:cs="Arial"/>
          <w:sz w:val="24"/>
          <w:szCs w:val="24"/>
        </w:rPr>
      </w:pPr>
      <w:r w:rsidRPr="0003613D">
        <w:rPr>
          <w:rFonts w:ascii="Arial" w:eastAsia="Calibri" w:hAnsi="Arial" w:cs="Arial"/>
          <w:bCs/>
          <w:sz w:val="24"/>
          <w:szCs w:val="24"/>
        </w:rPr>
        <w:t xml:space="preserve">[24] </w:t>
      </w:r>
      <w:r w:rsidRPr="0003613D">
        <w:rPr>
          <w:rFonts w:ascii="Arial" w:hAnsi="Arial" w:cs="Arial"/>
          <w:sz w:val="24"/>
          <w:szCs w:val="24"/>
        </w:rPr>
        <w:t>HDH Planning and Development Ltd, ‘Sandwell Council Market Assessment Update 2024’ P.58</w:t>
      </w:r>
    </w:p>
    <w:p w14:paraId="3BB08DBC" w14:textId="77777777" w:rsidR="00BF48EC" w:rsidRPr="0003613D" w:rsidRDefault="00BF48EC" w:rsidP="00BF48EC">
      <w:pPr>
        <w:rPr>
          <w:rFonts w:ascii="Arial" w:hAnsi="Arial" w:cs="Arial"/>
          <w:sz w:val="24"/>
          <w:szCs w:val="24"/>
        </w:rPr>
      </w:pPr>
      <w:r w:rsidRPr="0003613D">
        <w:rPr>
          <w:rFonts w:ascii="Arial" w:eastAsia="Calibri" w:hAnsi="Arial" w:cs="Arial"/>
          <w:bCs/>
          <w:sz w:val="24"/>
          <w:szCs w:val="24"/>
        </w:rPr>
        <w:t xml:space="preserve">[25] </w:t>
      </w:r>
      <w:r w:rsidRPr="0003613D">
        <w:rPr>
          <w:rFonts w:ascii="Arial" w:hAnsi="Arial" w:cs="Arial"/>
          <w:sz w:val="24"/>
          <w:szCs w:val="24"/>
        </w:rPr>
        <w:t>HDH Planning and Development Ltd, ‘Sandwell Council Market Assessment Update 2024’ P.58</w:t>
      </w:r>
    </w:p>
    <w:p w14:paraId="7F3A499F" w14:textId="77777777" w:rsidR="00BF48EC" w:rsidRPr="0003613D" w:rsidRDefault="00BF48EC" w:rsidP="00BF48EC">
      <w:pPr>
        <w:rPr>
          <w:rFonts w:ascii="Arial" w:eastAsia="Calibri" w:hAnsi="Arial" w:cs="Arial"/>
          <w:bCs/>
          <w:sz w:val="24"/>
          <w:szCs w:val="24"/>
        </w:rPr>
      </w:pPr>
      <w:r w:rsidRPr="0003613D">
        <w:rPr>
          <w:rFonts w:ascii="Arial" w:eastAsia="Calibri" w:hAnsi="Arial" w:cs="Arial"/>
          <w:bCs/>
          <w:sz w:val="24"/>
          <w:szCs w:val="24"/>
        </w:rPr>
        <w:t xml:space="preserve">[26] Sandwell Council, ‘Housing Strategy 2023-2028’ P.9 </w:t>
      </w:r>
    </w:p>
    <w:p w14:paraId="7A276147" w14:textId="77777777" w:rsidR="00BF48EC" w:rsidRPr="0003613D" w:rsidRDefault="00BF48EC" w:rsidP="00BF48EC">
      <w:pPr>
        <w:rPr>
          <w:rFonts w:ascii="Arial" w:eastAsia="Calibri" w:hAnsi="Arial" w:cs="Arial"/>
          <w:bCs/>
          <w:sz w:val="24"/>
          <w:szCs w:val="24"/>
        </w:rPr>
      </w:pPr>
      <w:r w:rsidRPr="0003613D">
        <w:rPr>
          <w:rFonts w:ascii="Arial" w:eastAsia="Calibri" w:hAnsi="Arial" w:cs="Arial"/>
          <w:bCs/>
          <w:sz w:val="24"/>
          <w:szCs w:val="24"/>
        </w:rPr>
        <w:t>[27] Sandwell Council, ‘Housing Strategy 2023-2028’ P.9</w:t>
      </w:r>
    </w:p>
    <w:p w14:paraId="53CBDF32" w14:textId="77777777" w:rsidR="00BF48EC" w:rsidRPr="0003613D" w:rsidRDefault="00BF48EC" w:rsidP="00BF48EC">
      <w:pPr>
        <w:rPr>
          <w:rFonts w:ascii="Arial" w:eastAsia="Calibri" w:hAnsi="Arial" w:cs="Arial"/>
          <w:bCs/>
          <w:sz w:val="24"/>
          <w:szCs w:val="24"/>
        </w:rPr>
      </w:pPr>
      <w:r w:rsidRPr="0003613D">
        <w:rPr>
          <w:rFonts w:ascii="Arial" w:eastAsia="Calibri" w:hAnsi="Arial" w:cs="Arial"/>
          <w:bCs/>
          <w:sz w:val="24"/>
          <w:szCs w:val="24"/>
        </w:rPr>
        <w:t xml:space="preserve">[28] Sandwell Trends, ‘Health, Disability and Unpaid Care’ </w:t>
      </w:r>
      <w:hyperlink r:id="rId33" w:anchor=":~:text=In%20Sandwell%2C%2020%25%20of%20residents,to%2Dday%20activities%20a%20lot" w:history="1">
        <w:r w:rsidRPr="0003613D">
          <w:rPr>
            <w:rStyle w:val="Hyperlink"/>
            <w:rFonts w:ascii="Arial" w:eastAsia="Calibri" w:hAnsi="Arial" w:cs="Arial"/>
            <w:bCs/>
            <w:sz w:val="24"/>
            <w:szCs w:val="24"/>
          </w:rPr>
          <w:t>https://www.sandwelltrends.info/health/#:~:text=In%20Sandwell%2C%2020%25%20of%20residents,to%2Dday%20activities%20a%20lot</w:t>
        </w:r>
      </w:hyperlink>
      <w:r w:rsidRPr="0003613D">
        <w:rPr>
          <w:rFonts w:ascii="Arial" w:eastAsia="Calibri" w:hAnsi="Arial" w:cs="Arial"/>
          <w:bCs/>
          <w:sz w:val="24"/>
          <w:szCs w:val="24"/>
        </w:rPr>
        <w:t xml:space="preserve"> [Accessed March 2025]</w:t>
      </w:r>
    </w:p>
    <w:p w14:paraId="4F3E6B7D" w14:textId="77777777" w:rsidR="00BF48EC" w:rsidRPr="0003613D" w:rsidRDefault="00BF48EC" w:rsidP="00BF48EC">
      <w:pPr>
        <w:rPr>
          <w:rFonts w:ascii="Arial" w:eastAsia="Calibri" w:hAnsi="Arial" w:cs="Arial"/>
          <w:bCs/>
          <w:sz w:val="24"/>
          <w:szCs w:val="24"/>
        </w:rPr>
      </w:pPr>
      <w:r w:rsidRPr="0003613D">
        <w:rPr>
          <w:rFonts w:ascii="Arial" w:eastAsia="Calibri" w:hAnsi="Arial" w:cs="Arial"/>
          <w:bCs/>
          <w:sz w:val="24"/>
          <w:szCs w:val="24"/>
        </w:rPr>
        <w:t xml:space="preserve">[29] </w:t>
      </w:r>
      <w:r w:rsidRPr="0003613D">
        <w:rPr>
          <w:rFonts w:ascii="Arial" w:hAnsi="Arial" w:cs="Arial"/>
          <w:sz w:val="24"/>
          <w:szCs w:val="24"/>
        </w:rPr>
        <w:t>Research Sandwell, ‘</w:t>
      </w:r>
      <w:r w:rsidRPr="0003613D">
        <w:rPr>
          <w:rFonts w:ascii="Arial" w:eastAsia="Calibri" w:hAnsi="Arial" w:cs="Arial"/>
          <w:bCs/>
          <w:sz w:val="24"/>
          <w:szCs w:val="24"/>
        </w:rPr>
        <w:t>The Combined Towns Profile of Sandwell 2023’ P.4</w:t>
      </w:r>
    </w:p>
    <w:p w14:paraId="28AE6A96" w14:textId="77777777" w:rsidR="00BF48EC" w:rsidRPr="0003613D" w:rsidRDefault="00BF48EC" w:rsidP="00BF48EC">
      <w:pPr>
        <w:rPr>
          <w:rFonts w:ascii="Arial" w:hAnsi="Arial" w:cs="Arial"/>
          <w:sz w:val="24"/>
          <w:szCs w:val="24"/>
        </w:rPr>
      </w:pPr>
      <w:r w:rsidRPr="0003613D">
        <w:rPr>
          <w:rFonts w:ascii="Arial" w:eastAsia="Calibri" w:hAnsi="Arial" w:cs="Arial"/>
          <w:bCs/>
          <w:sz w:val="24"/>
          <w:szCs w:val="24"/>
        </w:rPr>
        <w:t xml:space="preserve">[30] </w:t>
      </w:r>
      <w:r w:rsidRPr="0003613D">
        <w:rPr>
          <w:rFonts w:ascii="Arial" w:hAnsi="Arial" w:cs="Arial"/>
          <w:sz w:val="24"/>
          <w:szCs w:val="24"/>
        </w:rPr>
        <w:t>HDH Planning and Development Ltd, ‘Sandwell Council Market Assessment Update 2024’ P.80</w:t>
      </w:r>
    </w:p>
    <w:p w14:paraId="463BBD9B" w14:textId="77777777" w:rsidR="00BF48EC" w:rsidRPr="0003613D" w:rsidRDefault="00BF48EC" w:rsidP="00BF48EC">
      <w:pPr>
        <w:rPr>
          <w:rFonts w:ascii="Arial" w:hAnsi="Arial" w:cs="Arial"/>
          <w:sz w:val="24"/>
          <w:szCs w:val="24"/>
        </w:rPr>
      </w:pPr>
      <w:r w:rsidRPr="0003613D">
        <w:rPr>
          <w:rFonts w:ascii="Arial" w:eastAsia="Calibri" w:hAnsi="Arial" w:cs="Arial"/>
          <w:bCs/>
          <w:sz w:val="24"/>
          <w:szCs w:val="24"/>
        </w:rPr>
        <w:t xml:space="preserve">[31] </w:t>
      </w:r>
      <w:r w:rsidRPr="0003613D">
        <w:rPr>
          <w:rFonts w:ascii="Arial" w:hAnsi="Arial" w:cs="Arial"/>
          <w:sz w:val="24"/>
          <w:szCs w:val="24"/>
        </w:rPr>
        <w:t>HDH Planning and Development Ltd, ‘Sandwell Council Market Assessment Update 2024’ P.80</w:t>
      </w:r>
    </w:p>
    <w:p w14:paraId="7CE5B73A" w14:textId="77777777" w:rsidR="00BF48EC" w:rsidRPr="0003613D" w:rsidRDefault="00BF48EC" w:rsidP="00BF48EC">
      <w:pPr>
        <w:rPr>
          <w:rFonts w:ascii="Arial" w:hAnsi="Arial" w:cs="Arial"/>
          <w:sz w:val="24"/>
          <w:szCs w:val="24"/>
        </w:rPr>
      </w:pPr>
      <w:r w:rsidRPr="0003613D">
        <w:rPr>
          <w:rFonts w:ascii="Arial" w:eastAsia="Calibri" w:hAnsi="Arial" w:cs="Arial"/>
          <w:bCs/>
          <w:sz w:val="24"/>
          <w:szCs w:val="24"/>
        </w:rPr>
        <w:t xml:space="preserve">[32] </w:t>
      </w:r>
      <w:r w:rsidRPr="0003613D">
        <w:rPr>
          <w:rFonts w:ascii="Arial" w:hAnsi="Arial" w:cs="Arial"/>
          <w:sz w:val="24"/>
          <w:szCs w:val="24"/>
        </w:rPr>
        <w:t>HDH Planning and Development Ltd, ‘Sandwell Council Market Assessment Update 2024’ P.70</w:t>
      </w:r>
    </w:p>
    <w:p w14:paraId="13B316B2" w14:textId="77777777" w:rsidR="00BF48EC" w:rsidRPr="0003613D" w:rsidRDefault="00BF48EC" w:rsidP="00BF48EC">
      <w:pPr>
        <w:rPr>
          <w:rFonts w:ascii="Arial" w:hAnsi="Arial" w:cs="Arial"/>
          <w:sz w:val="24"/>
          <w:szCs w:val="24"/>
        </w:rPr>
      </w:pPr>
      <w:r w:rsidRPr="0003613D">
        <w:rPr>
          <w:rFonts w:ascii="Arial" w:eastAsia="Calibri" w:hAnsi="Arial" w:cs="Arial"/>
          <w:bCs/>
          <w:sz w:val="24"/>
          <w:szCs w:val="24"/>
        </w:rPr>
        <w:t xml:space="preserve">[33] </w:t>
      </w:r>
      <w:r w:rsidRPr="0003613D">
        <w:rPr>
          <w:rFonts w:ascii="Arial" w:hAnsi="Arial" w:cs="Arial"/>
          <w:sz w:val="24"/>
          <w:szCs w:val="24"/>
        </w:rPr>
        <w:t>HDH Planning and Development Ltd, ‘Sandwell Council Market Assessment Update 2024’ P.70</w:t>
      </w:r>
    </w:p>
    <w:p w14:paraId="587A706C" w14:textId="77777777" w:rsidR="00BF48EC" w:rsidRPr="0003613D" w:rsidRDefault="00BF48EC" w:rsidP="00BF48EC">
      <w:pPr>
        <w:rPr>
          <w:rFonts w:ascii="Arial" w:hAnsi="Arial" w:cs="Arial"/>
          <w:sz w:val="24"/>
          <w:szCs w:val="24"/>
        </w:rPr>
      </w:pPr>
      <w:r w:rsidRPr="0003613D">
        <w:rPr>
          <w:rFonts w:ascii="Arial" w:hAnsi="Arial" w:cs="Arial"/>
          <w:sz w:val="24"/>
          <w:szCs w:val="24"/>
        </w:rPr>
        <w:t>[34] HDH Planning and Development Ltd, ‘Sandwell Council Market Assessment Update 2024’ P.70</w:t>
      </w:r>
    </w:p>
    <w:p w14:paraId="6C37BD31" w14:textId="77777777" w:rsidR="00BF48EC" w:rsidRPr="0003613D" w:rsidRDefault="00BF48EC" w:rsidP="00BF48EC">
      <w:pPr>
        <w:rPr>
          <w:rFonts w:ascii="Arial" w:hAnsi="Arial" w:cs="Arial"/>
          <w:sz w:val="24"/>
          <w:szCs w:val="24"/>
        </w:rPr>
      </w:pPr>
      <w:r w:rsidRPr="0003613D">
        <w:rPr>
          <w:rFonts w:ascii="Arial" w:hAnsi="Arial" w:cs="Arial"/>
          <w:sz w:val="24"/>
          <w:szCs w:val="24"/>
        </w:rPr>
        <w:lastRenderedPageBreak/>
        <w:t>[35] HDH Planning and Development Ltd, ‘Sandwell Council Market Assessment Update 2024’ P.71</w:t>
      </w:r>
    </w:p>
    <w:p w14:paraId="3161F876" w14:textId="77777777" w:rsidR="00BF48EC" w:rsidRPr="0003613D" w:rsidRDefault="00BF48EC" w:rsidP="00BF48EC">
      <w:pPr>
        <w:rPr>
          <w:rFonts w:ascii="Arial" w:hAnsi="Arial" w:cs="Arial"/>
          <w:sz w:val="24"/>
          <w:szCs w:val="24"/>
        </w:rPr>
      </w:pPr>
      <w:r w:rsidRPr="0003613D">
        <w:rPr>
          <w:rFonts w:ascii="Arial" w:hAnsi="Arial" w:cs="Arial"/>
          <w:sz w:val="24"/>
          <w:szCs w:val="24"/>
        </w:rPr>
        <w:t>[36] HDH Planning and Development Ltd, ‘Sandwell Council Market Assessment Update 2024’ P.72</w:t>
      </w:r>
    </w:p>
    <w:p w14:paraId="1685A3DB" w14:textId="77777777" w:rsidR="00BF48EC" w:rsidRPr="0003613D" w:rsidRDefault="00BF48EC" w:rsidP="00BF48EC">
      <w:pPr>
        <w:rPr>
          <w:rFonts w:ascii="Arial" w:hAnsi="Arial" w:cs="Arial"/>
          <w:sz w:val="24"/>
          <w:szCs w:val="24"/>
        </w:rPr>
      </w:pPr>
      <w:r w:rsidRPr="0003613D">
        <w:rPr>
          <w:rFonts w:ascii="Arial" w:hAnsi="Arial" w:cs="Arial"/>
          <w:sz w:val="24"/>
          <w:szCs w:val="24"/>
        </w:rPr>
        <w:t>[37] HDH Planning and Development Ltd, ‘Sandwell Council Market Assessment Update 2024’ P.83</w:t>
      </w:r>
    </w:p>
    <w:p w14:paraId="1FEBCBFF" w14:textId="77777777" w:rsidR="00BF48EC" w:rsidRPr="0003613D" w:rsidRDefault="00BF48EC" w:rsidP="00BF48EC">
      <w:pPr>
        <w:rPr>
          <w:rFonts w:ascii="Arial" w:hAnsi="Arial" w:cs="Arial"/>
          <w:sz w:val="24"/>
          <w:szCs w:val="24"/>
        </w:rPr>
      </w:pPr>
      <w:r w:rsidRPr="0003613D">
        <w:rPr>
          <w:rFonts w:ascii="Arial" w:hAnsi="Arial" w:cs="Arial"/>
          <w:sz w:val="24"/>
          <w:szCs w:val="24"/>
        </w:rPr>
        <w:t>[38] HDH Planning and Development Ltd, ‘Sandwell Council Market Assessment Update 2024’ P.84</w:t>
      </w:r>
    </w:p>
    <w:p w14:paraId="33FDBB65" w14:textId="77777777" w:rsidR="00BF48EC" w:rsidRPr="0003613D" w:rsidRDefault="00BF48EC" w:rsidP="00BF48EC">
      <w:pPr>
        <w:rPr>
          <w:rFonts w:ascii="Arial" w:hAnsi="Arial" w:cs="Arial"/>
          <w:sz w:val="24"/>
          <w:szCs w:val="24"/>
        </w:rPr>
      </w:pPr>
      <w:r w:rsidRPr="0003613D">
        <w:rPr>
          <w:rFonts w:ascii="Arial" w:hAnsi="Arial" w:cs="Arial"/>
          <w:sz w:val="24"/>
          <w:szCs w:val="24"/>
        </w:rPr>
        <w:t>[39] Sandwell Council, ‘Sandwell Borough of Sanctuary’ P.14</w:t>
      </w:r>
    </w:p>
    <w:p w14:paraId="280AEFA7" w14:textId="77777777" w:rsidR="00BF48EC" w:rsidRPr="0003613D" w:rsidRDefault="00BF48EC" w:rsidP="00BF48EC">
      <w:pPr>
        <w:rPr>
          <w:rFonts w:ascii="Arial" w:hAnsi="Arial" w:cs="Arial"/>
          <w:sz w:val="24"/>
          <w:szCs w:val="24"/>
        </w:rPr>
      </w:pPr>
      <w:r w:rsidRPr="0003613D">
        <w:rPr>
          <w:rFonts w:ascii="Arial" w:hAnsi="Arial" w:cs="Arial"/>
          <w:sz w:val="24"/>
          <w:szCs w:val="24"/>
        </w:rPr>
        <w:t>[40] Sandwell Council, ‘Sandwell Borough of Sanctuary’ P.15</w:t>
      </w:r>
    </w:p>
    <w:p w14:paraId="4698AAF7" w14:textId="77777777" w:rsidR="00BF48EC" w:rsidRPr="0003613D" w:rsidRDefault="00BF48EC" w:rsidP="00BF48EC">
      <w:pPr>
        <w:rPr>
          <w:rFonts w:ascii="Arial" w:hAnsi="Arial" w:cs="Arial"/>
          <w:sz w:val="24"/>
          <w:szCs w:val="24"/>
        </w:rPr>
      </w:pPr>
      <w:r w:rsidRPr="0003613D">
        <w:rPr>
          <w:rFonts w:ascii="Arial" w:hAnsi="Arial" w:cs="Arial"/>
          <w:sz w:val="24"/>
          <w:szCs w:val="24"/>
        </w:rPr>
        <w:t>[41] Sandwell Council, ‘Migrant Health Needs Assessment’</w:t>
      </w:r>
    </w:p>
    <w:p w14:paraId="69E3A2A4" w14:textId="77777777" w:rsidR="00BF48EC" w:rsidRPr="0003613D" w:rsidRDefault="00BF48EC" w:rsidP="00BF48EC">
      <w:pPr>
        <w:rPr>
          <w:rFonts w:ascii="Arial" w:hAnsi="Arial" w:cs="Arial"/>
          <w:sz w:val="24"/>
          <w:szCs w:val="24"/>
        </w:rPr>
      </w:pPr>
      <w:r w:rsidRPr="0003613D">
        <w:rPr>
          <w:rFonts w:ascii="Arial" w:hAnsi="Arial" w:cs="Arial"/>
          <w:sz w:val="24"/>
          <w:szCs w:val="24"/>
        </w:rPr>
        <w:t>[42] Sandwell Council, ‘Sandwell Borough of Sanctuary’ P.16</w:t>
      </w:r>
    </w:p>
    <w:p w14:paraId="5CE35068" w14:textId="77777777" w:rsidR="00BF48EC" w:rsidRPr="0003613D" w:rsidRDefault="00BF48EC" w:rsidP="00BF48EC">
      <w:pPr>
        <w:rPr>
          <w:rFonts w:ascii="Arial" w:hAnsi="Arial" w:cs="Arial"/>
          <w:sz w:val="24"/>
          <w:szCs w:val="24"/>
        </w:rPr>
      </w:pPr>
      <w:r w:rsidRPr="0003613D">
        <w:rPr>
          <w:rFonts w:ascii="Arial" w:hAnsi="Arial" w:cs="Arial"/>
          <w:sz w:val="24"/>
          <w:szCs w:val="24"/>
        </w:rPr>
        <w:t>[43] Sandwell Council, ‘Migrant Health Needs Assessment’</w:t>
      </w:r>
    </w:p>
    <w:p w14:paraId="59C23DE6" w14:textId="3F401659" w:rsidR="005A02B8" w:rsidRPr="0003613D" w:rsidRDefault="005A02B8" w:rsidP="005A02B8">
      <w:pPr>
        <w:rPr>
          <w:rFonts w:ascii="Arial" w:hAnsi="Arial" w:cs="Arial"/>
          <w:sz w:val="24"/>
          <w:szCs w:val="24"/>
        </w:rPr>
      </w:pPr>
      <w:r w:rsidRPr="0003613D">
        <w:rPr>
          <w:rFonts w:ascii="Arial" w:hAnsi="Arial" w:cs="Arial"/>
          <w:sz w:val="24"/>
          <w:szCs w:val="24"/>
        </w:rPr>
        <w:t>[44] Office for National Statistics, ‘Gypsy or Irish Traveller populations, England and Wales: Census 2021, ‘</w:t>
      </w:r>
      <w:hyperlink r:id="rId34" w:history="1">
        <w:r w:rsidRPr="0003613D">
          <w:rPr>
            <w:rStyle w:val="Hyperlink"/>
            <w:rFonts w:ascii="Arial" w:hAnsi="Arial" w:cs="Arial"/>
            <w:sz w:val="24"/>
            <w:szCs w:val="24"/>
          </w:rPr>
          <w:t>https://www.ons.gov.uk/peoplepopulationandcommunity/culturalidentity/ethnicity/articles/gypsyoririshtravellerpopulationsenglandandwales/census2021</w:t>
        </w:r>
      </w:hyperlink>
      <w:r w:rsidRPr="0003613D">
        <w:rPr>
          <w:rFonts w:ascii="Arial" w:hAnsi="Arial" w:cs="Arial"/>
          <w:sz w:val="24"/>
          <w:szCs w:val="24"/>
        </w:rPr>
        <w:t xml:space="preserve"> [Accessed March 2025]</w:t>
      </w:r>
    </w:p>
    <w:p w14:paraId="617448B0" w14:textId="214B2B92" w:rsidR="005A02B8" w:rsidRPr="0003613D" w:rsidRDefault="005A02B8" w:rsidP="005A02B8">
      <w:pPr>
        <w:rPr>
          <w:rFonts w:ascii="Arial" w:hAnsi="Arial" w:cs="Arial"/>
          <w:sz w:val="24"/>
          <w:szCs w:val="24"/>
        </w:rPr>
      </w:pPr>
      <w:r w:rsidRPr="0003613D">
        <w:rPr>
          <w:rFonts w:ascii="Arial" w:hAnsi="Arial" w:cs="Arial"/>
          <w:sz w:val="24"/>
          <w:szCs w:val="24"/>
        </w:rPr>
        <w:t xml:space="preserve">[45] </w:t>
      </w:r>
      <w:r w:rsidR="00725319" w:rsidRPr="0003613D">
        <w:rPr>
          <w:rFonts w:ascii="Arial" w:hAnsi="Arial" w:cs="Arial"/>
          <w:sz w:val="24"/>
          <w:szCs w:val="24"/>
        </w:rPr>
        <w:t xml:space="preserve">‘The </w:t>
      </w:r>
      <w:r w:rsidRPr="0003613D">
        <w:rPr>
          <w:rFonts w:ascii="Arial" w:hAnsi="Arial" w:cs="Arial"/>
          <w:sz w:val="24"/>
          <w:szCs w:val="24"/>
        </w:rPr>
        <w:t xml:space="preserve">Black Country Gypsy and Traveller Accommodation </w:t>
      </w:r>
      <w:r w:rsidR="00725319" w:rsidRPr="0003613D">
        <w:rPr>
          <w:rFonts w:ascii="Arial" w:hAnsi="Arial" w:cs="Arial"/>
          <w:sz w:val="24"/>
          <w:szCs w:val="24"/>
        </w:rPr>
        <w:t xml:space="preserve">Needs </w:t>
      </w:r>
      <w:r w:rsidRPr="0003613D">
        <w:rPr>
          <w:rFonts w:ascii="Arial" w:hAnsi="Arial" w:cs="Arial"/>
          <w:sz w:val="24"/>
          <w:szCs w:val="24"/>
        </w:rPr>
        <w:t>Assessment 2022</w:t>
      </w:r>
      <w:r w:rsidR="00725319" w:rsidRPr="0003613D">
        <w:rPr>
          <w:rFonts w:ascii="Arial" w:hAnsi="Arial" w:cs="Arial"/>
          <w:sz w:val="24"/>
          <w:szCs w:val="24"/>
        </w:rPr>
        <w:t xml:space="preserve">’ </w:t>
      </w:r>
    </w:p>
    <w:p w14:paraId="15F70EBB" w14:textId="1879AC54" w:rsidR="00725319" w:rsidRPr="0003613D" w:rsidRDefault="00725319" w:rsidP="00725319">
      <w:pPr>
        <w:rPr>
          <w:rFonts w:ascii="Arial" w:hAnsi="Arial" w:cs="Arial"/>
          <w:sz w:val="24"/>
          <w:szCs w:val="24"/>
        </w:rPr>
      </w:pPr>
      <w:r w:rsidRPr="0003613D">
        <w:rPr>
          <w:rFonts w:ascii="Arial" w:hAnsi="Arial" w:cs="Arial"/>
          <w:sz w:val="24"/>
          <w:szCs w:val="24"/>
        </w:rPr>
        <w:t>[46] ‘The Black Country Gypsy and Traveller Accommodation Needs Assessment 2022’ P.42</w:t>
      </w:r>
    </w:p>
    <w:p w14:paraId="404E0E49" w14:textId="4CA06A2F" w:rsidR="00725319" w:rsidRPr="0003613D" w:rsidRDefault="00725319" w:rsidP="00725319">
      <w:pPr>
        <w:rPr>
          <w:rFonts w:ascii="Arial" w:hAnsi="Arial" w:cs="Arial"/>
          <w:sz w:val="24"/>
          <w:szCs w:val="24"/>
        </w:rPr>
      </w:pPr>
      <w:r w:rsidRPr="0003613D">
        <w:rPr>
          <w:rFonts w:ascii="Arial" w:hAnsi="Arial" w:cs="Arial"/>
          <w:sz w:val="24"/>
          <w:szCs w:val="24"/>
        </w:rPr>
        <w:t>[47] Office for National Statistics, ‘Gypsy or Irish Traveller populations, England and Wales: Census 2021, ‘</w:t>
      </w:r>
      <w:hyperlink r:id="rId35" w:history="1">
        <w:r w:rsidRPr="0003613D">
          <w:rPr>
            <w:rStyle w:val="Hyperlink"/>
            <w:rFonts w:ascii="Arial" w:hAnsi="Arial" w:cs="Arial"/>
            <w:sz w:val="24"/>
            <w:szCs w:val="24"/>
          </w:rPr>
          <w:t>https://www.ons.gov.uk/peoplepopulationandcommunity/culturalidentity/ethnicity/articles/gypsyoririshtravellerpopulationsenglandandwales/census2021</w:t>
        </w:r>
      </w:hyperlink>
      <w:r w:rsidRPr="0003613D">
        <w:rPr>
          <w:rFonts w:ascii="Arial" w:hAnsi="Arial" w:cs="Arial"/>
          <w:sz w:val="24"/>
          <w:szCs w:val="24"/>
        </w:rPr>
        <w:t xml:space="preserve"> [Accessed March 2025]</w:t>
      </w:r>
    </w:p>
    <w:p w14:paraId="68C197F3" w14:textId="0CA30DA2" w:rsidR="005A02B8" w:rsidRPr="0003613D" w:rsidRDefault="00725319" w:rsidP="00BF48EC">
      <w:pPr>
        <w:rPr>
          <w:rFonts w:ascii="Arial" w:hAnsi="Arial" w:cs="Arial"/>
          <w:sz w:val="24"/>
          <w:szCs w:val="24"/>
        </w:rPr>
      </w:pPr>
      <w:r w:rsidRPr="0003613D">
        <w:rPr>
          <w:rFonts w:ascii="Arial" w:hAnsi="Arial" w:cs="Arial"/>
          <w:sz w:val="24"/>
          <w:szCs w:val="24"/>
        </w:rPr>
        <w:t>[48] Office for National Statistics, ‘Gypsy or Irish Traveller populations, England and Wales: Census 2021, ‘</w:t>
      </w:r>
      <w:hyperlink r:id="rId36" w:history="1">
        <w:r w:rsidRPr="0003613D">
          <w:rPr>
            <w:rStyle w:val="Hyperlink"/>
            <w:rFonts w:ascii="Arial" w:hAnsi="Arial" w:cs="Arial"/>
            <w:sz w:val="24"/>
            <w:szCs w:val="24"/>
          </w:rPr>
          <w:t>https://www.ons.gov.uk/peoplepopulationandcommunity/culturalidentity/ethnicity/articles/gypsyoririshtravellerpopulationsenglandandwales/census2021</w:t>
        </w:r>
      </w:hyperlink>
      <w:r w:rsidRPr="0003613D">
        <w:rPr>
          <w:rFonts w:ascii="Arial" w:hAnsi="Arial" w:cs="Arial"/>
          <w:sz w:val="24"/>
          <w:szCs w:val="24"/>
        </w:rPr>
        <w:t xml:space="preserve"> [Accessed March 2025]</w:t>
      </w:r>
    </w:p>
    <w:p w14:paraId="392F251A" w14:textId="5B3B1615" w:rsidR="00725319" w:rsidRPr="0003613D" w:rsidRDefault="00725319" w:rsidP="00BF48EC">
      <w:pPr>
        <w:rPr>
          <w:rFonts w:ascii="Arial" w:hAnsi="Arial" w:cs="Arial"/>
          <w:sz w:val="24"/>
          <w:szCs w:val="24"/>
        </w:rPr>
      </w:pPr>
      <w:r w:rsidRPr="0003613D">
        <w:rPr>
          <w:rFonts w:ascii="Arial" w:hAnsi="Arial" w:cs="Arial"/>
          <w:sz w:val="24"/>
          <w:szCs w:val="24"/>
        </w:rPr>
        <w:t>[49] Office for National Statistics, ‘Gypsy or Irish Traveller populations, England and Wales: Census 2021, ‘</w:t>
      </w:r>
      <w:hyperlink r:id="rId37" w:history="1">
        <w:r w:rsidRPr="0003613D">
          <w:rPr>
            <w:rStyle w:val="Hyperlink"/>
            <w:rFonts w:ascii="Arial" w:hAnsi="Arial" w:cs="Arial"/>
            <w:sz w:val="24"/>
            <w:szCs w:val="24"/>
          </w:rPr>
          <w:t>https://www.ons.gov.uk/peoplepopulationandcommunity/culturalidentity/ethnicity/articles/gypsyoririshtravellerpopulationsenglandandwales/census2021</w:t>
        </w:r>
      </w:hyperlink>
      <w:r w:rsidRPr="0003613D">
        <w:rPr>
          <w:rFonts w:ascii="Arial" w:hAnsi="Arial" w:cs="Arial"/>
          <w:sz w:val="24"/>
          <w:szCs w:val="24"/>
        </w:rPr>
        <w:t xml:space="preserve"> [Accessed March 2025]</w:t>
      </w:r>
    </w:p>
    <w:p w14:paraId="789BBC10" w14:textId="0ED4D821" w:rsidR="0000735F" w:rsidRPr="0003613D" w:rsidRDefault="00725319" w:rsidP="00227651">
      <w:pPr>
        <w:rPr>
          <w:rFonts w:ascii="Arial" w:hAnsi="Arial" w:cs="Arial"/>
          <w:sz w:val="24"/>
          <w:szCs w:val="24"/>
        </w:rPr>
      </w:pPr>
      <w:r w:rsidRPr="0003613D">
        <w:rPr>
          <w:rFonts w:ascii="Arial" w:hAnsi="Arial" w:cs="Arial"/>
          <w:sz w:val="24"/>
          <w:szCs w:val="24"/>
        </w:rPr>
        <w:lastRenderedPageBreak/>
        <w:t>[50] ‘The Black Country Gypsy and Traveller Accommodation Needs Assessment 2022’</w:t>
      </w:r>
    </w:p>
    <w:p w14:paraId="17C43A35" w14:textId="427E0BE9" w:rsidR="004763E6" w:rsidRPr="0003613D" w:rsidRDefault="004763E6" w:rsidP="00227651">
      <w:pPr>
        <w:rPr>
          <w:rFonts w:ascii="Arial" w:hAnsi="Arial" w:cs="Arial"/>
          <w:b/>
          <w:bCs/>
          <w:sz w:val="32"/>
          <w:szCs w:val="32"/>
        </w:rPr>
      </w:pPr>
      <w:r w:rsidRPr="0003613D">
        <w:rPr>
          <w:rFonts w:ascii="Arial" w:hAnsi="Arial" w:cs="Arial"/>
          <w:b/>
          <w:bCs/>
          <w:sz w:val="32"/>
          <w:szCs w:val="32"/>
        </w:rPr>
        <w:t>Appendices</w:t>
      </w:r>
    </w:p>
    <w:p w14:paraId="7753EDAD" w14:textId="19D108BD" w:rsidR="004763E6" w:rsidRPr="0003613D" w:rsidRDefault="004763E6" w:rsidP="00227651">
      <w:pPr>
        <w:rPr>
          <w:rFonts w:ascii="Arial" w:hAnsi="Arial" w:cs="Arial"/>
          <w:sz w:val="28"/>
          <w:szCs w:val="28"/>
        </w:rPr>
      </w:pPr>
      <w:r w:rsidRPr="0003613D">
        <w:rPr>
          <w:rFonts w:ascii="Arial" w:hAnsi="Arial" w:cs="Arial"/>
          <w:sz w:val="28"/>
          <w:szCs w:val="28"/>
        </w:rPr>
        <w:t xml:space="preserve">Appendix </w:t>
      </w:r>
      <w:r w:rsidR="00B426D4" w:rsidRPr="0003613D">
        <w:rPr>
          <w:rFonts w:ascii="Arial" w:hAnsi="Arial" w:cs="Arial"/>
          <w:sz w:val="28"/>
          <w:szCs w:val="28"/>
        </w:rPr>
        <w:t xml:space="preserve">2 Previous Allocations Policy (Version 5)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E608E4" w:rsidRPr="0003613D" w14:paraId="1B7E5810" w14:textId="77777777">
        <w:tc>
          <w:tcPr>
            <w:tcW w:w="9026" w:type="dxa"/>
          </w:tcPr>
          <w:p w14:paraId="3FC8F57B" w14:textId="77777777" w:rsidR="00E608E4" w:rsidRPr="0003613D" w:rsidRDefault="00E608E4">
            <w:pPr>
              <w:rPr>
                <w:rFonts w:ascii="Arial" w:hAnsi="Arial" w:cs="Arial"/>
                <w:b/>
                <w:sz w:val="28"/>
                <w:szCs w:val="28"/>
              </w:rPr>
            </w:pPr>
            <w:r w:rsidRPr="0003613D">
              <w:rPr>
                <w:rFonts w:ascii="Arial" w:hAnsi="Arial" w:cs="Arial"/>
                <w:b/>
                <w:sz w:val="28"/>
                <w:szCs w:val="28"/>
              </w:rPr>
              <w:t>BAND ONE HOUSING NEED CIRCUMSTANCES:</w:t>
            </w:r>
          </w:p>
        </w:tc>
      </w:tr>
      <w:tr w:rsidR="00E608E4" w:rsidRPr="0003613D" w14:paraId="329A73E0" w14:textId="77777777">
        <w:tc>
          <w:tcPr>
            <w:tcW w:w="9026" w:type="dxa"/>
          </w:tcPr>
          <w:p w14:paraId="59051243" w14:textId="77777777" w:rsidR="00E608E4" w:rsidRPr="0003613D" w:rsidRDefault="00E608E4">
            <w:pPr>
              <w:rPr>
                <w:rFonts w:ascii="Arial" w:hAnsi="Arial" w:cs="Arial"/>
                <w:b/>
                <w:sz w:val="28"/>
                <w:szCs w:val="28"/>
              </w:rPr>
            </w:pPr>
          </w:p>
        </w:tc>
      </w:tr>
      <w:tr w:rsidR="00E608E4" w:rsidRPr="0003613D" w14:paraId="2EDD9A8E" w14:textId="77777777">
        <w:tc>
          <w:tcPr>
            <w:tcW w:w="9026" w:type="dxa"/>
          </w:tcPr>
          <w:p w14:paraId="6A5C228D" w14:textId="77777777" w:rsidR="00E608E4" w:rsidRPr="0003613D" w:rsidRDefault="00E608E4" w:rsidP="00E608E4">
            <w:pPr>
              <w:numPr>
                <w:ilvl w:val="0"/>
                <w:numId w:val="13"/>
              </w:numPr>
              <w:spacing w:after="120"/>
              <w:rPr>
                <w:rFonts w:ascii="Arial" w:eastAsia="Times New Roman" w:hAnsi="Arial" w:cs="Arial"/>
                <w:sz w:val="24"/>
                <w:szCs w:val="24"/>
              </w:rPr>
            </w:pPr>
            <w:r w:rsidRPr="0003613D">
              <w:rPr>
                <w:rFonts w:ascii="Arial" w:eastAsia="Times New Roman" w:hAnsi="Arial" w:cs="Arial"/>
                <w:sz w:val="24"/>
                <w:szCs w:val="24"/>
              </w:rPr>
              <w:t>All households who qualify for Additional Preference within this policy.</w:t>
            </w:r>
          </w:p>
          <w:p w14:paraId="6BA674AE" w14:textId="77777777" w:rsidR="00E608E4" w:rsidRPr="0003613D" w:rsidRDefault="00E608E4" w:rsidP="00E608E4">
            <w:pPr>
              <w:numPr>
                <w:ilvl w:val="0"/>
                <w:numId w:val="13"/>
              </w:numPr>
              <w:spacing w:after="120"/>
              <w:rPr>
                <w:rFonts w:ascii="Arial" w:eastAsia="Times New Roman" w:hAnsi="Arial" w:cs="Arial"/>
                <w:sz w:val="24"/>
                <w:szCs w:val="24"/>
              </w:rPr>
            </w:pPr>
            <w:r w:rsidRPr="0003613D">
              <w:rPr>
                <w:rFonts w:ascii="Arial" w:eastAsia="Times New Roman" w:hAnsi="Arial" w:cs="Arial"/>
                <w:sz w:val="24"/>
                <w:szCs w:val="24"/>
              </w:rPr>
              <w:t>Any person who is a looked after child and is fully supported by the Council’s Children’s Services. This includes persons who qualify for Band One as per Section D/5.5(2).</w:t>
            </w:r>
          </w:p>
          <w:p w14:paraId="6BD721E8" w14:textId="77777777" w:rsidR="00E608E4" w:rsidRPr="0003613D" w:rsidRDefault="00E608E4" w:rsidP="00E608E4">
            <w:pPr>
              <w:numPr>
                <w:ilvl w:val="0"/>
                <w:numId w:val="13"/>
              </w:numPr>
              <w:spacing w:after="120"/>
              <w:rPr>
                <w:rFonts w:ascii="Arial" w:eastAsia="Times New Roman" w:hAnsi="Arial" w:cs="Arial"/>
                <w:sz w:val="24"/>
                <w:szCs w:val="24"/>
              </w:rPr>
            </w:pPr>
            <w:r w:rsidRPr="0003613D">
              <w:rPr>
                <w:rFonts w:ascii="Arial" w:eastAsia="Times New Roman" w:hAnsi="Arial" w:cs="Arial"/>
                <w:sz w:val="24"/>
                <w:szCs w:val="24"/>
              </w:rPr>
              <w:t>Council or Housing Association tenants currently under-occupying a property by at least two bedrooms as per Section D/7.2a</w:t>
            </w:r>
          </w:p>
          <w:p w14:paraId="373CB44C" w14:textId="77777777" w:rsidR="00E608E4" w:rsidRPr="0003613D" w:rsidRDefault="00E608E4" w:rsidP="00E608E4">
            <w:pPr>
              <w:numPr>
                <w:ilvl w:val="0"/>
                <w:numId w:val="13"/>
              </w:numPr>
              <w:spacing w:after="120"/>
              <w:rPr>
                <w:rFonts w:ascii="Arial" w:hAnsi="Arial" w:cs="Arial"/>
                <w:sz w:val="24"/>
                <w:szCs w:val="24"/>
              </w:rPr>
            </w:pPr>
            <w:bookmarkStart w:id="4" w:name="OLE_LINK1"/>
            <w:bookmarkStart w:id="5" w:name="OLE_LINK2"/>
            <w:r w:rsidRPr="0003613D">
              <w:rPr>
                <w:rFonts w:ascii="Arial" w:eastAsia="Times New Roman" w:hAnsi="Arial" w:cs="Arial"/>
                <w:sz w:val="24"/>
                <w:szCs w:val="24"/>
              </w:rPr>
              <w:t>Council or Housing Association tenants currently under-occupying a house and who wish to transfer to a Council or Housing Association property with fewer bedrooms as per Section D/7.2b.</w:t>
            </w:r>
            <w:bookmarkEnd w:id="4"/>
            <w:bookmarkEnd w:id="5"/>
          </w:p>
        </w:tc>
      </w:tr>
      <w:tr w:rsidR="00E608E4" w:rsidRPr="0003613D" w14:paraId="5489293A" w14:textId="77777777">
        <w:tc>
          <w:tcPr>
            <w:tcW w:w="9026" w:type="dxa"/>
          </w:tcPr>
          <w:p w14:paraId="067F165A" w14:textId="77777777" w:rsidR="00E608E4" w:rsidRPr="0003613D" w:rsidRDefault="00E608E4">
            <w:pPr>
              <w:rPr>
                <w:rFonts w:ascii="Arial" w:hAnsi="Arial" w:cs="Arial"/>
              </w:rPr>
            </w:pPr>
          </w:p>
        </w:tc>
      </w:tr>
      <w:tr w:rsidR="00E608E4" w:rsidRPr="0003613D" w14:paraId="5D4CFCA3" w14:textId="77777777">
        <w:tc>
          <w:tcPr>
            <w:tcW w:w="9026" w:type="dxa"/>
          </w:tcPr>
          <w:p w14:paraId="2CFF6831" w14:textId="77777777" w:rsidR="00E608E4" w:rsidRPr="0003613D" w:rsidRDefault="00E608E4">
            <w:pPr>
              <w:rPr>
                <w:rFonts w:ascii="Arial" w:hAnsi="Arial" w:cs="Arial"/>
              </w:rPr>
            </w:pPr>
          </w:p>
        </w:tc>
      </w:tr>
      <w:tr w:rsidR="00E608E4" w:rsidRPr="0003613D" w14:paraId="1BEF2E45" w14:textId="77777777">
        <w:tc>
          <w:tcPr>
            <w:tcW w:w="9026" w:type="dxa"/>
          </w:tcPr>
          <w:p w14:paraId="6D84D513" w14:textId="77777777" w:rsidR="00E608E4" w:rsidRPr="0003613D" w:rsidRDefault="00E608E4">
            <w:pPr>
              <w:rPr>
                <w:rFonts w:ascii="Arial" w:hAnsi="Arial" w:cs="Arial"/>
              </w:rPr>
            </w:pPr>
            <w:r w:rsidRPr="0003613D">
              <w:rPr>
                <w:rFonts w:ascii="Arial" w:hAnsi="Arial" w:cs="Arial"/>
                <w:b/>
                <w:sz w:val="28"/>
                <w:szCs w:val="28"/>
              </w:rPr>
              <w:t>BAND TWO HOUSING NEED CIRCUMSTANCES:</w:t>
            </w:r>
          </w:p>
        </w:tc>
      </w:tr>
      <w:tr w:rsidR="00E608E4" w:rsidRPr="0003613D" w14:paraId="3441A038" w14:textId="77777777">
        <w:tc>
          <w:tcPr>
            <w:tcW w:w="9026" w:type="dxa"/>
          </w:tcPr>
          <w:p w14:paraId="41CEC3FD" w14:textId="77777777" w:rsidR="00E608E4" w:rsidRPr="0003613D" w:rsidRDefault="00E608E4">
            <w:pPr>
              <w:rPr>
                <w:rFonts w:ascii="Arial" w:hAnsi="Arial" w:cs="Arial"/>
              </w:rPr>
            </w:pPr>
          </w:p>
        </w:tc>
      </w:tr>
      <w:tr w:rsidR="00E608E4" w:rsidRPr="0003613D" w14:paraId="7E32EDF6" w14:textId="77777777">
        <w:tc>
          <w:tcPr>
            <w:tcW w:w="9026" w:type="dxa"/>
          </w:tcPr>
          <w:p w14:paraId="54AC5FFB" w14:textId="77777777" w:rsidR="00E608E4" w:rsidRPr="0003613D" w:rsidRDefault="00E608E4" w:rsidP="00E608E4">
            <w:pPr>
              <w:numPr>
                <w:ilvl w:val="0"/>
                <w:numId w:val="14"/>
              </w:numPr>
              <w:spacing w:after="120"/>
              <w:rPr>
                <w:rFonts w:ascii="Arial" w:eastAsia="Times New Roman" w:hAnsi="Arial" w:cs="Arial"/>
                <w:sz w:val="24"/>
                <w:szCs w:val="24"/>
              </w:rPr>
            </w:pPr>
            <w:r w:rsidRPr="0003613D">
              <w:rPr>
                <w:rFonts w:ascii="Arial" w:eastAsia="Times New Roman" w:hAnsi="Arial" w:cs="Arial"/>
                <w:sz w:val="24"/>
                <w:szCs w:val="24"/>
              </w:rPr>
              <w:t>Council or Housing Association tenants directly affected by the Spare Room Subsidy, currently under-occupying a property by one bedroom that was let prior to 17.04.13, and who wish to transfer to a property to which they are eligible with fewer bedrooms as per Section D/7.4.</w:t>
            </w:r>
          </w:p>
          <w:p w14:paraId="73EAFFA4" w14:textId="77777777" w:rsidR="00E608E4" w:rsidRPr="0003613D" w:rsidRDefault="00E608E4" w:rsidP="00E608E4">
            <w:pPr>
              <w:numPr>
                <w:ilvl w:val="0"/>
                <w:numId w:val="14"/>
              </w:numPr>
              <w:spacing w:after="120"/>
              <w:rPr>
                <w:rFonts w:ascii="Arial" w:eastAsia="Times New Roman" w:hAnsi="Arial" w:cs="Arial"/>
                <w:sz w:val="24"/>
                <w:szCs w:val="24"/>
              </w:rPr>
            </w:pPr>
            <w:r w:rsidRPr="0003613D">
              <w:rPr>
                <w:rFonts w:ascii="Arial" w:eastAsia="Times New Roman" w:hAnsi="Arial" w:cs="Arial"/>
                <w:sz w:val="24"/>
                <w:szCs w:val="24"/>
              </w:rPr>
              <w:t xml:space="preserve">Households resident in public or private sector properties directly affected by clearance and CPO clearance programmes as per Section D/4.3a </w:t>
            </w:r>
          </w:p>
          <w:p w14:paraId="195E2028" w14:textId="77777777" w:rsidR="00E608E4" w:rsidRPr="0003613D" w:rsidRDefault="00E608E4" w:rsidP="00E608E4">
            <w:pPr>
              <w:numPr>
                <w:ilvl w:val="0"/>
                <w:numId w:val="14"/>
              </w:numPr>
              <w:spacing w:after="120"/>
              <w:rPr>
                <w:rFonts w:ascii="Arial" w:eastAsia="Times New Roman" w:hAnsi="Arial" w:cs="Arial"/>
                <w:sz w:val="24"/>
                <w:szCs w:val="24"/>
              </w:rPr>
            </w:pPr>
            <w:r w:rsidRPr="0003613D">
              <w:rPr>
                <w:rFonts w:ascii="Arial" w:eastAsia="Times New Roman" w:hAnsi="Arial" w:cs="Arial"/>
                <w:sz w:val="24"/>
                <w:szCs w:val="24"/>
              </w:rPr>
              <w:t xml:space="preserve">Non-successor households and joint tenancy termination households moving under the guidance outlined in Section F/3 and as per Section D/7.8 </w:t>
            </w:r>
          </w:p>
          <w:p w14:paraId="4B044F76" w14:textId="77777777" w:rsidR="00E608E4" w:rsidRPr="0003613D" w:rsidRDefault="00E608E4" w:rsidP="00E608E4">
            <w:pPr>
              <w:numPr>
                <w:ilvl w:val="0"/>
                <w:numId w:val="14"/>
              </w:numPr>
              <w:spacing w:after="120"/>
              <w:rPr>
                <w:rFonts w:ascii="Arial" w:eastAsia="Times New Roman" w:hAnsi="Arial" w:cs="Arial"/>
                <w:sz w:val="24"/>
                <w:szCs w:val="24"/>
              </w:rPr>
            </w:pPr>
            <w:r w:rsidRPr="0003613D">
              <w:rPr>
                <w:rFonts w:ascii="Arial" w:eastAsia="Times New Roman" w:hAnsi="Arial" w:cs="Arial"/>
                <w:sz w:val="24"/>
                <w:szCs w:val="24"/>
              </w:rPr>
              <w:t>Council or Housing Association tenants who currently occupy an adapted property where the said adaptations are no longer in use by any of the household members as per Section D/7.6.</w:t>
            </w:r>
          </w:p>
          <w:p w14:paraId="7F692CCB" w14:textId="77777777" w:rsidR="00E608E4" w:rsidRPr="0003613D" w:rsidRDefault="00E608E4" w:rsidP="00E608E4">
            <w:pPr>
              <w:numPr>
                <w:ilvl w:val="0"/>
                <w:numId w:val="14"/>
              </w:numPr>
              <w:spacing w:after="120"/>
              <w:rPr>
                <w:rFonts w:ascii="Arial" w:eastAsia="Times New Roman" w:hAnsi="Arial" w:cs="Arial"/>
                <w:sz w:val="24"/>
                <w:szCs w:val="24"/>
              </w:rPr>
            </w:pPr>
            <w:r w:rsidRPr="0003613D">
              <w:rPr>
                <w:rFonts w:ascii="Arial" w:eastAsia="Times New Roman" w:hAnsi="Arial" w:cs="Arial"/>
                <w:sz w:val="24"/>
                <w:szCs w:val="24"/>
              </w:rPr>
              <w:t xml:space="preserve">Council or Housing Association tenants who currently occupy an Intermediate or Advanced Level Sanctuary Scheme property who wish to vacate the property as per Section D/7.3 </w:t>
            </w:r>
          </w:p>
          <w:p w14:paraId="00E85A2A" w14:textId="77777777" w:rsidR="00E608E4" w:rsidRPr="0003613D" w:rsidRDefault="00E608E4" w:rsidP="00E608E4">
            <w:pPr>
              <w:numPr>
                <w:ilvl w:val="0"/>
                <w:numId w:val="14"/>
              </w:numPr>
              <w:spacing w:after="120"/>
              <w:rPr>
                <w:rFonts w:ascii="Arial" w:eastAsia="Times New Roman" w:hAnsi="Arial" w:cs="Arial"/>
                <w:sz w:val="24"/>
                <w:szCs w:val="24"/>
              </w:rPr>
            </w:pPr>
            <w:r w:rsidRPr="0003613D">
              <w:rPr>
                <w:rFonts w:ascii="Arial" w:eastAsia="Times New Roman" w:hAnsi="Arial" w:cs="Arial"/>
                <w:sz w:val="24"/>
                <w:szCs w:val="24"/>
              </w:rPr>
              <w:t xml:space="preserve">Households who qualify for medical or disability priority as per Section D/5.3  </w:t>
            </w:r>
          </w:p>
          <w:p w14:paraId="6CD7BED1" w14:textId="77777777" w:rsidR="00E608E4" w:rsidRPr="0003613D" w:rsidRDefault="00E608E4" w:rsidP="00E608E4">
            <w:pPr>
              <w:numPr>
                <w:ilvl w:val="0"/>
                <w:numId w:val="14"/>
              </w:numPr>
              <w:spacing w:after="120"/>
              <w:rPr>
                <w:rFonts w:ascii="Arial" w:eastAsia="Times New Roman" w:hAnsi="Arial" w:cs="Arial"/>
                <w:sz w:val="24"/>
                <w:szCs w:val="24"/>
              </w:rPr>
            </w:pPr>
            <w:r w:rsidRPr="0003613D">
              <w:rPr>
                <w:rFonts w:ascii="Arial" w:eastAsia="Times New Roman" w:hAnsi="Arial" w:cs="Arial"/>
                <w:sz w:val="24"/>
                <w:szCs w:val="24"/>
              </w:rPr>
              <w:t>Homeless persons who are Eligible, Unintentionally Homeless and in Priority Need as per Section D/3.2a</w:t>
            </w:r>
          </w:p>
          <w:p w14:paraId="2BC055A8" w14:textId="77777777" w:rsidR="00E608E4" w:rsidRPr="0003613D" w:rsidRDefault="00E608E4" w:rsidP="00E608E4">
            <w:pPr>
              <w:numPr>
                <w:ilvl w:val="0"/>
                <w:numId w:val="14"/>
              </w:numPr>
              <w:spacing w:after="120"/>
              <w:rPr>
                <w:rFonts w:ascii="Arial" w:hAnsi="Arial" w:cs="Arial"/>
              </w:rPr>
            </w:pPr>
            <w:r w:rsidRPr="0003613D">
              <w:rPr>
                <w:rFonts w:ascii="Arial" w:eastAsia="Times New Roman" w:hAnsi="Arial" w:cs="Arial"/>
                <w:sz w:val="24"/>
                <w:szCs w:val="17"/>
              </w:rPr>
              <w:t>Persons in supported housing seeking a move-on to settled accommodation under the Council’s Move-On requirements as set out in Section D/5.5.</w:t>
            </w:r>
          </w:p>
          <w:p w14:paraId="0CA2EB78" w14:textId="77777777" w:rsidR="00E608E4" w:rsidRPr="0003613D" w:rsidRDefault="00E608E4" w:rsidP="00E608E4">
            <w:pPr>
              <w:numPr>
                <w:ilvl w:val="0"/>
                <w:numId w:val="14"/>
              </w:numPr>
              <w:spacing w:after="120"/>
              <w:rPr>
                <w:rFonts w:ascii="Arial" w:hAnsi="Arial" w:cs="Arial"/>
              </w:rPr>
            </w:pPr>
            <w:r w:rsidRPr="0003613D">
              <w:rPr>
                <w:rFonts w:ascii="Arial" w:eastAsia="Times New Roman" w:hAnsi="Arial" w:cs="Arial"/>
                <w:sz w:val="24"/>
                <w:szCs w:val="17"/>
              </w:rPr>
              <w:t>Households who are eligible for assistance and homeless under Section 189B of the Housing Act 1996 (Relief Duty) as per Section D3.2c</w:t>
            </w:r>
          </w:p>
          <w:p w14:paraId="61302179" w14:textId="77777777" w:rsidR="00E608E4" w:rsidRPr="0003613D" w:rsidRDefault="00E608E4" w:rsidP="00E608E4">
            <w:pPr>
              <w:numPr>
                <w:ilvl w:val="0"/>
                <w:numId w:val="14"/>
              </w:numPr>
              <w:rPr>
                <w:rFonts w:ascii="Arial" w:hAnsi="Arial" w:cs="Arial"/>
              </w:rPr>
            </w:pPr>
            <w:r w:rsidRPr="0003613D">
              <w:rPr>
                <w:rFonts w:ascii="Arial" w:eastAsia="Times New Roman" w:hAnsi="Arial" w:cs="Arial"/>
                <w:sz w:val="24"/>
                <w:szCs w:val="24"/>
                <w:lang w:eastAsia="en-GB"/>
              </w:rPr>
              <w:lastRenderedPageBreak/>
              <w:t>Applicant’s living in overcrowded conditions and whose housing circumstances have been assessed as being two bedrooms short of what they need – see Appendix Three for further detail.</w:t>
            </w:r>
          </w:p>
          <w:p w14:paraId="0E8118B8" w14:textId="77777777" w:rsidR="00E608E4" w:rsidRPr="0003613D" w:rsidRDefault="00E608E4">
            <w:pPr>
              <w:ind w:left="360"/>
              <w:rPr>
                <w:rFonts w:ascii="Arial" w:hAnsi="Arial" w:cs="Arial"/>
              </w:rPr>
            </w:pPr>
          </w:p>
          <w:p w14:paraId="099E04B1" w14:textId="77777777" w:rsidR="00E608E4" w:rsidRPr="0003613D" w:rsidRDefault="00E608E4" w:rsidP="00E608E4">
            <w:pPr>
              <w:numPr>
                <w:ilvl w:val="0"/>
                <w:numId w:val="14"/>
              </w:numPr>
              <w:rPr>
                <w:rFonts w:ascii="Arial" w:hAnsi="Arial" w:cs="Arial"/>
              </w:rPr>
            </w:pPr>
            <w:r w:rsidRPr="0003613D">
              <w:rPr>
                <w:rFonts w:ascii="Arial" w:eastAsia="Times New Roman" w:hAnsi="Arial" w:cs="Arial"/>
                <w:sz w:val="24"/>
                <w:szCs w:val="24"/>
                <w:lang w:eastAsia="en-GB"/>
              </w:rPr>
              <w:t>Care Leavers placed into Sandwell by another local authority as set out in Section D/5.5 (2).</w:t>
            </w:r>
          </w:p>
          <w:p w14:paraId="0E26B679" w14:textId="77777777" w:rsidR="00E608E4" w:rsidRPr="0003613D" w:rsidRDefault="00E608E4">
            <w:pPr>
              <w:ind w:left="360"/>
              <w:rPr>
                <w:rFonts w:ascii="Arial" w:hAnsi="Arial" w:cs="Arial"/>
              </w:rPr>
            </w:pPr>
          </w:p>
        </w:tc>
      </w:tr>
      <w:tr w:rsidR="00E608E4" w:rsidRPr="0003613D" w14:paraId="624B7015" w14:textId="77777777">
        <w:tc>
          <w:tcPr>
            <w:tcW w:w="9026" w:type="dxa"/>
          </w:tcPr>
          <w:p w14:paraId="02DFE471" w14:textId="77777777" w:rsidR="00E608E4" w:rsidRPr="0003613D" w:rsidRDefault="00E608E4">
            <w:pPr>
              <w:rPr>
                <w:rFonts w:ascii="Arial" w:hAnsi="Arial" w:cs="Arial"/>
              </w:rPr>
            </w:pPr>
            <w:r w:rsidRPr="0003613D">
              <w:rPr>
                <w:rFonts w:ascii="Arial" w:hAnsi="Arial" w:cs="Arial"/>
                <w:b/>
                <w:sz w:val="28"/>
                <w:szCs w:val="28"/>
              </w:rPr>
              <w:lastRenderedPageBreak/>
              <w:t>BAND THREE HOUSING NEED CIRCUMSTANCES:</w:t>
            </w:r>
          </w:p>
        </w:tc>
      </w:tr>
      <w:tr w:rsidR="00E608E4" w:rsidRPr="0003613D" w14:paraId="3FA7CC47" w14:textId="77777777">
        <w:tc>
          <w:tcPr>
            <w:tcW w:w="9026" w:type="dxa"/>
          </w:tcPr>
          <w:p w14:paraId="0317B5D8" w14:textId="77777777" w:rsidR="00E608E4" w:rsidRPr="0003613D" w:rsidRDefault="00E608E4">
            <w:pPr>
              <w:rPr>
                <w:rFonts w:ascii="Arial" w:hAnsi="Arial" w:cs="Arial"/>
              </w:rPr>
            </w:pPr>
          </w:p>
        </w:tc>
      </w:tr>
      <w:tr w:rsidR="00E608E4" w:rsidRPr="0003613D" w14:paraId="2D64D3BC" w14:textId="77777777">
        <w:tc>
          <w:tcPr>
            <w:tcW w:w="9026" w:type="dxa"/>
          </w:tcPr>
          <w:p w14:paraId="23548B1A" w14:textId="77777777" w:rsidR="00E608E4" w:rsidRPr="0003613D" w:rsidRDefault="00E608E4" w:rsidP="00E608E4">
            <w:pPr>
              <w:numPr>
                <w:ilvl w:val="0"/>
                <w:numId w:val="15"/>
              </w:numPr>
              <w:autoSpaceDE w:val="0"/>
              <w:autoSpaceDN w:val="0"/>
              <w:adjustRightInd w:val="0"/>
              <w:spacing w:after="120"/>
              <w:rPr>
                <w:rFonts w:ascii="Arial" w:eastAsia="Times New Roman" w:hAnsi="Arial" w:cs="Arial"/>
                <w:sz w:val="24"/>
                <w:szCs w:val="24"/>
              </w:rPr>
            </w:pPr>
            <w:r w:rsidRPr="0003613D">
              <w:rPr>
                <w:rFonts w:ascii="Arial" w:eastAsia="Times New Roman" w:hAnsi="Arial" w:cs="Arial"/>
                <w:sz w:val="24"/>
                <w:szCs w:val="24"/>
              </w:rPr>
              <w:t>Households in a Service Tenancy with Sandwell MBC which is due to terminate within six months as per Section D/7.7</w:t>
            </w:r>
          </w:p>
          <w:p w14:paraId="7D691D9D" w14:textId="77777777" w:rsidR="00E608E4" w:rsidRPr="0003613D" w:rsidRDefault="00E608E4" w:rsidP="00E608E4">
            <w:pPr>
              <w:numPr>
                <w:ilvl w:val="0"/>
                <w:numId w:val="15"/>
              </w:numPr>
              <w:autoSpaceDE w:val="0"/>
              <w:autoSpaceDN w:val="0"/>
              <w:adjustRightInd w:val="0"/>
              <w:spacing w:after="120"/>
              <w:rPr>
                <w:rFonts w:ascii="Arial" w:eastAsia="Times New Roman" w:hAnsi="Arial" w:cs="Arial"/>
                <w:sz w:val="24"/>
                <w:szCs w:val="24"/>
              </w:rPr>
            </w:pPr>
            <w:r w:rsidRPr="0003613D">
              <w:rPr>
                <w:rFonts w:ascii="Arial" w:eastAsia="Times New Roman" w:hAnsi="Arial" w:cs="Arial"/>
                <w:sz w:val="24"/>
                <w:szCs w:val="24"/>
              </w:rPr>
              <w:t>Council and Housing Association tenants currently resident in a flat or maisonette under-occupying by one bedroom, and who wish to transfer to a property to which they are eligible with fewer bedrooms as per Section D/7.2c</w:t>
            </w:r>
          </w:p>
          <w:p w14:paraId="44A20094" w14:textId="77777777" w:rsidR="00E608E4" w:rsidRPr="0003613D" w:rsidRDefault="00E608E4" w:rsidP="00E608E4">
            <w:pPr>
              <w:numPr>
                <w:ilvl w:val="0"/>
                <w:numId w:val="15"/>
              </w:numPr>
              <w:spacing w:after="120"/>
              <w:rPr>
                <w:rFonts w:ascii="Arial" w:eastAsia="Times New Roman" w:hAnsi="Arial" w:cs="Arial"/>
                <w:sz w:val="24"/>
                <w:szCs w:val="24"/>
              </w:rPr>
            </w:pPr>
            <w:r w:rsidRPr="0003613D">
              <w:rPr>
                <w:rFonts w:ascii="Arial" w:eastAsia="Times New Roman" w:hAnsi="Arial" w:cs="Arial"/>
                <w:sz w:val="24"/>
                <w:szCs w:val="24"/>
              </w:rPr>
              <w:t>Households who are over-crowded and require one further bedroom as per the DWP Bedroom Standard as per Section D/4.3b.</w:t>
            </w:r>
          </w:p>
          <w:p w14:paraId="15FD0104" w14:textId="77777777" w:rsidR="00E608E4" w:rsidRPr="0003613D" w:rsidRDefault="00E608E4" w:rsidP="00E608E4">
            <w:pPr>
              <w:numPr>
                <w:ilvl w:val="0"/>
                <w:numId w:val="15"/>
              </w:numPr>
              <w:spacing w:after="120"/>
              <w:rPr>
                <w:rFonts w:ascii="Arial" w:eastAsia="Times New Roman" w:hAnsi="Arial" w:cs="Arial"/>
                <w:sz w:val="24"/>
                <w:szCs w:val="24"/>
              </w:rPr>
            </w:pPr>
            <w:r w:rsidRPr="0003613D">
              <w:rPr>
                <w:rFonts w:ascii="Arial" w:eastAsia="Times New Roman" w:hAnsi="Arial" w:cs="Arial"/>
                <w:sz w:val="24"/>
                <w:szCs w:val="24"/>
              </w:rPr>
              <w:t>Households identified by the Housing Solutions Team that need urgent re-housing to prevent homelessness and where there is a strong likelihood of a full homelessness duty (as per Section 193 of the 1996 Housing Act) being accepted in the near future as per Section D/3.2b</w:t>
            </w:r>
          </w:p>
          <w:p w14:paraId="261CA25D" w14:textId="77777777" w:rsidR="00E608E4" w:rsidRPr="0003613D" w:rsidRDefault="00E608E4" w:rsidP="00E608E4">
            <w:pPr>
              <w:numPr>
                <w:ilvl w:val="0"/>
                <w:numId w:val="15"/>
              </w:numPr>
              <w:spacing w:after="120"/>
              <w:rPr>
                <w:rFonts w:ascii="Arial" w:hAnsi="Arial" w:cs="Arial"/>
                <w:sz w:val="24"/>
                <w:szCs w:val="24"/>
              </w:rPr>
            </w:pPr>
            <w:r w:rsidRPr="0003613D">
              <w:rPr>
                <w:rFonts w:ascii="Arial" w:eastAsia="Times New Roman" w:hAnsi="Arial" w:cs="Arial"/>
                <w:sz w:val="24"/>
                <w:szCs w:val="24"/>
              </w:rPr>
              <w:t>Households who have dependent children (where at least one of the children is aged 16 or below and are in receipt of Child Benefit) and whose main and principal accommodation is a flat or maisonette as per Section D/7.5.</w:t>
            </w:r>
          </w:p>
          <w:p w14:paraId="338D8E32" w14:textId="77777777" w:rsidR="00E608E4" w:rsidRPr="0003613D" w:rsidRDefault="00E608E4" w:rsidP="00E608E4">
            <w:pPr>
              <w:numPr>
                <w:ilvl w:val="0"/>
                <w:numId w:val="15"/>
              </w:numPr>
              <w:spacing w:after="120"/>
              <w:rPr>
                <w:rFonts w:ascii="Arial" w:hAnsi="Arial" w:cs="Arial"/>
                <w:sz w:val="24"/>
                <w:szCs w:val="24"/>
              </w:rPr>
            </w:pPr>
            <w:r w:rsidRPr="0003613D">
              <w:rPr>
                <w:rFonts w:ascii="Arial" w:eastAsia="Times New Roman" w:hAnsi="Arial" w:cs="Arial"/>
                <w:sz w:val="24"/>
                <w:szCs w:val="24"/>
              </w:rPr>
              <w:t xml:space="preserve">Households who qualify under Hardship Grounds as per Section D6 </w:t>
            </w:r>
          </w:p>
          <w:p w14:paraId="5894E7C8" w14:textId="77777777" w:rsidR="00E608E4" w:rsidRPr="0003613D" w:rsidRDefault="00E608E4" w:rsidP="00E608E4">
            <w:pPr>
              <w:numPr>
                <w:ilvl w:val="0"/>
                <w:numId w:val="15"/>
              </w:numPr>
              <w:spacing w:after="120"/>
              <w:rPr>
                <w:rFonts w:ascii="Arial" w:hAnsi="Arial" w:cs="Arial"/>
                <w:sz w:val="24"/>
                <w:szCs w:val="24"/>
              </w:rPr>
            </w:pPr>
            <w:r w:rsidRPr="0003613D">
              <w:rPr>
                <w:rFonts w:ascii="Arial" w:eastAsia="Times New Roman" w:hAnsi="Arial" w:cs="Arial"/>
                <w:sz w:val="24"/>
                <w:szCs w:val="24"/>
              </w:rPr>
              <w:t>Households who are eligible for assistance and homeless under Section 195(2) of the Housing Act 1996 (Prevention Duty) as per Section D/3.2e.</w:t>
            </w:r>
          </w:p>
          <w:p w14:paraId="638CD8C4" w14:textId="77777777" w:rsidR="00E608E4" w:rsidRPr="0003613D" w:rsidRDefault="00E608E4">
            <w:pPr>
              <w:spacing w:after="120"/>
              <w:ind w:left="360"/>
              <w:rPr>
                <w:rFonts w:ascii="Arial" w:hAnsi="Arial" w:cs="Arial"/>
                <w:sz w:val="24"/>
                <w:szCs w:val="24"/>
              </w:rPr>
            </w:pPr>
          </w:p>
        </w:tc>
      </w:tr>
      <w:tr w:rsidR="00E608E4" w:rsidRPr="0003613D" w14:paraId="102730E4" w14:textId="77777777">
        <w:tc>
          <w:tcPr>
            <w:tcW w:w="9026" w:type="dxa"/>
          </w:tcPr>
          <w:p w14:paraId="101BA8CB" w14:textId="77777777" w:rsidR="00E608E4" w:rsidRPr="0003613D" w:rsidRDefault="00E608E4">
            <w:pPr>
              <w:rPr>
                <w:rFonts w:ascii="Arial" w:hAnsi="Arial" w:cs="Arial"/>
              </w:rPr>
            </w:pPr>
            <w:r w:rsidRPr="0003613D">
              <w:rPr>
                <w:rFonts w:ascii="Arial" w:hAnsi="Arial" w:cs="Arial"/>
                <w:b/>
                <w:sz w:val="28"/>
                <w:szCs w:val="28"/>
              </w:rPr>
              <w:t>BAND FOUR HOUSING NEED CIRCUMSTANCES:</w:t>
            </w:r>
          </w:p>
        </w:tc>
      </w:tr>
      <w:tr w:rsidR="00E608E4" w:rsidRPr="0003613D" w14:paraId="5E89C986" w14:textId="77777777">
        <w:tc>
          <w:tcPr>
            <w:tcW w:w="9026" w:type="dxa"/>
          </w:tcPr>
          <w:p w14:paraId="4A8B56B2" w14:textId="77777777" w:rsidR="00E608E4" w:rsidRPr="0003613D" w:rsidRDefault="00E608E4">
            <w:pPr>
              <w:rPr>
                <w:rFonts w:ascii="Arial" w:hAnsi="Arial" w:cs="Arial"/>
              </w:rPr>
            </w:pPr>
          </w:p>
        </w:tc>
      </w:tr>
      <w:tr w:rsidR="00E608E4" w:rsidRPr="0003613D" w14:paraId="52A71F29" w14:textId="77777777">
        <w:tc>
          <w:tcPr>
            <w:tcW w:w="9026" w:type="dxa"/>
          </w:tcPr>
          <w:p w14:paraId="6704F1DE" w14:textId="77777777" w:rsidR="00E608E4" w:rsidRPr="0003613D" w:rsidRDefault="00E608E4" w:rsidP="00E608E4">
            <w:pPr>
              <w:numPr>
                <w:ilvl w:val="0"/>
                <w:numId w:val="16"/>
              </w:numPr>
              <w:spacing w:after="120"/>
              <w:rPr>
                <w:rFonts w:ascii="Arial" w:eastAsia="Times New Roman" w:hAnsi="Arial" w:cs="Arial"/>
                <w:sz w:val="24"/>
                <w:szCs w:val="24"/>
              </w:rPr>
            </w:pPr>
            <w:r w:rsidRPr="0003613D">
              <w:rPr>
                <w:rFonts w:ascii="Arial" w:eastAsia="Times New Roman" w:hAnsi="Arial" w:cs="Arial"/>
                <w:sz w:val="24"/>
                <w:szCs w:val="24"/>
              </w:rPr>
              <w:t>Council or Housing Association tenants who wish to release a ground floor flat and transfer to a property to which they are eligible with the same number or fewer bedrooms</w:t>
            </w:r>
            <w:r w:rsidRPr="0003613D">
              <w:rPr>
                <w:rFonts w:ascii="Arial" w:eastAsia="Times New Roman" w:hAnsi="Arial" w:cs="Arial"/>
                <w:sz w:val="24"/>
                <w:szCs w:val="17"/>
              </w:rPr>
              <w:t xml:space="preserve"> as per Section D/7.9.</w:t>
            </w:r>
          </w:p>
          <w:p w14:paraId="43BFC9D5" w14:textId="77777777" w:rsidR="00E608E4" w:rsidRPr="0003613D" w:rsidRDefault="00E608E4" w:rsidP="00E608E4">
            <w:pPr>
              <w:numPr>
                <w:ilvl w:val="0"/>
                <w:numId w:val="16"/>
              </w:numPr>
              <w:spacing w:after="120"/>
              <w:rPr>
                <w:rFonts w:ascii="Arial" w:eastAsia="Times New Roman" w:hAnsi="Arial" w:cs="Arial"/>
                <w:sz w:val="24"/>
                <w:szCs w:val="24"/>
              </w:rPr>
            </w:pPr>
            <w:r w:rsidRPr="0003613D">
              <w:rPr>
                <w:rFonts w:ascii="Arial" w:eastAsia="Times New Roman" w:hAnsi="Arial" w:cs="Arial"/>
                <w:sz w:val="24"/>
                <w:szCs w:val="24"/>
              </w:rPr>
              <w:t>Homeless persons who are Eligible and Intentionally Homeless as per Section D/3.2d</w:t>
            </w:r>
          </w:p>
          <w:p w14:paraId="2FAED7B5" w14:textId="77777777" w:rsidR="00E608E4" w:rsidRPr="0003613D" w:rsidRDefault="00E608E4" w:rsidP="00E608E4">
            <w:pPr>
              <w:numPr>
                <w:ilvl w:val="0"/>
                <w:numId w:val="16"/>
              </w:numPr>
              <w:spacing w:after="120"/>
              <w:rPr>
                <w:rFonts w:ascii="Arial" w:hAnsi="Arial" w:cs="Arial"/>
              </w:rPr>
            </w:pPr>
            <w:r w:rsidRPr="0003613D">
              <w:rPr>
                <w:rFonts w:ascii="Arial" w:eastAsia="Times New Roman" w:hAnsi="Arial" w:cs="Arial"/>
                <w:sz w:val="24"/>
                <w:szCs w:val="24"/>
              </w:rPr>
              <w:t>Homeless persons who are Eligible and Unintentionally Homeless who have refused a reasonable offer of accommodation as per Section D/3.2f</w:t>
            </w:r>
          </w:p>
          <w:p w14:paraId="619600BC" w14:textId="77777777" w:rsidR="00E608E4" w:rsidRPr="0003613D" w:rsidRDefault="00E608E4">
            <w:pPr>
              <w:ind w:left="360"/>
              <w:rPr>
                <w:rFonts w:ascii="Arial" w:hAnsi="Arial" w:cs="Arial"/>
                <w:sz w:val="24"/>
                <w:szCs w:val="24"/>
              </w:rPr>
            </w:pPr>
          </w:p>
        </w:tc>
      </w:tr>
      <w:tr w:rsidR="00E608E4" w:rsidRPr="0003613D" w14:paraId="2D7B5CD6" w14:textId="77777777">
        <w:tc>
          <w:tcPr>
            <w:tcW w:w="9026" w:type="dxa"/>
          </w:tcPr>
          <w:p w14:paraId="70635330" w14:textId="77777777" w:rsidR="00E608E4" w:rsidRPr="0003613D" w:rsidRDefault="00E608E4">
            <w:pPr>
              <w:rPr>
                <w:rFonts w:ascii="Arial" w:hAnsi="Arial" w:cs="Arial"/>
              </w:rPr>
            </w:pPr>
          </w:p>
        </w:tc>
      </w:tr>
      <w:tr w:rsidR="00E608E4" w:rsidRPr="0003613D" w14:paraId="11E44364" w14:textId="77777777">
        <w:tc>
          <w:tcPr>
            <w:tcW w:w="9026" w:type="dxa"/>
          </w:tcPr>
          <w:p w14:paraId="70A55614" w14:textId="77777777" w:rsidR="00E608E4" w:rsidRPr="0003613D" w:rsidRDefault="00E608E4">
            <w:pPr>
              <w:rPr>
                <w:rFonts w:ascii="Arial" w:hAnsi="Arial" w:cs="Arial"/>
              </w:rPr>
            </w:pPr>
            <w:r w:rsidRPr="0003613D">
              <w:rPr>
                <w:rFonts w:ascii="Arial" w:hAnsi="Arial" w:cs="Arial"/>
                <w:b/>
                <w:sz w:val="28"/>
                <w:szCs w:val="28"/>
              </w:rPr>
              <w:t>BAND FIVE HOUSING NEED CIRCUMSTANCES:</w:t>
            </w:r>
          </w:p>
        </w:tc>
      </w:tr>
      <w:tr w:rsidR="00E608E4" w:rsidRPr="0003613D" w14:paraId="1FB2D533" w14:textId="77777777">
        <w:tc>
          <w:tcPr>
            <w:tcW w:w="9026" w:type="dxa"/>
          </w:tcPr>
          <w:p w14:paraId="7CFA0C32" w14:textId="77777777" w:rsidR="00E608E4" w:rsidRPr="0003613D" w:rsidRDefault="00E608E4">
            <w:pPr>
              <w:rPr>
                <w:rFonts w:ascii="Arial" w:hAnsi="Arial" w:cs="Arial"/>
              </w:rPr>
            </w:pPr>
          </w:p>
        </w:tc>
      </w:tr>
      <w:tr w:rsidR="00E608E4" w:rsidRPr="0003613D" w14:paraId="4DA69BF7" w14:textId="77777777">
        <w:tc>
          <w:tcPr>
            <w:tcW w:w="9026" w:type="dxa"/>
          </w:tcPr>
          <w:p w14:paraId="2AA9C2E5" w14:textId="77777777" w:rsidR="00E608E4" w:rsidRPr="0003613D" w:rsidRDefault="00E608E4">
            <w:pPr>
              <w:rPr>
                <w:rFonts w:ascii="Arial" w:hAnsi="Arial" w:cs="Arial"/>
                <w:sz w:val="24"/>
                <w:szCs w:val="24"/>
              </w:rPr>
            </w:pPr>
            <w:r w:rsidRPr="0003613D">
              <w:rPr>
                <w:rFonts w:ascii="Arial" w:hAnsi="Arial" w:cs="Arial"/>
                <w:sz w:val="24"/>
                <w:szCs w:val="24"/>
              </w:rPr>
              <w:t>All households who do not fall into any of the types of housing need referred to in Priority Need Bands One, Two, Three or Four.</w:t>
            </w:r>
          </w:p>
        </w:tc>
      </w:tr>
    </w:tbl>
    <w:p w14:paraId="1EA2E46C" w14:textId="77777777" w:rsidR="00F84C08" w:rsidRPr="0003613D" w:rsidRDefault="00F84C08">
      <w:pPr>
        <w:rPr>
          <w:rFonts w:ascii="Arial" w:hAnsi="Arial" w:cs="Arial"/>
        </w:rPr>
      </w:pPr>
    </w:p>
    <w:sectPr w:rsidR="00F84C08" w:rsidRPr="0003613D">
      <w:footerReference w:type="defaul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B024E" w14:textId="77777777" w:rsidR="00462A04" w:rsidRPr="009F5FE7" w:rsidRDefault="00462A04" w:rsidP="008F7CF5">
      <w:pPr>
        <w:spacing w:after="0" w:line="240" w:lineRule="auto"/>
      </w:pPr>
      <w:r w:rsidRPr="009F5FE7">
        <w:separator/>
      </w:r>
    </w:p>
  </w:endnote>
  <w:endnote w:type="continuationSeparator" w:id="0">
    <w:p w14:paraId="3294B643" w14:textId="77777777" w:rsidR="00462A04" w:rsidRPr="009F5FE7" w:rsidRDefault="00462A04" w:rsidP="008F7CF5">
      <w:pPr>
        <w:spacing w:after="0" w:line="240" w:lineRule="auto"/>
      </w:pPr>
      <w:r w:rsidRPr="009F5F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078950"/>
      <w:docPartObj>
        <w:docPartGallery w:val="Page Numbers (Bottom of Page)"/>
        <w:docPartUnique/>
      </w:docPartObj>
    </w:sdtPr>
    <w:sdtEndPr/>
    <w:sdtContent>
      <w:p w14:paraId="4EFDCF63" w14:textId="23B04FB7" w:rsidR="004E6DF0" w:rsidRPr="009F5FE7" w:rsidRDefault="004E6DF0">
        <w:pPr>
          <w:pStyle w:val="Footer"/>
          <w:jc w:val="right"/>
        </w:pPr>
        <w:r w:rsidRPr="009F5FE7">
          <w:fldChar w:fldCharType="begin"/>
        </w:r>
        <w:r w:rsidRPr="009F5FE7">
          <w:instrText>PAGE   \* MERGEFORMAT</w:instrText>
        </w:r>
        <w:r w:rsidRPr="009F5FE7">
          <w:fldChar w:fldCharType="separate"/>
        </w:r>
        <w:r w:rsidRPr="009F5FE7">
          <w:t>2</w:t>
        </w:r>
        <w:r w:rsidRPr="009F5FE7">
          <w:fldChar w:fldCharType="end"/>
        </w:r>
      </w:p>
    </w:sdtContent>
  </w:sdt>
  <w:p w14:paraId="4E731F34" w14:textId="77777777" w:rsidR="004E6DF0" w:rsidRPr="009F5FE7" w:rsidRDefault="004E6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EEB4D" w14:textId="77777777" w:rsidR="00462A04" w:rsidRPr="009F5FE7" w:rsidRDefault="00462A04" w:rsidP="008F7CF5">
      <w:pPr>
        <w:spacing w:after="0" w:line="240" w:lineRule="auto"/>
      </w:pPr>
      <w:r w:rsidRPr="009F5FE7">
        <w:separator/>
      </w:r>
    </w:p>
  </w:footnote>
  <w:footnote w:type="continuationSeparator" w:id="0">
    <w:p w14:paraId="1D7EBA8B" w14:textId="77777777" w:rsidR="00462A04" w:rsidRPr="009F5FE7" w:rsidRDefault="00462A04" w:rsidP="008F7CF5">
      <w:pPr>
        <w:spacing w:after="0" w:line="240" w:lineRule="auto"/>
      </w:pPr>
      <w:r w:rsidRPr="009F5FE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2D2A"/>
    <w:multiLevelType w:val="hybridMultilevel"/>
    <w:tmpl w:val="D5583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D93DF4"/>
    <w:multiLevelType w:val="hybridMultilevel"/>
    <w:tmpl w:val="6A2C9110"/>
    <w:lvl w:ilvl="0" w:tplc="953A61C8">
      <w:start w:val="1"/>
      <w:numFmt w:val="upperLetter"/>
      <w:lvlText w:val="%1."/>
      <w:lvlJc w:val="left"/>
      <w:pPr>
        <w:tabs>
          <w:tab w:val="num" w:pos="360"/>
        </w:tabs>
        <w:ind w:left="360" w:hanging="360"/>
      </w:pPr>
      <w:rPr>
        <w:rFonts w:ascii="Arial" w:hAnsi="Arial" w:cs="Arial" w:hint="default"/>
        <w:sz w:val="24"/>
        <w:szCs w:val="24"/>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0D60CA0"/>
    <w:multiLevelType w:val="multilevel"/>
    <w:tmpl w:val="F81C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601E7"/>
    <w:multiLevelType w:val="hybridMultilevel"/>
    <w:tmpl w:val="BCFCACF4"/>
    <w:lvl w:ilvl="0" w:tplc="A3DEFBEA">
      <w:start w:val="1"/>
      <w:numFmt w:val="upperLetter"/>
      <w:lvlText w:val="%1."/>
      <w:lvlJc w:val="left"/>
      <w:pPr>
        <w:tabs>
          <w:tab w:val="num" w:pos="360"/>
        </w:tabs>
        <w:ind w:left="360" w:hanging="360"/>
      </w:pPr>
      <w:rPr>
        <w:rFonts w:ascii="Arial" w:hAnsi="Arial" w:cs="Arial" w:hint="default"/>
        <w:sz w:val="24"/>
        <w:szCs w:val="24"/>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12C070D9"/>
    <w:multiLevelType w:val="multilevel"/>
    <w:tmpl w:val="E36C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93C7C"/>
    <w:multiLevelType w:val="hybridMultilevel"/>
    <w:tmpl w:val="2912E174"/>
    <w:lvl w:ilvl="0" w:tplc="C09A792C">
      <w:start w:val="1"/>
      <w:numFmt w:val="upperLetter"/>
      <w:lvlText w:val="%1."/>
      <w:lvlJc w:val="left"/>
      <w:pPr>
        <w:tabs>
          <w:tab w:val="num" w:pos="360"/>
        </w:tabs>
        <w:ind w:left="360" w:hanging="360"/>
      </w:pPr>
      <w:rPr>
        <w:rFonts w:ascii="Arial" w:hAnsi="Arial" w:cs="Aria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6" w15:restartNumberingAfterBreak="0">
    <w:nsid w:val="15FA57DE"/>
    <w:multiLevelType w:val="hybridMultilevel"/>
    <w:tmpl w:val="44864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A77700"/>
    <w:multiLevelType w:val="hybridMultilevel"/>
    <w:tmpl w:val="14F2F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60E0B"/>
    <w:multiLevelType w:val="multilevel"/>
    <w:tmpl w:val="D4E6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310234"/>
    <w:multiLevelType w:val="hybridMultilevel"/>
    <w:tmpl w:val="43B4C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A97C09"/>
    <w:multiLevelType w:val="hybridMultilevel"/>
    <w:tmpl w:val="1CD210FC"/>
    <w:lvl w:ilvl="0" w:tplc="DBBA00CC">
      <w:start w:val="1"/>
      <w:numFmt w:val="upperLetter"/>
      <w:lvlText w:val="%1."/>
      <w:lvlJc w:val="left"/>
      <w:pPr>
        <w:tabs>
          <w:tab w:val="num" w:pos="360"/>
        </w:tabs>
        <w:ind w:left="360" w:hanging="360"/>
      </w:pPr>
      <w:rPr>
        <w:rFonts w:ascii="Arial" w:hAnsi="Arial" w:cs="Aria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26F958F8"/>
    <w:multiLevelType w:val="hybridMultilevel"/>
    <w:tmpl w:val="C1E4E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4D3B82"/>
    <w:multiLevelType w:val="multilevel"/>
    <w:tmpl w:val="47C2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9940DC"/>
    <w:multiLevelType w:val="multilevel"/>
    <w:tmpl w:val="E170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834B4C"/>
    <w:multiLevelType w:val="hybridMultilevel"/>
    <w:tmpl w:val="ADF66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9C3C1C"/>
    <w:multiLevelType w:val="multilevel"/>
    <w:tmpl w:val="8B04B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D813B4"/>
    <w:multiLevelType w:val="multilevel"/>
    <w:tmpl w:val="3112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F83F47"/>
    <w:multiLevelType w:val="hybridMultilevel"/>
    <w:tmpl w:val="7F241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9E18AE"/>
    <w:multiLevelType w:val="hybridMultilevel"/>
    <w:tmpl w:val="FC260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0832F1"/>
    <w:multiLevelType w:val="hybridMultilevel"/>
    <w:tmpl w:val="19A08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016A28"/>
    <w:multiLevelType w:val="hybridMultilevel"/>
    <w:tmpl w:val="B04CF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9E6A6D"/>
    <w:multiLevelType w:val="multilevel"/>
    <w:tmpl w:val="3514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384744"/>
    <w:multiLevelType w:val="multilevel"/>
    <w:tmpl w:val="A1C0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357506"/>
    <w:multiLevelType w:val="multilevel"/>
    <w:tmpl w:val="5B5C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5006E1"/>
    <w:multiLevelType w:val="multilevel"/>
    <w:tmpl w:val="3A38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6D3EE1"/>
    <w:multiLevelType w:val="hybridMultilevel"/>
    <w:tmpl w:val="DFA443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0CE04F2"/>
    <w:multiLevelType w:val="multilevel"/>
    <w:tmpl w:val="B03A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7D6A64"/>
    <w:multiLevelType w:val="hybridMultilevel"/>
    <w:tmpl w:val="AD6A6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842075B"/>
    <w:multiLevelType w:val="multilevel"/>
    <w:tmpl w:val="DC64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AD27B8"/>
    <w:multiLevelType w:val="multilevel"/>
    <w:tmpl w:val="0408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AF698D"/>
    <w:multiLevelType w:val="hybridMultilevel"/>
    <w:tmpl w:val="D73497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00717F"/>
    <w:multiLevelType w:val="multilevel"/>
    <w:tmpl w:val="BF12B1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F7D59B2"/>
    <w:multiLevelType w:val="multilevel"/>
    <w:tmpl w:val="ABCE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0E050C"/>
    <w:multiLevelType w:val="hybridMultilevel"/>
    <w:tmpl w:val="740ED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6987A97"/>
    <w:multiLevelType w:val="multilevel"/>
    <w:tmpl w:val="B1A6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E344FF"/>
    <w:multiLevelType w:val="multilevel"/>
    <w:tmpl w:val="463A9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4442EC"/>
    <w:multiLevelType w:val="hybridMultilevel"/>
    <w:tmpl w:val="3E22FBD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C906A73"/>
    <w:multiLevelType w:val="multilevel"/>
    <w:tmpl w:val="1642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4901F0"/>
    <w:multiLevelType w:val="multilevel"/>
    <w:tmpl w:val="17E632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0A7314"/>
    <w:multiLevelType w:val="multilevel"/>
    <w:tmpl w:val="D81684B4"/>
    <w:lvl w:ilvl="0">
      <w:start w:val="2"/>
      <w:numFmt w:val="decimal"/>
      <w:lvlText w:val="%1"/>
      <w:lvlJc w:val="left"/>
      <w:pPr>
        <w:ind w:left="360" w:hanging="360"/>
      </w:pPr>
      <w:rPr>
        <w:rFonts w:hint="default"/>
      </w:rPr>
    </w:lvl>
    <w:lvl w:ilvl="1">
      <w:start w:val="1"/>
      <w:numFmt w:val="decimal"/>
      <w:isLgl/>
      <w:lvlText w:val="%1.%2"/>
      <w:lvlJc w:val="left"/>
      <w:pPr>
        <w:ind w:left="454" w:hanging="45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1354574415">
    <w:abstractNumId w:val="39"/>
  </w:num>
  <w:num w:numId="2" w16cid:durableId="1991589678">
    <w:abstractNumId w:val="34"/>
  </w:num>
  <w:num w:numId="3" w16cid:durableId="508833110">
    <w:abstractNumId w:val="7"/>
  </w:num>
  <w:num w:numId="4" w16cid:durableId="1279793757">
    <w:abstractNumId w:val="23"/>
  </w:num>
  <w:num w:numId="5" w16cid:durableId="1196774897">
    <w:abstractNumId w:val="37"/>
  </w:num>
  <w:num w:numId="6" w16cid:durableId="593972845">
    <w:abstractNumId w:val="13"/>
  </w:num>
  <w:num w:numId="7" w16cid:durableId="296761882">
    <w:abstractNumId w:val="8"/>
  </w:num>
  <w:num w:numId="8" w16cid:durableId="333382876">
    <w:abstractNumId w:val="24"/>
  </w:num>
  <w:num w:numId="9" w16cid:durableId="140779388">
    <w:abstractNumId w:val="21"/>
  </w:num>
  <w:num w:numId="10" w16cid:durableId="2021466994">
    <w:abstractNumId w:val="11"/>
  </w:num>
  <w:num w:numId="11" w16cid:durableId="1393654353">
    <w:abstractNumId w:val="18"/>
  </w:num>
  <w:num w:numId="12" w16cid:durableId="177890624">
    <w:abstractNumId w:val="36"/>
  </w:num>
  <w:num w:numId="13" w16cid:durableId="631441229">
    <w:abstractNumId w:val="5"/>
  </w:num>
  <w:num w:numId="14" w16cid:durableId="2023555520">
    <w:abstractNumId w:val="1"/>
  </w:num>
  <w:num w:numId="15" w16cid:durableId="61879195">
    <w:abstractNumId w:val="10"/>
  </w:num>
  <w:num w:numId="16" w16cid:durableId="298002922">
    <w:abstractNumId w:val="3"/>
  </w:num>
  <w:num w:numId="17" w16cid:durableId="483089547">
    <w:abstractNumId w:val="25"/>
  </w:num>
  <w:num w:numId="18" w16cid:durableId="1965505198">
    <w:abstractNumId w:val="30"/>
  </w:num>
  <w:num w:numId="19" w16cid:durableId="711349511">
    <w:abstractNumId w:val="32"/>
  </w:num>
  <w:num w:numId="20" w16cid:durableId="1188636004">
    <w:abstractNumId w:val="2"/>
  </w:num>
  <w:num w:numId="21" w16cid:durableId="33164047">
    <w:abstractNumId w:val="29"/>
  </w:num>
  <w:num w:numId="22" w16cid:durableId="693923283">
    <w:abstractNumId w:val="12"/>
  </w:num>
  <w:num w:numId="23" w16cid:durableId="1654678264">
    <w:abstractNumId w:val="4"/>
  </w:num>
  <w:num w:numId="24" w16cid:durableId="1725567371">
    <w:abstractNumId w:val="14"/>
  </w:num>
  <w:num w:numId="25" w16cid:durableId="713626269">
    <w:abstractNumId w:val="31"/>
  </w:num>
  <w:num w:numId="26" w16cid:durableId="1551920785">
    <w:abstractNumId w:val="33"/>
  </w:num>
  <w:num w:numId="27" w16cid:durableId="1926064335">
    <w:abstractNumId w:val="26"/>
  </w:num>
  <w:num w:numId="28" w16cid:durableId="1805660339">
    <w:abstractNumId w:val="16"/>
  </w:num>
  <w:num w:numId="29" w16cid:durableId="540744744">
    <w:abstractNumId w:val="22"/>
  </w:num>
  <w:num w:numId="30" w16cid:durableId="2133741038">
    <w:abstractNumId w:val="28"/>
  </w:num>
  <w:num w:numId="31" w16cid:durableId="92476853">
    <w:abstractNumId w:val="27"/>
  </w:num>
  <w:num w:numId="32" w16cid:durableId="1698195097">
    <w:abstractNumId w:val="19"/>
  </w:num>
  <w:num w:numId="33" w16cid:durableId="410002407">
    <w:abstractNumId w:val="9"/>
  </w:num>
  <w:num w:numId="34" w16cid:durableId="339704573">
    <w:abstractNumId w:val="0"/>
  </w:num>
  <w:num w:numId="35" w16cid:durableId="2141721554">
    <w:abstractNumId w:val="6"/>
  </w:num>
  <w:num w:numId="36" w16cid:durableId="2033728066">
    <w:abstractNumId w:val="17"/>
  </w:num>
  <w:num w:numId="37" w16cid:durableId="928080447">
    <w:abstractNumId w:val="38"/>
  </w:num>
  <w:num w:numId="38" w16cid:durableId="1534880803">
    <w:abstractNumId w:val="15"/>
  </w:num>
  <w:num w:numId="39" w16cid:durableId="42950629">
    <w:abstractNumId w:val="35"/>
  </w:num>
  <w:num w:numId="40" w16cid:durableId="5322283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C08"/>
    <w:rsid w:val="0000213C"/>
    <w:rsid w:val="00002ADA"/>
    <w:rsid w:val="0000735F"/>
    <w:rsid w:val="00011375"/>
    <w:rsid w:val="00013C63"/>
    <w:rsid w:val="00017776"/>
    <w:rsid w:val="000230A0"/>
    <w:rsid w:val="00025F24"/>
    <w:rsid w:val="00030169"/>
    <w:rsid w:val="00032566"/>
    <w:rsid w:val="0003613D"/>
    <w:rsid w:val="00036587"/>
    <w:rsid w:val="00046BBC"/>
    <w:rsid w:val="00046F6A"/>
    <w:rsid w:val="00047670"/>
    <w:rsid w:val="00055508"/>
    <w:rsid w:val="00056957"/>
    <w:rsid w:val="00062046"/>
    <w:rsid w:val="00062166"/>
    <w:rsid w:val="000726F5"/>
    <w:rsid w:val="00075A14"/>
    <w:rsid w:val="00080918"/>
    <w:rsid w:val="00082F36"/>
    <w:rsid w:val="000925A0"/>
    <w:rsid w:val="00092B82"/>
    <w:rsid w:val="0009724D"/>
    <w:rsid w:val="00097A97"/>
    <w:rsid w:val="000A19F4"/>
    <w:rsid w:val="000B18CA"/>
    <w:rsid w:val="000B3D0F"/>
    <w:rsid w:val="000C3FA9"/>
    <w:rsid w:val="000C546C"/>
    <w:rsid w:val="000D17C1"/>
    <w:rsid w:val="000D3A39"/>
    <w:rsid w:val="000D6F95"/>
    <w:rsid w:val="000E4F01"/>
    <w:rsid w:val="000E7D6E"/>
    <w:rsid w:val="000F12C0"/>
    <w:rsid w:val="001011F3"/>
    <w:rsid w:val="001055DC"/>
    <w:rsid w:val="0011173A"/>
    <w:rsid w:val="00111769"/>
    <w:rsid w:val="00111EF8"/>
    <w:rsid w:val="00112566"/>
    <w:rsid w:val="00114C39"/>
    <w:rsid w:val="00115AD1"/>
    <w:rsid w:val="00116A3A"/>
    <w:rsid w:val="0012026B"/>
    <w:rsid w:val="001222EC"/>
    <w:rsid w:val="00124631"/>
    <w:rsid w:val="00126EB6"/>
    <w:rsid w:val="001277EA"/>
    <w:rsid w:val="00135A20"/>
    <w:rsid w:val="00146DD6"/>
    <w:rsid w:val="00155F4F"/>
    <w:rsid w:val="001571B7"/>
    <w:rsid w:val="001602E4"/>
    <w:rsid w:val="00166645"/>
    <w:rsid w:val="0016783D"/>
    <w:rsid w:val="001702A3"/>
    <w:rsid w:val="00170AA6"/>
    <w:rsid w:val="001721BF"/>
    <w:rsid w:val="00180862"/>
    <w:rsid w:val="001856DD"/>
    <w:rsid w:val="00186F81"/>
    <w:rsid w:val="001952E1"/>
    <w:rsid w:val="001A1BDF"/>
    <w:rsid w:val="001A42BD"/>
    <w:rsid w:val="001A476C"/>
    <w:rsid w:val="001B1FAA"/>
    <w:rsid w:val="001B4AC4"/>
    <w:rsid w:val="001B7C06"/>
    <w:rsid w:val="001C0635"/>
    <w:rsid w:val="001C0A18"/>
    <w:rsid w:val="001C1DE8"/>
    <w:rsid w:val="001C387F"/>
    <w:rsid w:val="001C48A2"/>
    <w:rsid w:val="001C61FE"/>
    <w:rsid w:val="001C6CD5"/>
    <w:rsid w:val="001C7355"/>
    <w:rsid w:val="001D73B4"/>
    <w:rsid w:val="001E2048"/>
    <w:rsid w:val="001E74A0"/>
    <w:rsid w:val="001F3F57"/>
    <w:rsid w:val="001F6F80"/>
    <w:rsid w:val="001F71E3"/>
    <w:rsid w:val="001F7711"/>
    <w:rsid w:val="002023C2"/>
    <w:rsid w:val="00206192"/>
    <w:rsid w:val="00206366"/>
    <w:rsid w:val="00210706"/>
    <w:rsid w:val="002107BF"/>
    <w:rsid w:val="00222651"/>
    <w:rsid w:val="00225470"/>
    <w:rsid w:val="00225A08"/>
    <w:rsid w:val="00227651"/>
    <w:rsid w:val="0023168A"/>
    <w:rsid w:val="00233202"/>
    <w:rsid w:val="002348E5"/>
    <w:rsid w:val="0023583B"/>
    <w:rsid w:val="00237F7D"/>
    <w:rsid w:val="0024169D"/>
    <w:rsid w:val="0024213D"/>
    <w:rsid w:val="00251269"/>
    <w:rsid w:val="002514AE"/>
    <w:rsid w:val="002553FA"/>
    <w:rsid w:val="00264675"/>
    <w:rsid w:val="002720CA"/>
    <w:rsid w:val="0027305C"/>
    <w:rsid w:val="00276171"/>
    <w:rsid w:val="0027651D"/>
    <w:rsid w:val="00276FEC"/>
    <w:rsid w:val="00280E85"/>
    <w:rsid w:val="00290881"/>
    <w:rsid w:val="00293014"/>
    <w:rsid w:val="00293EBF"/>
    <w:rsid w:val="00296347"/>
    <w:rsid w:val="002A57CD"/>
    <w:rsid w:val="002A5BAE"/>
    <w:rsid w:val="002C6CCE"/>
    <w:rsid w:val="002C74A1"/>
    <w:rsid w:val="002D045A"/>
    <w:rsid w:val="002D0F73"/>
    <w:rsid w:val="002D4F83"/>
    <w:rsid w:val="002D75A8"/>
    <w:rsid w:val="002D7E07"/>
    <w:rsid w:val="002E264C"/>
    <w:rsid w:val="002F123F"/>
    <w:rsid w:val="002F3DA7"/>
    <w:rsid w:val="002F5794"/>
    <w:rsid w:val="00305D7C"/>
    <w:rsid w:val="00314DEE"/>
    <w:rsid w:val="00315118"/>
    <w:rsid w:val="00316D44"/>
    <w:rsid w:val="00322FFC"/>
    <w:rsid w:val="003232CE"/>
    <w:rsid w:val="00323F14"/>
    <w:rsid w:val="003416EB"/>
    <w:rsid w:val="003472A3"/>
    <w:rsid w:val="00354FAC"/>
    <w:rsid w:val="00361D1C"/>
    <w:rsid w:val="00362843"/>
    <w:rsid w:val="003704E0"/>
    <w:rsid w:val="00375034"/>
    <w:rsid w:val="003771AD"/>
    <w:rsid w:val="00384673"/>
    <w:rsid w:val="00390821"/>
    <w:rsid w:val="0039745A"/>
    <w:rsid w:val="003A2DD2"/>
    <w:rsid w:val="003A7E1E"/>
    <w:rsid w:val="003B10A9"/>
    <w:rsid w:val="003B2EBA"/>
    <w:rsid w:val="003B5ADA"/>
    <w:rsid w:val="003B7AB4"/>
    <w:rsid w:val="003C0F31"/>
    <w:rsid w:val="003C4992"/>
    <w:rsid w:val="003C51C0"/>
    <w:rsid w:val="003C7232"/>
    <w:rsid w:val="003D70D3"/>
    <w:rsid w:val="003D7D6B"/>
    <w:rsid w:val="003E3099"/>
    <w:rsid w:val="003E341C"/>
    <w:rsid w:val="003E3C92"/>
    <w:rsid w:val="003F0CEE"/>
    <w:rsid w:val="003F123F"/>
    <w:rsid w:val="003F1619"/>
    <w:rsid w:val="003F5215"/>
    <w:rsid w:val="0040180C"/>
    <w:rsid w:val="00407C05"/>
    <w:rsid w:val="00422669"/>
    <w:rsid w:val="00423FAE"/>
    <w:rsid w:val="00425E1A"/>
    <w:rsid w:val="00426E3C"/>
    <w:rsid w:val="00427493"/>
    <w:rsid w:val="00431181"/>
    <w:rsid w:val="004365DA"/>
    <w:rsid w:val="00440CCC"/>
    <w:rsid w:val="004433FC"/>
    <w:rsid w:val="00444598"/>
    <w:rsid w:val="00445689"/>
    <w:rsid w:val="00446012"/>
    <w:rsid w:val="00446863"/>
    <w:rsid w:val="00451BBB"/>
    <w:rsid w:val="00452E26"/>
    <w:rsid w:val="00454F0F"/>
    <w:rsid w:val="004605D3"/>
    <w:rsid w:val="00462A04"/>
    <w:rsid w:val="00463C33"/>
    <w:rsid w:val="0046467C"/>
    <w:rsid w:val="004657FB"/>
    <w:rsid w:val="00465B25"/>
    <w:rsid w:val="0046657F"/>
    <w:rsid w:val="00466FFC"/>
    <w:rsid w:val="004729DF"/>
    <w:rsid w:val="004763E6"/>
    <w:rsid w:val="00477E17"/>
    <w:rsid w:val="00483DC6"/>
    <w:rsid w:val="00484093"/>
    <w:rsid w:val="00484DAA"/>
    <w:rsid w:val="0049099B"/>
    <w:rsid w:val="00492A48"/>
    <w:rsid w:val="004932E6"/>
    <w:rsid w:val="004941B8"/>
    <w:rsid w:val="004A33D6"/>
    <w:rsid w:val="004A37DB"/>
    <w:rsid w:val="004A7D70"/>
    <w:rsid w:val="004B008B"/>
    <w:rsid w:val="004B7D44"/>
    <w:rsid w:val="004C0EDE"/>
    <w:rsid w:val="004C63A4"/>
    <w:rsid w:val="004D31E5"/>
    <w:rsid w:val="004E082B"/>
    <w:rsid w:val="004E5918"/>
    <w:rsid w:val="004E5CAD"/>
    <w:rsid w:val="004E6DF0"/>
    <w:rsid w:val="005001D8"/>
    <w:rsid w:val="0050365F"/>
    <w:rsid w:val="005044A0"/>
    <w:rsid w:val="005049CC"/>
    <w:rsid w:val="00504D0C"/>
    <w:rsid w:val="005056ED"/>
    <w:rsid w:val="00520329"/>
    <w:rsid w:val="0052145C"/>
    <w:rsid w:val="00523D44"/>
    <w:rsid w:val="00527BD1"/>
    <w:rsid w:val="00540B02"/>
    <w:rsid w:val="00541376"/>
    <w:rsid w:val="00546FE5"/>
    <w:rsid w:val="00553B58"/>
    <w:rsid w:val="00553D11"/>
    <w:rsid w:val="00560693"/>
    <w:rsid w:val="00561437"/>
    <w:rsid w:val="00566EB2"/>
    <w:rsid w:val="00567983"/>
    <w:rsid w:val="00574185"/>
    <w:rsid w:val="00574426"/>
    <w:rsid w:val="00577C7E"/>
    <w:rsid w:val="0058245F"/>
    <w:rsid w:val="00582EF9"/>
    <w:rsid w:val="005871C5"/>
    <w:rsid w:val="00592990"/>
    <w:rsid w:val="005A02B8"/>
    <w:rsid w:val="005A133C"/>
    <w:rsid w:val="005A60BC"/>
    <w:rsid w:val="005B4986"/>
    <w:rsid w:val="005B5642"/>
    <w:rsid w:val="005B7707"/>
    <w:rsid w:val="005C457A"/>
    <w:rsid w:val="005E4E70"/>
    <w:rsid w:val="005F1285"/>
    <w:rsid w:val="005F29EB"/>
    <w:rsid w:val="005F3201"/>
    <w:rsid w:val="005F36C5"/>
    <w:rsid w:val="00600094"/>
    <w:rsid w:val="006019DA"/>
    <w:rsid w:val="0060382E"/>
    <w:rsid w:val="00604AE6"/>
    <w:rsid w:val="00604E70"/>
    <w:rsid w:val="0060530B"/>
    <w:rsid w:val="00605BEB"/>
    <w:rsid w:val="00605CE1"/>
    <w:rsid w:val="00607AFE"/>
    <w:rsid w:val="0061508A"/>
    <w:rsid w:val="00616798"/>
    <w:rsid w:val="006177AE"/>
    <w:rsid w:val="00621A38"/>
    <w:rsid w:val="006321B7"/>
    <w:rsid w:val="006361C2"/>
    <w:rsid w:val="00637461"/>
    <w:rsid w:val="00642C21"/>
    <w:rsid w:val="00647475"/>
    <w:rsid w:val="006502D7"/>
    <w:rsid w:val="00650963"/>
    <w:rsid w:val="00655D38"/>
    <w:rsid w:val="006605DC"/>
    <w:rsid w:val="00662B2B"/>
    <w:rsid w:val="0066569B"/>
    <w:rsid w:val="00665A9B"/>
    <w:rsid w:val="00666D77"/>
    <w:rsid w:val="00673DC1"/>
    <w:rsid w:val="00677E54"/>
    <w:rsid w:val="00680BA5"/>
    <w:rsid w:val="006823C9"/>
    <w:rsid w:val="006872D7"/>
    <w:rsid w:val="00697181"/>
    <w:rsid w:val="00697ABE"/>
    <w:rsid w:val="006A0FB4"/>
    <w:rsid w:val="006B2ADB"/>
    <w:rsid w:val="006B3E4E"/>
    <w:rsid w:val="006B6210"/>
    <w:rsid w:val="006C2D97"/>
    <w:rsid w:val="006C39ED"/>
    <w:rsid w:val="006C64A1"/>
    <w:rsid w:val="006D0D28"/>
    <w:rsid w:val="006D230D"/>
    <w:rsid w:val="006D405F"/>
    <w:rsid w:val="006D40D1"/>
    <w:rsid w:val="006D4DCC"/>
    <w:rsid w:val="006D7C3B"/>
    <w:rsid w:val="006E2310"/>
    <w:rsid w:val="006E379A"/>
    <w:rsid w:val="006E729A"/>
    <w:rsid w:val="006F50DB"/>
    <w:rsid w:val="00700427"/>
    <w:rsid w:val="00705A28"/>
    <w:rsid w:val="007079C0"/>
    <w:rsid w:val="00710779"/>
    <w:rsid w:val="007164FB"/>
    <w:rsid w:val="00720524"/>
    <w:rsid w:val="00721811"/>
    <w:rsid w:val="00723EA3"/>
    <w:rsid w:val="00725319"/>
    <w:rsid w:val="00731DD8"/>
    <w:rsid w:val="00732CD7"/>
    <w:rsid w:val="00732D8D"/>
    <w:rsid w:val="00740ED5"/>
    <w:rsid w:val="00744678"/>
    <w:rsid w:val="00744846"/>
    <w:rsid w:val="00745D79"/>
    <w:rsid w:val="00745FEE"/>
    <w:rsid w:val="0074656E"/>
    <w:rsid w:val="00746EDE"/>
    <w:rsid w:val="00757D56"/>
    <w:rsid w:val="00761A48"/>
    <w:rsid w:val="00764CE0"/>
    <w:rsid w:val="007651A7"/>
    <w:rsid w:val="00765D15"/>
    <w:rsid w:val="00774CA9"/>
    <w:rsid w:val="00776CE3"/>
    <w:rsid w:val="00784A24"/>
    <w:rsid w:val="00785AE0"/>
    <w:rsid w:val="00786213"/>
    <w:rsid w:val="0079205B"/>
    <w:rsid w:val="0079374D"/>
    <w:rsid w:val="00793CFD"/>
    <w:rsid w:val="0079494F"/>
    <w:rsid w:val="00794EAF"/>
    <w:rsid w:val="00797914"/>
    <w:rsid w:val="007A18DA"/>
    <w:rsid w:val="007A3384"/>
    <w:rsid w:val="007A3936"/>
    <w:rsid w:val="007A3FF1"/>
    <w:rsid w:val="007A42A4"/>
    <w:rsid w:val="007A435B"/>
    <w:rsid w:val="007A6643"/>
    <w:rsid w:val="007B076A"/>
    <w:rsid w:val="007B25B8"/>
    <w:rsid w:val="007B3213"/>
    <w:rsid w:val="007B5C72"/>
    <w:rsid w:val="007C5C5E"/>
    <w:rsid w:val="007D4E10"/>
    <w:rsid w:val="007E0EF4"/>
    <w:rsid w:val="007E26FC"/>
    <w:rsid w:val="007E548B"/>
    <w:rsid w:val="007E5B12"/>
    <w:rsid w:val="007E6461"/>
    <w:rsid w:val="007F290B"/>
    <w:rsid w:val="007F420D"/>
    <w:rsid w:val="007F45D2"/>
    <w:rsid w:val="00803223"/>
    <w:rsid w:val="00816F87"/>
    <w:rsid w:val="00817EAE"/>
    <w:rsid w:val="008257C4"/>
    <w:rsid w:val="00832614"/>
    <w:rsid w:val="00836010"/>
    <w:rsid w:val="00841B3E"/>
    <w:rsid w:val="008423CF"/>
    <w:rsid w:val="00843EF7"/>
    <w:rsid w:val="008450BE"/>
    <w:rsid w:val="00847C1A"/>
    <w:rsid w:val="00851A4E"/>
    <w:rsid w:val="00851F35"/>
    <w:rsid w:val="0085299A"/>
    <w:rsid w:val="00855046"/>
    <w:rsid w:val="00856F7B"/>
    <w:rsid w:val="00860025"/>
    <w:rsid w:val="00862F1A"/>
    <w:rsid w:val="008631CC"/>
    <w:rsid w:val="00865848"/>
    <w:rsid w:val="00874B85"/>
    <w:rsid w:val="008811AD"/>
    <w:rsid w:val="008835A7"/>
    <w:rsid w:val="00885F3E"/>
    <w:rsid w:val="008871EA"/>
    <w:rsid w:val="008A0E8C"/>
    <w:rsid w:val="008A31E3"/>
    <w:rsid w:val="008A3BD4"/>
    <w:rsid w:val="008B0EBC"/>
    <w:rsid w:val="008B1CD7"/>
    <w:rsid w:val="008D1C3A"/>
    <w:rsid w:val="008D27C4"/>
    <w:rsid w:val="008D30B6"/>
    <w:rsid w:val="008D6049"/>
    <w:rsid w:val="008D6DBA"/>
    <w:rsid w:val="008E380E"/>
    <w:rsid w:val="008E5109"/>
    <w:rsid w:val="008F7CF5"/>
    <w:rsid w:val="00902CE1"/>
    <w:rsid w:val="0091468E"/>
    <w:rsid w:val="00914BC1"/>
    <w:rsid w:val="00920403"/>
    <w:rsid w:val="00923C60"/>
    <w:rsid w:val="009247C1"/>
    <w:rsid w:val="00933E05"/>
    <w:rsid w:val="009354D6"/>
    <w:rsid w:val="00941733"/>
    <w:rsid w:val="009459C4"/>
    <w:rsid w:val="00947B1B"/>
    <w:rsid w:val="009562DC"/>
    <w:rsid w:val="00957EDA"/>
    <w:rsid w:val="00962D28"/>
    <w:rsid w:val="009633CA"/>
    <w:rsid w:val="0097202F"/>
    <w:rsid w:val="00973B0C"/>
    <w:rsid w:val="00975791"/>
    <w:rsid w:val="0098293E"/>
    <w:rsid w:val="00983737"/>
    <w:rsid w:val="00986F49"/>
    <w:rsid w:val="00986F89"/>
    <w:rsid w:val="00992413"/>
    <w:rsid w:val="009A5279"/>
    <w:rsid w:val="009A73E3"/>
    <w:rsid w:val="009B451A"/>
    <w:rsid w:val="009B64F7"/>
    <w:rsid w:val="009B7003"/>
    <w:rsid w:val="009B7B93"/>
    <w:rsid w:val="009C6B0F"/>
    <w:rsid w:val="009D0F10"/>
    <w:rsid w:val="009D2CD8"/>
    <w:rsid w:val="009D3FFF"/>
    <w:rsid w:val="009D7707"/>
    <w:rsid w:val="009E6C1D"/>
    <w:rsid w:val="009F1A25"/>
    <w:rsid w:val="009F36FD"/>
    <w:rsid w:val="009F5160"/>
    <w:rsid w:val="009F5FE7"/>
    <w:rsid w:val="009F7A40"/>
    <w:rsid w:val="00A03B6B"/>
    <w:rsid w:val="00A10E10"/>
    <w:rsid w:val="00A11D65"/>
    <w:rsid w:val="00A13B07"/>
    <w:rsid w:val="00A1523D"/>
    <w:rsid w:val="00A2059E"/>
    <w:rsid w:val="00A243B2"/>
    <w:rsid w:val="00A25EF3"/>
    <w:rsid w:val="00A26DDB"/>
    <w:rsid w:val="00A27BB7"/>
    <w:rsid w:val="00A30E29"/>
    <w:rsid w:val="00A37F12"/>
    <w:rsid w:val="00A433AD"/>
    <w:rsid w:val="00A43F0E"/>
    <w:rsid w:val="00A460A5"/>
    <w:rsid w:val="00A473D6"/>
    <w:rsid w:val="00A50803"/>
    <w:rsid w:val="00A5340C"/>
    <w:rsid w:val="00A61402"/>
    <w:rsid w:val="00A6681D"/>
    <w:rsid w:val="00A67333"/>
    <w:rsid w:val="00A70476"/>
    <w:rsid w:val="00A72B99"/>
    <w:rsid w:val="00A74509"/>
    <w:rsid w:val="00A756B5"/>
    <w:rsid w:val="00A773F0"/>
    <w:rsid w:val="00A828B0"/>
    <w:rsid w:val="00A852DF"/>
    <w:rsid w:val="00A86317"/>
    <w:rsid w:val="00A923D3"/>
    <w:rsid w:val="00A95AE5"/>
    <w:rsid w:val="00AB1B20"/>
    <w:rsid w:val="00AB6817"/>
    <w:rsid w:val="00AB6B2E"/>
    <w:rsid w:val="00AC0C0E"/>
    <w:rsid w:val="00AC3A9F"/>
    <w:rsid w:val="00AC4E92"/>
    <w:rsid w:val="00AC75D8"/>
    <w:rsid w:val="00AD19C6"/>
    <w:rsid w:val="00AD4A80"/>
    <w:rsid w:val="00AE0BF8"/>
    <w:rsid w:val="00AE20D9"/>
    <w:rsid w:val="00AE2DFB"/>
    <w:rsid w:val="00AE525F"/>
    <w:rsid w:val="00AF11E4"/>
    <w:rsid w:val="00AF7272"/>
    <w:rsid w:val="00B00E13"/>
    <w:rsid w:val="00B077B8"/>
    <w:rsid w:val="00B07EE0"/>
    <w:rsid w:val="00B1234D"/>
    <w:rsid w:val="00B158BA"/>
    <w:rsid w:val="00B15EE5"/>
    <w:rsid w:val="00B20DEA"/>
    <w:rsid w:val="00B3701A"/>
    <w:rsid w:val="00B426D4"/>
    <w:rsid w:val="00B42AF9"/>
    <w:rsid w:val="00B460CD"/>
    <w:rsid w:val="00B4786C"/>
    <w:rsid w:val="00B47E9A"/>
    <w:rsid w:val="00B5479B"/>
    <w:rsid w:val="00B54E34"/>
    <w:rsid w:val="00B57401"/>
    <w:rsid w:val="00B602C6"/>
    <w:rsid w:val="00B65DC6"/>
    <w:rsid w:val="00B6754D"/>
    <w:rsid w:val="00B73A8C"/>
    <w:rsid w:val="00B77095"/>
    <w:rsid w:val="00B80748"/>
    <w:rsid w:val="00B807EE"/>
    <w:rsid w:val="00B81102"/>
    <w:rsid w:val="00B82269"/>
    <w:rsid w:val="00B82275"/>
    <w:rsid w:val="00B82DC6"/>
    <w:rsid w:val="00B8771C"/>
    <w:rsid w:val="00BB4283"/>
    <w:rsid w:val="00BD1E14"/>
    <w:rsid w:val="00BE393A"/>
    <w:rsid w:val="00BE416E"/>
    <w:rsid w:val="00BE50E7"/>
    <w:rsid w:val="00BE54F5"/>
    <w:rsid w:val="00BF08AD"/>
    <w:rsid w:val="00BF1D19"/>
    <w:rsid w:val="00BF48EC"/>
    <w:rsid w:val="00C03B9F"/>
    <w:rsid w:val="00C14995"/>
    <w:rsid w:val="00C165E5"/>
    <w:rsid w:val="00C22748"/>
    <w:rsid w:val="00C266B9"/>
    <w:rsid w:val="00C43C5D"/>
    <w:rsid w:val="00C44427"/>
    <w:rsid w:val="00C510D5"/>
    <w:rsid w:val="00C534E8"/>
    <w:rsid w:val="00C53E9A"/>
    <w:rsid w:val="00C64BEB"/>
    <w:rsid w:val="00C6682D"/>
    <w:rsid w:val="00C728DC"/>
    <w:rsid w:val="00C733E1"/>
    <w:rsid w:val="00C737A7"/>
    <w:rsid w:val="00C76A0D"/>
    <w:rsid w:val="00C7717D"/>
    <w:rsid w:val="00C800D7"/>
    <w:rsid w:val="00C80518"/>
    <w:rsid w:val="00C80A07"/>
    <w:rsid w:val="00C81458"/>
    <w:rsid w:val="00C858D0"/>
    <w:rsid w:val="00C86860"/>
    <w:rsid w:val="00C86ABB"/>
    <w:rsid w:val="00C909FD"/>
    <w:rsid w:val="00C93C57"/>
    <w:rsid w:val="00CA1586"/>
    <w:rsid w:val="00CA284F"/>
    <w:rsid w:val="00CA2AFD"/>
    <w:rsid w:val="00CA2F39"/>
    <w:rsid w:val="00CA6C2B"/>
    <w:rsid w:val="00CB732A"/>
    <w:rsid w:val="00CC12E9"/>
    <w:rsid w:val="00CC2710"/>
    <w:rsid w:val="00CD2601"/>
    <w:rsid w:val="00CD41DE"/>
    <w:rsid w:val="00CD6627"/>
    <w:rsid w:val="00CE0BEE"/>
    <w:rsid w:val="00CE3D72"/>
    <w:rsid w:val="00CE57AD"/>
    <w:rsid w:val="00CF0290"/>
    <w:rsid w:val="00CF1A7C"/>
    <w:rsid w:val="00CF3866"/>
    <w:rsid w:val="00CF4BBB"/>
    <w:rsid w:val="00D05C53"/>
    <w:rsid w:val="00D06622"/>
    <w:rsid w:val="00D11363"/>
    <w:rsid w:val="00D30842"/>
    <w:rsid w:val="00D3135D"/>
    <w:rsid w:val="00D31B7D"/>
    <w:rsid w:val="00D32675"/>
    <w:rsid w:val="00D34F5D"/>
    <w:rsid w:val="00D430EC"/>
    <w:rsid w:val="00D43A95"/>
    <w:rsid w:val="00D4660A"/>
    <w:rsid w:val="00D471AE"/>
    <w:rsid w:val="00D4756D"/>
    <w:rsid w:val="00D53FA7"/>
    <w:rsid w:val="00D557D2"/>
    <w:rsid w:val="00D76414"/>
    <w:rsid w:val="00D800F2"/>
    <w:rsid w:val="00D8234D"/>
    <w:rsid w:val="00D83AF2"/>
    <w:rsid w:val="00D878AB"/>
    <w:rsid w:val="00D93EAF"/>
    <w:rsid w:val="00DA0C14"/>
    <w:rsid w:val="00DA454E"/>
    <w:rsid w:val="00DB34AE"/>
    <w:rsid w:val="00DB7325"/>
    <w:rsid w:val="00DB74DD"/>
    <w:rsid w:val="00DC0261"/>
    <w:rsid w:val="00DC225D"/>
    <w:rsid w:val="00DC3184"/>
    <w:rsid w:val="00DC5A43"/>
    <w:rsid w:val="00DC5F36"/>
    <w:rsid w:val="00DC65BB"/>
    <w:rsid w:val="00DD1F88"/>
    <w:rsid w:val="00DD26A3"/>
    <w:rsid w:val="00DD4962"/>
    <w:rsid w:val="00DD74D3"/>
    <w:rsid w:val="00DE048B"/>
    <w:rsid w:val="00DE12FF"/>
    <w:rsid w:val="00DE3449"/>
    <w:rsid w:val="00DE46FF"/>
    <w:rsid w:val="00DE5197"/>
    <w:rsid w:val="00DF4607"/>
    <w:rsid w:val="00DF64E4"/>
    <w:rsid w:val="00E00C21"/>
    <w:rsid w:val="00E06B5A"/>
    <w:rsid w:val="00E07877"/>
    <w:rsid w:val="00E13049"/>
    <w:rsid w:val="00E21436"/>
    <w:rsid w:val="00E23E68"/>
    <w:rsid w:val="00E2527E"/>
    <w:rsid w:val="00E26F63"/>
    <w:rsid w:val="00E3363E"/>
    <w:rsid w:val="00E34AB6"/>
    <w:rsid w:val="00E42508"/>
    <w:rsid w:val="00E45232"/>
    <w:rsid w:val="00E456C9"/>
    <w:rsid w:val="00E46011"/>
    <w:rsid w:val="00E50477"/>
    <w:rsid w:val="00E53110"/>
    <w:rsid w:val="00E540FC"/>
    <w:rsid w:val="00E54121"/>
    <w:rsid w:val="00E558B7"/>
    <w:rsid w:val="00E565E1"/>
    <w:rsid w:val="00E571CC"/>
    <w:rsid w:val="00E6056F"/>
    <w:rsid w:val="00E608E4"/>
    <w:rsid w:val="00E632EE"/>
    <w:rsid w:val="00E64C3B"/>
    <w:rsid w:val="00E671B2"/>
    <w:rsid w:val="00E710D0"/>
    <w:rsid w:val="00E72E94"/>
    <w:rsid w:val="00E77C99"/>
    <w:rsid w:val="00E83791"/>
    <w:rsid w:val="00E84459"/>
    <w:rsid w:val="00E87B3F"/>
    <w:rsid w:val="00E90ACB"/>
    <w:rsid w:val="00E91432"/>
    <w:rsid w:val="00E92D60"/>
    <w:rsid w:val="00E95A16"/>
    <w:rsid w:val="00EA09C8"/>
    <w:rsid w:val="00EA2C8F"/>
    <w:rsid w:val="00EA2CF8"/>
    <w:rsid w:val="00EA463E"/>
    <w:rsid w:val="00EA4C64"/>
    <w:rsid w:val="00EA5378"/>
    <w:rsid w:val="00EA6F28"/>
    <w:rsid w:val="00EB02AB"/>
    <w:rsid w:val="00EB080B"/>
    <w:rsid w:val="00EB1895"/>
    <w:rsid w:val="00EB4832"/>
    <w:rsid w:val="00EB66A8"/>
    <w:rsid w:val="00EC1B7A"/>
    <w:rsid w:val="00EC3FFF"/>
    <w:rsid w:val="00EC409D"/>
    <w:rsid w:val="00EC6033"/>
    <w:rsid w:val="00ED431D"/>
    <w:rsid w:val="00ED5739"/>
    <w:rsid w:val="00ED7406"/>
    <w:rsid w:val="00ED7C02"/>
    <w:rsid w:val="00EE223A"/>
    <w:rsid w:val="00EE29BD"/>
    <w:rsid w:val="00EF17F5"/>
    <w:rsid w:val="00EF4BDB"/>
    <w:rsid w:val="00EF6785"/>
    <w:rsid w:val="00EF724E"/>
    <w:rsid w:val="00EF74FC"/>
    <w:rsid w:val="00EF79DF"/>
    <w:rsid w:val="00F02C0A"/>
    <w:rsid w:val="00F04457"/>
    <w:rsid w:val="00F05553"/>
    <w:rsid w:val="00F0581E"/>
    <w:rsid w:val="00F2398F"/>
    <w:rsid w:val="00F25FC1"/>
    <w:rsid w:val="00F30405"/>
    <w:rsid w:val="00F35459"/>
    <w:rsid w:val="00F36608"/>
    <w:rsid w:val="00F463B4"/>
    <w:rsid w:val="00F4652B"/>
    <w:rsid w:val="00F4798F"/>
    <w:rsid w:val="00F520F8"/>
    <w:rsid w:val="00F53684"/>
    <w:rsid w:val="00F55E69"/>
    <w:rsid w:val="00F55F8B"/>
    <w:rsid w:val="00F6168D"/>
    <w:rsid w:val="00F65008"/>
    <w:rsid w:val="00F65FE6"/>
    <w:rsid w:val="00F67CBB"/>
    <w:rsid w:val="00F726A6"/>
    <w:rsid w:val="00F807FB"/>
    <w:rsid w:val="00F83487"/>
    <w:rsid w:val="00F84C08"/>
    <w:rsid w:val="00F86E0F"/>
    <w:rsid w:val="00F90502"/>
    <w:rsid w:val="00F90E9E"/>
    <w:rsid w:val="00F978B7"/>
    <w:rsid w:val="00FA4E38"/>
    <w:rsid w:val="00FA73F4"/>
    <w:rsid w:val="00FB2E28"/>
    <w:rsid w:val="00FB5B60"/>
    <w:rsid w:val="00FB611F"/>
    <w:rsid w:val="00FC1ED6"/>
    <w:rsid w:val="00FC2080"/>
    <w:rsid w:val="00FC38E7"/>
    <w:rsid w:val="00FC7C8E"/>
    <w:rsid w:val="00FD0D76"/>
    <w:rsid w:val="00FD4F9E"/>
    <w:rsid w:val="00FE7218"/>
    <w:rsid w:val="00FF1434"/>
    <w:rsid w:val="00FF7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B42C4"/>
  <w15:chartTrackingRefBased/>
  <w15:docId w15:val="{008C140F-89EC-4EBB-AA41-583F4BC7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4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C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84C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C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C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C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C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C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C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4C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C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84C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C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C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C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C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C08"/>
    <w:rPr>
      <w:rFonts w:eastAsiaTheme="majorEastAsia" w:cstheme="majorBidi"/>
      <w:color w:val="272727" w:themeColor="text1" w:themeTint="D8"/>
    </w:rPr>
  </w:style>
  <w:style w:type="paragraph" w:styleId="Title">
    <w:name w:val="Title"/>
    <w:basedOn w:val="Normal"/>
    <w:next w:val="Normal"/>
    <w:link w:val="TitleChar"/>
    <w:uiPriority w:val="10"/>
    <w:qFormat/>
    <w:rsid w:val="00F84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C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C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C08"/>
    <w:pPr>
      <w:spacing w:before="160"/>
      <w:jc w:val="center"/>
    </w:pPr>
    <w:rPr>
      <w:i/>
      <w:iCs/>
      <w:color w:val="404040" w:themeColor="text1" w:themeTint="BF"/>
    </w:rPr>
  </w:style>
  <w:style w:type="character" w:customStyle="1" w:styleId="QuoteChar">
    <w:name w:val="Quote Char"/>
    <w:basedOn w:val="DefaultParagraphFont"/>
    <w:link w:val="Quote"/>
    <w:uiPriority w:val="29"/>
    <w:rsid w:val="00F84C08"/>
    <w:rPr>
      <w:i/>
      <w:iCs/>
      <w:color w:val="404040" w:themeColor="text1" w:themeTint="BF"/>
    </w:rPr>
  </w:style>
  <w:style w:type="paragraph" w:styleId="ListParagraph">
    <w:name w:val="List Paragraph"/>
    <w:basedOn w:val="Normal"/>
    <w:uiPriority w:val="34"/>
    <w:qFormat/>
    <w:rsid w:val="00F84C08"/>
    <w:pPr>
      <w:ind w:left="720"/>
      <w:contextualSpacing/>
    </w:pPr>
  </w:style>
  <w:style w:type="character" w:styleId="IntenseEmphasis">
    <w:name w:val="Intense Emphasis"/>
    <w:basedOn w:val="DefaultParagraphFont"/>
    <w:uiPriority w:val="21"/>
    <w:qFormat/>
    <w:rsid w:val="00F84C08"/>
    <w:rPr>
      <w:i/>
      <w:iCs/>
      <w:color w:val="0F4761" w:themeColor="accent1" w:themeShade="BF"/>
    </w:rPr>
  </w:style>
  <w:style w:type="paragraph" w:styleId="IntenseQuote">
    <w:name w:val="Intense Quote"/>
    <w:basedOn w:val="Normal"/>
    <w:next w:val="Normal"/>
    <w:link w:val="IntenseQuoteChar"/>
    <w:uiPriority w:val="30"/>
    <w:qFormat/>
    <w:rsid w:val="00F84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C08"/>
    <w:rPr>
      <w:i/>
      <w:iCs/>
      <w:color w:val="0F4761" w:themeColor="accent1" w:themeShade="BF"/>
    </w:rPr>
  </w:style>
  <w:style w:type="character" w:styleId="IntenseReference">
    <w:name w:val="Intense Reference"/>
    <w:basedOn w:val="DefaultParagraphFont"/>
    <w:uiPriority w:val="32"/>
    <w:qFormat/>
    <w:rsid w:val="00F84C08"/>
    <w:rPr>
      <w:b/>
      <w:bCs/>
      <w:smallCaps/>
      <w:color w:val="0F4761" w:themeColor="accent1" w:themeShade="BF"/>
      <w:spacing w:val="5"/>
    </w:rPr>
  </w:style>
  <w:style w:type="character" w:styleId="Hyperlink">
    <w:name w:val="Hyperlink"/>
    <w:basedOn w:val="DefaultParagraphFont"/>
    <w:uiPriority w:val="99"/>
    <w:unhideWhenUsed/>
    <w:rsid w:val="00C76A0D"/>
    <w:rPr>
      <w:color w:val="467886" w:themeColor="hyperlink"/>
      <w:u w:val="single"/>
    </w:rPr>
  </w:style>
  <w:style w:type="character" w:styleId="UnresolvedMention">
    <w:name w:val="Unresolved Mention"/>
    <w:basedOn w:val="DefaultParagraphFont"/>
    <w:uiPriority w:val="99"/>
    <w:semiHidden/>
    <w:unhideWhenUsed/>
    <w:rsid w:val="00390821"/>
    <w:rPr>
      <w:color w:val="605E5C"/>
      <w:shd w:val="clear" w:color="auto" w:fill="E1DFDD"/>
    </w:rPr>
  </w:style>
  <w:style w:type="character" w:styleId="FollowedHyperlink">
    <w:name w:val="FollowedHyperlink"/>
    <w:basedOn w:val="DefaultParagraphFont"/>
    <w:uiPriority w:val="99"/>
    <w:semiHidden/>
    <w:unhideWhenUsed/>
    <w:rsid w:val="00A43F0E"/>
    <w:rPr>
      <w:color w:val="96607D" w:themeColor="followedHyperlink"/>
      <w:u w:val="single"/>
    </w:rPr>
  </w:style>
  <w:style w:type="table" w:styleId="TableGrid">
    <w:name w:val="Table Grid"/>
    <w:basedOn w:val="TableNormal"/>
    <w:uiPriority w:val="59"/>
    <w:rsid w:val="00A8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0CEE"/>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unhideWhenUsed/>
    <w:rsid w:val="00F4652B"/>
    <w:pPr>
      <w:spacing w:after="0" w:line="240" w:lineRule="auto"/>
    </w:pPr>
    <w:rPr>
      <w:sz w:val="20"/>
      <w:szCs w:val="20"/>
    </w:rPr>
  </w:style>
  <w:style w:type="character" w:customStyle="1" w:styleId="FootnoteTextChar">
    <w:name w:val="Footnote Text Char"/>
    <w:basedOn w:val="DefaultParagraphFont"/>
    <w:link w:val="FootnoteText"/>
    <w:uiPriority w:val="99"/>
    <w:rsid w:val="00F4652B"/>
    <w:rPr>
      <w:sz w:val="20"/>
      <w:szCs w:val="20"/>
    </w:rPr>
  </w:style>
  <w:style w:type="character" w:styleId="FootnoteReference">
    <w:name w:val="footnote reference"/>
    <w:basedOn w:val="DefaultParagraphFont"/>
    <w:uiPriority w:val="99"/>
    <w:unhideWhenUsed/>
    <w:rsid w:val="00F4652B"/>
    <w:rPr>
      <w:vertAlign w:val="superscript"/>
    </w:rPr>
  </w:style>
  <w:style w:type="paragraph" w:styleId="NormalWeb">
    <w:name w:val="Normal (Web)"/>
    <w:basedOn w:val="Normal"/>
    <w:uiPriority w:val="99"/>
    <w:semiHidden/>
    <w:unhideWhenUsed/>
    <w:rsid w:val="00605BEB"/>
    <w:rPr>
      <w:rFonts w:ascii="Times New Roman" w:hAnsi="Times New Roman" w:cs="Times New Roman"/>
      <w:sz w:val="24"/>
      <w:szCs w:val="24"/>
    </w:rPr>
  </w:style>
  <w:style w:type="paragraph" w:styleId="Header">
    <w:name w:val="header"/>
    <w:basedOn w:val="Normal"/>
    <w:link w:val="HeaderChar"/>
    <w:uiPriority w:val="99"/>
    <w:unhideWhenUsed/>
    <w:rsid w:val="004E6D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DF0"/>
  </w:style>
  <w:style w:type="paragraph" w:styleId="Footer">
    <w:name w:val="footer"/>
    <w:basedOn w:val="Normal"/>
    <w:link w:val="FooterChar"/>
    <w:uiPriority w:val="99"/>
    <w:unhideWhenUsed/>
    <w:rsid w:val="004E6D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DF0"/>
  </w:style>
  <w:style w:type="paragraph" w:customStyle="1" w:styleId="jsx-3719392474">
    <w:name w:val="jsx-3719392474"/>
    <w:basedOn w:val="Normal"/>
    <w:rsid w:val="00757D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57D56"/>
    <w:rPr>
      <w:b/>
      <w:bCs/>
    </w:rPr>
  </w:style>
  <w:style w:type="character" w:customStyle="1" w:styleId="jsx-2088742463">
    <w:name w:val="jsx-2088742463"/>
    <w:basedOn w:val="DefaultParagraphFont"/>
    <w:rsid w:val="00757D56"/>
  </w:style>
  <w:style w:type="character" w:customStyle="1" w:styleId="jsx-2310070595">
    <w:name w:val="jsx-2310070595"/>
    <w:basedOn w:val="DefaultParagraphFont"/>
    <w:rsid w:val="00757D56"/>
  </w:style>
  <w:style w:type="table" w:customStyle="1" w:styleId="TableGrid1">
    <w:name w:val="Table Grid1"/>
    <w:basedOn w:val="TableNormal"/>
    <w:next w:val="TableGrid"/>
    <w:uiPriority w:val="39"/>
    <w:rsid w:val="00AC3A9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A2AFD"/>
    <w:rPr>
      <w:sz w:val="16"/>
      <w:szCs w:val="16"/>
    </w:rPr>
  </w:style>
  <w:style w:type="paragraph" w:styleId="CommentText">
    <w:name w:val="annotation text"/>
    <w:basedOn w:val="Normal"/>
    <w:link w:val="CommentTextChar"/>
    <w:uiPriority w:val="99"/>
    <w:unhideWhenUsed/>
    <w:rsid w:val="00CA2AFD"/>
    <w:pPr>
      <w:spacing w:line="240" w:lineRule="auto"/>
    </w:pPr>
    <w:rPr>
      <w:sz w:val="20"/>
      <w:szCs w:val="20"/>
    </w:rPr>
  </w:style>
  <w:style w:type="character" w:customStyle="1" w:styleId="CommentTextChar">
    <w:name w:val="Comment Text Char"/>
    <w:basedOn w:val="DefaultParagraphFont"/>
    <w:link w:val="CommentText"/>
    <w:uiPriority w:val="99"/>
    <w:rsid w:val="00CA2AFD"/>
    <w:rPr>
      <w:sz w:val="20"/>
      <w:szCs w:val="20"/>
    </w:rPr>
  </w:style>
  <w:style w:type="paragraph" w:styleId="CommentSubject">
    <w:name w:val="annotation subject"/>
    <w:basedOn w:val="CommentText"/>
    <w:next w:val="CommentText"/>
    <w:link w:val="CommentSubjectChar"/>
    <w:uiPriority w:val="99"/>
    <w:semiHidden/>
    <w:unhideWhenUsed/>
    <w:rsid w:val="00CA2AFD"/>
    <w:rPr>
      <w:b/>
      <w:bCs/>
    </w:rPr>
  </w:style>
  <w:style w:type="character" w:customStyle="1" w:styleId="CommentSubjectChar">
    <w:name w:val="Comment Subject Char"/>
    <w:basedOn w:val="CommentTextChar"/>
    <w:link w:val="CommentSubject"/>
    <w:uiPriority w:val="99"/>
    <w:semiHidden/>
    <w:rsid w:val="00CA2AFD"/>
    <w:rPr>
      <w:b/>
      <w:bCs/>
      <w:sz w:val="20"/>
      <w:szCs w:val="20"/>
    </w:rPr>
  </w:style>
  <w:style w:type="table" w:customStyle="1" w:styleId="TableGrid2">
    <w:name w:val="Table Grid2"/>
    <w:basedOn w:val="TableNormal"/>
    <w:next w:val="TableGrid"/>
    <w:uiPriority w:val="39"/>
    <w:rsid w:val="0029634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96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F5FE7"/>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013">
      <w:bodyDiv w:val="1"/>
      <w:marLeft w:val="0"/>
      <w:marRight w:val="0"/>
      <w:marTop w:val="0"/>
      <w:marBottom w:val="0"/>
      <w:divBdr>
        <w:top w:val="none" w:sz="0" w:space="0" w:color="auto"/>
        <w:left w:val="none" w:sz="0" w:space="0" w:color="auto"/>
        <w:bottom w:val="none" w:sz="0" w:space="0" w:color="auto"/>
        <w:right w:val="none" w:sz="0" w:space="0" w:color="auto"/>
      </w:divBdr>
    </w:div>
    <w:div w:id="65302688">
      <w:bodyDiv w:val="1"/>
      <w:marLeft w:val="0"/>
      <w:marRight w:val="0"/>
      <w:marTop w:val="0"/>
      <w:marBottom w:val="0"/>
      <w:divBdr>
        <w:top w:val="none" w:sz="0" w:space="0" w:color="auto"/>
        <w:left w:val="none" w:sz="0" w:space="0" w:color="auto"/>
        <w:bottom w:val="none" w:sz="0" w:space="0" w:color="auto"/>
        <w:right w:val="none" w:sz="0" w:space="0" w:color="auto"/>
      </w:divBdr>
    </w:div>
    <w:div w:id="68233166">
      <w:bodyDiv w:val="1"/>
      <w:marLeft w:val="0"/>
      <w:marRight w:val="0"/>
      <w:marTop w:val="0"/>
      <w:marBottom w:val="0"/>
      <w:divBdr>
        <w:top w:val="none" w:sz="0" w:space="0" w:color="auto"/>
        <w:left w:val="none" w:sz="0" w:space="0" w:color="auto"/>
        <w:bottom w:val="none" w:sz="0" w:space="0" w:color="auto"/>
        <w:right w:val="none" w:sz="0" w:space="0" w:color="auto"/>
      </w:divBdr>
    </w:div>
    <w:div w:id="151063759">
      <w:bodyDiv w:val="1"/>
      <w:marLeft w:val="0"/>
      <w:marRight w:val="0"/>
      <w:marTop w:val="0"/>
      <w:marBottom w:val="0"/>
      <w:divBdr>
        <w:top w:val="none" w:sz="0" w:space="0" w:color="auto"/>
        <w:left w:val="none" w:sz="0" w:space="0" w:color="auto"/>
        <w:bottom w:val="none" w:sz="0" w:space="0" w:color="auto"/>
        <w:right w:val="none" w:sz="0" w:space="0" w:color="auto"/>
      </w:divBdr>
    </w:div>
    <w:div w:id="188882724">
      <w:bodyDiv w:val="1"/>
      <w:marLeft w:val="0"/>
      <w:marRight w:val="0"/>
      <w:marTop w:val="0"/>
      <w:marBottom w:val="0"/>
      <w:divBdr>
        <w:top w:val="none" w:sz="0" w:space="0" w:color="auto"/>
        <w:left w:val="none" w:sz="0" w:space="0" w:color="auto"/>
        <w:bottom w:val="none" w:sz="0" w:space="0" w:color="auto"/>
        <w:right w:val="none" w:sz="0" w:space="0" w:color="auto"/>
      </w:divBdr>
    </w:div>
    <w:div w:id="208229538">
      <w:bodyDiv w:val="1"/>
      <w:marLeft w:val="0"/>
      <w:marRight w:val="0"/>
      <w:marTop w:val="0"/>
      <w:marBottom w:val="0"/>
      <w:divBdr>
        <w:top w:val="none" w:sz="0" w:space="0" w:color="auto"/>
        <w:left w:val="none" w:sz="0" w:space="0" w:color="auto"/>
        <w:bottom w:val="none" w:sz="0" w:space="0" w:color="auto"/>
        <w:right w:val="none" w:sz="0" w:space="0" w:color="auto"/>
      </w:divBdr>
    </w:div>
    <w:div w:id="213198314">
      <w:bodyDiv w:val="1"/>
      <w:marLeft w:val="0"/>
      <w:marRight w:val="0"/>
      <w:marTop w:val="0"/>
      <w:marBottom w:val="0"/>
      <w:divBdr>
        <w:top w:val="none" w:sz="0" w:space="0" w:color="auto"/>
        <w:left w:val="none" w:sz="0" w:space="0" w:color="auto"/>
        <w:bottom w:val="none" w:sz="0" w:space="0" w:color="auto"/>
        <w:right w:val="none" w:sz="0" w:space="0" w:color="auto"/>
      </w:divBdr>
    </w:div>
    <w:div w:id="220531077">
      <w:bodyDiv w:val="1"/>
      <w:marLeft w:val="0"/>
      <w:marRight w:val="0"/>
      <w:marTop w:val="0"/>
      <w:marBottom w:val="0"/>
      <w:divBdr>
        <w:top w:val="none" w:sz="0" w:space="0" w:color="auto"/>
        <w:left w:val="none" w:sz="0" w:space="0" w:color="auto"/>
        <w:bottom w:val="none" w:sz="0" w:space="0" w:color="auto"/>
        <w:right w:val="none" w:sz="0" w:space="0" w:color="auto"/>
      </w:divBdr>
    </w:div>
    <w:div w:id="251857809">
      <w:bodyDiv w:val="1"/>
      <w:marLeft w:val="0"/>
      <w:marRight w:val="0"/>
      <w:marTop w:val="0"/>
      <w:marBottom w:val="0"/>
      <w:divBdr>
        <w:top w:val="none" w:sz="0" w:space="0" w:color="auto"/>
        <w:left w:val="none" w:sz="0" w:space="0" w:color="auto"/>
        <w:bottom w:val="none" w:sz="0" w:space="0" w:color="auto"/>
        <w:right w:val="none" w:sz="0" w:space="0" w:color="auto"/>
      </w:divBdr>
    </w:div>
    <w:div w:id="282470432">
      <w:bodyDiv w:val="1"/>
      <w:marLeft w:val="0"/>
      <w:marRight w:val="0"/>
      <w:marTop w:val="0"/>
      <w:marBottom w:val="0"/>
      <w:divBdr>
        <w:top w:val="none" w:sz="0" w:space="0" w:color="auto"/>
        <w:left w:val="none" w:sz="0" w:space="0" w:color="auto"/>
        <w:bottom w:val="none" w:sz="0" w:space="0" w:color="auto"/>
        <w:right w:val="none" w:sz="0" w:space="0" w:color="auto"/>
      </w:divBdr>
    </w:div>
    <w:div w:id="322438847">
      <w:bodyDiv w:val="1"/>
      <w:marLeft w:val="0"/>
      <w:marRight w:val="0"/>
      <w:marTop w:val="0"/>
      <w:marBottom w:val="0"/>
      <w:divBdr>
        <w:top w:val="none" w:sz="0" w:space="0" w:color="auto"/>
        <w:left w:val="none" w:sz="0" w:space="0" w:color="auto"/>
        <w:bottom w:val="none" w:sz="0" w:space="0" w:color="auto"/>
        <w:right w:val="none" w:sz="0" w:space="0" w:color="auto"/>
      </w:divBdr>
    </w:div>
    <w:div w:id="326786064">
      <w:bodyDiv w:val="1"/>
      <w:marLeft w:val="0"/>
      <w:marRight w:val="0"/>
      <w:marTop w:val="0"/>
      <w:marBottom w:val="0"/>
      <w:divBdr>
        <w:top w:val="none" w:sz="0" w:space="0" w:color="auto"/>
        <w:left w:val="none" w:sz="0" w:space="0" w:color="auto"/>
        <w:bottom w:val="none" w:sz="0" w:space="0" w:color="auto"/>
        <w:right w:val="none" w:sz="0" w:space="0" w:color="auto"/>
      </w:divBdr>
    </w:div>
    <w:div w:id="363294071">
      <w:bodyDiv w:val="1"/>
      <w:marLeft w:val="0"/>
      <w:marRight w:val="0"/>
      <w:marTop w:val="0"/>
      <w:marBottom w:val="0"/>
      <w:divBdr>
        <w:top w:val="none" w:sz="0" w:space="0" w:color="auto"/>
        <w:left w:val="none" w:sz="0" w:space="0" w:color="auto"/>
        <w:bottom w:val="none" w:sz="0" w:space="0" w:color="auto"/>
        <w:right w:val="none" w:sz="0" w:space="0" w:color="auto"/>
      </w:divBdr>
    </w:div>
    <w:div w:id="364330671">
      <w:bodyDiv w:val="1"/>
      <w:marLeft w:val="0"/>
      <w:marRight w:val="0"/>
      <w:marTop w:val="0"/>
      <w:marBottom w:val="0"/>
      <w:divBdr>
        <w:top w:val="none" w:sz="0" w:space="0" w:color="auto"/>
        <w:left w:val="none" w:sz="0" w:space="0" w:color="auto"/>
        <w:bottom w:val="none" w:sz="0" w:space="0" w:color="auto"/>
        <w:right w:val="none" w:sz="0" w:space="0" w:color="auto"/>
      </w:divBdr>
    </w:div>
    <w:div w:id="459767237">
      <w:bodyDiv w:val="1"/>
      <w:marLeft w:val="0"/>
      <w:marRight w:val="0"/>
      <w:marTop w:val="0"/>
      <w:marBottom w:val="0"/>
      <w:divBdr>
        <w:top w:val="none" w:sz="0" w:space="0" w:color="auto"/>
        <w:left w:val="none" w:sz="0" w:space="0" w:color="auto"/>
        <w:bottom w:val="none" w:sz="0" w:space="0" w:color="auto"/>
        <w:right w:val="none" w:sz="0" w:space="0" w:color="auto"/>
      </w:divBdr>
    </w:div>
    <w:div w:id="462771209">
      <w:bodyDiv w:val="1"/>
      <w:marLeft w:val="0"/>
      <w:marRight w:val="0"/>
      <w:marTop w:val="0"/>
      <w:marBottom w:val="0"/>
      <w:divBdr>
        <w:top w:val="none" w:sz="0" w:space="0" w:color="auto"/>
        <w:left w:val="none" w:sz="0" w:space="0" w:color="auto"/>
        <w:bottom w:val="none" w:sz="0" w:space="0" w:color="auto"/>
        <w:right w:val="none" w:sz="0" w:space="0" w:color="auto"/>
      </w:divBdr>
    </w:div>
    <w:div w:id="466826774">
      <w:bodyDiv w:val="1"/>
      <w:marLeft w:val="0"/>
      <w:marRight w:val="0"/>
      <w:marTop w:val="0"/>
      <w:marBottom w:val="0"/>
      <w:divBdr>
        <w:top w:val="none" w:sz="0" w:space="0" w:color="auto"/>
        <w:left w:val="none" w:sz="0" w:space="0" w:color="auto"/>
        <w:bottom w:val="none" w:sz="0" w:space="0" w:color="auto"/>
        <w:right w:val="none" w:sz="0" w:space="0" w:color="auto"/>
      </w:divBdr>
    </w:div>
    <w:div w:id="514540544">
      <w:bodyDiv w:val="1"/>
      <w:marLeft w:val="0"/>
      <w:marRight w:val="0"/>
      <w:marTop w:val="0"/>
      <w:marBottom w:val="0"/>
      <w:divBdr>
        <w:top w:val="none" w:sz="0" w:space="0" w:color="auto"/>
        <w:left w:val="none" w:sz="0" w:space="0" w:color="auto"/>
        <w:bottom w:val="none" w:sz="0" w:space="0" w:color="auto"/>
        <w:right w:val="none" w:sz="0" w:space="0" w:color="auto"/>
      </w:divBdr>
    </w:div>
    <w:div w:id="534662431">
      <w:bodyDiv w:val="1"/>
      <w:marLeft w:val="0"/>
      <w:marRight w:val="0"/>
      <w:marTop w:val="0"/>
      <w:marBottom w:val="0"/>
      <w:divBdr>
        <w:top w:val="none" w:sz="0" w:space="0" w:color="auto"/>
        <w:left w:val="none" w:sz="0" w:space="0" w:color="auto"/>
        <w:bottom w:val="none" w:sz="0" w:space="0" w:color="auto"/>
        <w:right w:val="none" w:sz="0" w:space="0" w:color="auto"/>
      </w:divBdr>
    </w:div>
    <w:div w:id="536623530">
      <w:bodyDiv w:val="1"/>
      <w:marLeft w:val="0"/>
      <w:marRight w:val="0"/>
      <w:marTop w:val="0"/>
      <w:marBottom w:val="0"/>
      <w:divBdr>
        <w:top w:val="none" w:sz="0" w:space="0" w:color="auto"/>
        <w:left w:val="none" w:sz="0" w:space="0" w:color="auto"/>
        <w:bottom w:val="none" w:sz="0" w:space="0" w:color="auto"/>
        <w:right w:val="none" w:sz="0" w:space="0" w:color="auto"/>
      </w:divBdr>
    </w:div>
    <w:div w:id="541555520">
      <w:bodyDiv w:val="1"/>
      <w:marLeft w:val="0"/>
      <w:marRight w:val="0"/>
      <w:marTop w:val="0"/>
      <w:marBottom w:val="0"/>
      <w:divBdr>
        <w:top w:val="none" w:sz="0" w:space="0" w:color="auto"/>
        <w:left w:val="none" w:sz="0" w:space="0" w:color="auto"/>
        <w:bottom w:val="none" w:sz="0" w:space="0" w:color="auto"/>
        <w:right w:val="none" w:sz="0" w:space="0" w:color="auto"/>
      </w:divBdr>
    </w:div>
    <w:div w:id="541669773">
      <w:bodyDiv w:val="1"/>
      <w:marLeft w:val="0"/>
      <w:marRight w:val="0"/>
      <w:marTop w:val="0"/>
      <w:marBottom w:val="0"/>
      <w:divBdr>
        <w:top w:val="none" w:sz="0" w:space="0" w:color="auto"/>
        <w:left w:val="none" w:sz="0" w:space="0" w:color="auto"/>
        <w:bottom w:val="none" w:sz="0" w:space="0" w:color="auto"/>
        <w:right w:val="none" w:sz="0" w:space="0" w:color="auto"/>
      </w:divBdr>
    </w:div>
    <w:div w:id="563836749">
      <w:bodyDiv w:val="1"/>
      <w:marLeft w:val="0"/>
      <w:marRight w:val="0"/>
      <w:marTop w:val="0"/>
      <w:marBottom w:val="0"/>
      <w:divBdr>
        <w:top w:val="none" w:sz="0" w:space="0" w:color="auto"/>
        <w:left w:val="none" w:sz="0" w:space="0" w:color="auto"/>
        <w:bottom w:val="none" w:sz="0" w:space="0" w:color="auto"/>
        <w:right w:val="none" w:sz="0" w:space="0" w:color="auto"/>
      </w:divBdr>
    </w:div>
    <w:div w:id="639310507">
      <w:bodyDiv w:val="1"/>
      <w:marLeft w:val="0"/>
      <w:marRight w:val="0"/>
      <w:marTop w:val="0"/>
      <w:marBottom w:val="0"/>
      <w:divBdr>
        <w:top w:val="none" w:sz="0" w:space="0" w:color="auto"/>
        <w:left w:val="none" w:sz="0" w:space="0" w:color="auto"/>
        <w:bottom w:val="none" w:sz="0" w:space="0" w:color="auto"/>
        <w:right w:val="none" w:sz="0" w:space="0" w:color="auto"/>
      </w:divBdr>
    </w:div>
    <w:div w:id="720325192">
      <w:bodyDiv w:val="1"/>
      <w:marLeft w:val="0"/>
      <w:marRight w:val="0"/>
      <w:marTop w:val="0"/>
      <w:marBottom w:val="0"/>
      <w:divBdr>
        <w:top w:val="none" w:sz="0" w:space="0" w:color="auto"/>
        <w:left w:val="none" w:sz="0" w:space="0" w:color="auto"/>
        <w:bottom w:val="none" w:sz="0" w:space="0" w:color="auto"/>
        <w:right w:val="none" w:sz="0" w:space="0" w:color="auto"/>
      </w:divBdr>
    </w:div>
    <w:div w:id="723604604">
      <w:bodyDiv w:val="1"/>
      <w:marLeft w:val="0"/>
      <w:marRight w:val="0"/>
      <w:marTop w:val="0"/>
      <w:marBottom w:val="0"/>
      <w:divBdr>
        <w:top w:val="none" w:sz="0" w:space="0" w:color="auto"/>
        <w:left w:val="none" w:sz="0" w:space="0" w:color="auto"/>
        <w:bottom w:val="none" w:sz="0" w:space="0" w:color="auto"/>
        <w:right w:val="none" w:sz="0" w:space="0" w:color="auto"/>
      </w:divBdr>
    </w:div>
    <w:div w:id="737485599">
      <w:bodyDiv w:val="1"/>
      <w:marLeft w:val="0"/>
      <w:marRight w:val="0"/>
      <w:marTop w:val="0"/>
      <w:marBottom w:val="0"/>
      <w:divBdr>
        <w:top w:val="none" w:sz="0" w:space="0" w:color="auto"/>
        <w:left w:val="none" w:sz="0" w:space="0" w:color="auto"/>
        <w:bottom w:val="none" w:sz="0" w:space="0" w:color="auto"/>
        <w:right w:val="none" w:sz="0" w:space="0" w:color="auto"/>
      </w:divBdr>
    </w:div>
    <w:div w:id="743376470">
      <w:bodyDiv w:val="1"/>
      <w:marLeft w:val="0"/>
      <w:marRight w:val="0"/>
      <w:marTop w:val="0"/>
      <w:marBottom w:val="0"/>
      <w:divBdr>
        <w:top w:val="none" w:sz="0" w:space="0" w:color="auto"/>
        <w:left w:val="none" w:sz="0" w:space="0" w:color="auto"/>
        <w:bottom w:val="none" w:sz="0" w:space="0" w:color="auto"/>
        <w:right w:val="none" w:sz="0" w:space="0" w:color="auto"/>
      </w:divBdr>
    </w:div>
    <w:div w:id="771244211">
      <w:bodyDiv w:val="1"/>
      <w:marLeft w:val="0"/>
      <w:marRight w:val="0"/>
      <w:marTop w:val="0"/>
      <w:marBottom w:val="0"/>
      <w:divBdr>
        <w:top w:val="none" w:sz="0" w:space="0" w:color="auto"/>
        <w:left w:val="none" w:sz="0" w:space="0" w:color="auto"/>
        <w:bottom w:val="none" w:sz="0" w:space="0" w:color="auto"/>
        <w:right w:val="none" w:sz="0" w:space="0" w:color="auto"/>
      </w:divBdr>
    </w:div>
    <w:div w:id="875846539">
      <w:bodyDiv w:val="1"/>
      <w:marLeft w:val="0"/>
      <w:marRight w:val="0"/>
      <w:marTop w:val="0"/>
      <w:marBottom w:val="0"/>
      <w:divBdr>
        <w:top w:val="none" w:sz="0" w:space="0" w:color="auto"/>
        <w:left w:val="none" w:sz="0" w:space="0" w:color="auto"/>
        <w:bottom w:val="none" w:sz="0" w:space="0" w:color="auto"/>
        <w:right w:val="none" w:sz="0" w:space="0" w:color="auto"/>
      </w:divBdr>
    </w:div>
    <w:div w:id="929776437">
      <w:bodyDiv w:val="1"/>
      <w:marLeft w:val="0"/>
      <w:marRight w:val="0"/>
      <w:marTop w:val="0"/>
      <w:marBottom w:val="0"/>
      <w:divBdr>
        <w:top w:val="none" w:sz="0" w:space="0" w:color="auto"/>
        <w:left w:val="none" w:sz="0" w:space="0" w:color="auto"/>
        <w:bottom w:val="none" w:sz="0" w:space="0" w:color="auto"/>
        <w:right w:val="none" w:sz="0" w:space="0" w:color="auto"/>
      </w:divBdr>
    </w:div>
    <w:div w:id="975909018">
      <w:bodyDiv w:val="1"/>
      <w:marLeft w:val="0"/>
      <w:marRight w:val="0"/>
      <w:marTop w:val="0"/>
      <w:marBottom w:val="0"/>
      <w:divBdr>
        <w:top w:val="none" w:sz="0" w:space="0" w:color="auto"/>
        <w:left w:val="none" w:sz="0" w:space="0" w:color="auto"/>
        <w:bottom w:val="none" w:sz="0" w:space="0" w:color="auto"/>
        <w:right w:val="none" w:sz="0" w:space="0" w:color="auto"/>
      </w:divBdr>
    </w:div>
    <w:div w:id="1033456441">
      <w:bodyDiv w:val="1"/>
      <w:marLeft w:val="0"/>
      <w:marRight w:val="0"/>
      <w:marTop w:val="0"/>
      <w:marBottom w:val="0"/>
      <w:divBdr>
        <w:top w:val="none" w:sz="0" w:space="0" w:color="auto"/>
        <w:left w:val="none" w:sz="0" w:space="0" w:color="auto"/>
        <w:bottom w:val="none" w:sz="0" w:space="0" w:color="auto"/>
        <w:right w:val="none" w:sz="0" w:space="0" w:color="auto"/>
      </w:divBdr>
    </w:div>
    <w:div w:id="1058943449">
      <w:bodyDiv w:val="1"/>
      <w:marLeft w:val="0"/>
      <w:marRight w:val="0"/>
      <w:marTop w:val="0"/>
      <w:marBottom w:val="0"/>
      <w:divBdr>
        <w:top w:val="none" w:sz="0" w:space="0" w:color="auto"/>
        <w:left w:val="none" w:sz="0" w:space="0" w:color="auto"/>
        <w:bottom w:val="none" w:sz="0" w:space="0" w:color="auto"/>
        <w:right w:val="none" w:sz="0" w:space="0" w:color="auto"/>
      </w:divBdr>
    </w:div>
    <w:div w:id="1142423981">
      <w:bodyDiv w:val="1"/>
      <w:marLeft w:val="0"/>
      <w:marRight w:val="0"/>
      <w:marTop w:val="0"/>
      <w:marBottom w:val="0"/>
      <w:divBdr>
        <w:top w:val="none" w:sz="0" w:space="0" w:color="auto"/>
        <w:left w:val="none" w:sz="0" w:space="0" w:color="auto"/>
        <w:bottom w:val="none" w:sz="0" w:space="0" w:color="auto"/>
        <w:right w:val="none" w:sz="0" w:space="0" w:color="auto"/>
      </w:divBdr>
    </w:div>
    <w:div w:id="1166243429">
      <w:bodyDiv w:val="1"/>
      <w:marLeft w:val="0"/>
      <w:marRight w:val="0"/>
      <w:marTop w:val="0"/>
      <w:marBottom w:val="0"/>
      <w:divBdr>
        <w:top w:val="none" w:sz="0" w:space="0" w:color="auto"/>
        <w:left w:val="none" w:sz="0" w:space="0" w:color="auto"/>
        <w:bottom w:val="none" w:sz="0" w:space="0" w:color="auto"/>
        <w:right w:val="none" w:sz="0" w:space="0" w:color="auto"/>
      </w:divBdr>
    </w:div>
    <w:div w:id="1172839581">
      <w:bodyDiv w:val="1"/>
      <w:marLeft w:val="0"/>
      <w:marRight w:val="0"/>
      <w:marTop w:val="0"/>
      <w:marBottom w:val="0"/>
      <w:divBdr>
        <w:top w:val="none" w:sz="0" w:space="0" w:color="auto"/>
        <w:left w:val="none" w:sz="0" w:space="0" w:color="auto"/>
        <w:bottom w:val="none" w:sz="0" w:space="0" w:color="auto"/>
        <w:right w:val="none" w:sz="0" w:space="0" w:color="auto"/>
      </w:divBdr>
    </w:div>
    <w:div w:id="1213422228">
      <w:bodyDiv w:val="1"/>
      <w:marLeft w:val="0"/>
      <w:marRight w:val="0"/>
      <w:marTop w:val="0"/>
      <w:marBottom w:val="0"/>
      <w:divBdr>
        <w:top w:val="none" w:sz="0" w:space="0" w:color="auto"/>
        <w:left w:val="none" w:sz="0" w:space="0" w:color="auto"/>
        <w:bottom w:val="none" w:sz="0" w:space="0" w:color="auto"/>
        <w:right w:val="none" w:sz="0" w:space="0" w:color="auto"/>
      </w:divBdr>
    </w:div>
    <w:div w:id="1292857769">
      <w:bodyDiv w:val="1"/>
      <w:marLeft w:val="0"/>
      <w:marRight w:val="0"/>
      <w:marTop w:val="0"/>
      <w:marBottom w:val="0"/>
      <w:divBdr>
        <w:top w:val="none" w:sz="0" w:space="0" w:color="auto"/>
        <w:left w:val="none" w:sz="0" w:space="0" w:color="auto"/>
        <w:bottom w:val="none" w:sz="0" w:space="0" w:color="auto"/>
        <w:right w:val="none" w:sz="0" w:space="0" w:color="auto"/>
      </w:divBdr>
    </w:div>
    <w:div w:id="1324510509">
      <w:bodyDiv w:val="1"/>
      <w:marLeft w:val="0"/>
      <w:marRight w:val="0"/>
      <w:marTop w:val="0"/>
      <w:marBottom w:val="0"/>
      <w:divBdr>
        <w:top w:val="none" w:sz="0" w:space="0" w:color="auto"/>
        <w:left w:val="none" w:sz="0" w:space="0" w:color="auto"/>
        <w:bottom w:val="none" w:sz="0" w:space="0" w:color="auto"/>
        <w:right w:val="none" w:sz="0" w:space="0" w:color="auto"/>
      </w:divBdr>
    </w:div>
    <w:div w:id="1342927533">
      <w:bodyDiv w:val="1"/>
      <w:marLeft w:val="0"/>
      <w:marRight w:val="0"/>
      <w:marTop w:val="0"/>
      <w:marBottom w:val="0"/>
      <w:divBdr>
        <w:top w:val="none" w:sz="0" w:space="0" w:color="auto"/>
        <w:left w:val="none" w:sz="0" w:space="0" w:color="auto"/>
        <w:bottom w:val="none" w:sz="0" w:space="0" w:color="auto"/>
        <w:right w:val="none" w:sz="0" w:space="0" w:color="auto"/>
      </w:divBdr>
    </w:div>
    <w:div w:id="1382630607">
      <w:bodyDiv w:val="1"/>
      <w:marLeft w:val="0"/>
      <w:marRight w:val="0"/>
      <w:marTop w:val="0"/>
      <w:marBottom w:val="0"/>
      <w:divBdr>
        <w:top w:val="none" w:sz="0" w:space="0" w:color="auto"/>
        <w:left w:val="none" w:sz="0" w:space="0" w:color="auto"/>
        <w:bottom w:val="none" w:sz="0" w:space="0" w:color="auto"/>
        <w:right w:val="none" w:sz="0" w:space="0" w:color="auto"/>
      </w:divBdr>
    </w:div>
    <w:div w:id="1392575352">
      <w:bodyDiv w:val="1"/>
      <w:marLeft w:val="0"/>
      <w:marRight w:val="0"/>
      <w:marTop w:val="0"/>
      <w:marBottom w:val="0"/>
      <w:divBdr>
        <w:top w:val="none" w:sz="0" w:space="0" w:color="auto"/>
        <w:left w:val="none" w:sz="0" w:space="0" w:color="auto"/>
        <w:bottom w:val="none" w:sz="0" w:space="0" w:color="auto"/>
        <w:right w:val="none" w:sz="0" w:space="0" w:color="auto"/>
      </w:divBdr>
    </w:div>
    <w:div w:id="1403872935">
      <w:bodyDiv w:val="1"/>
      <w:marLeft w:val="0"/>
      <w:marRight w:val="0"/>
      <w:marTop w:val="0"/>
      <w:marBottom w:val="0"/>
      <w:divBdr>
        <w:top w:val="none" w:sz="0" w:space="0" w:color="auto"/>
        <w:left w:val="none" w:sz="0" w:space="0" w:color="auto"/>
        <w:bottom w:val="none" w:sz="0" w:space="0" w:color="auto"/>
        <w:right w:val="none" w:sz="0" w:space="0" w:color="auto"/>
      </w:divBdr>
    </w:div>
    <w:div w:id="1406418609">
      <w:bodyDiv w:val="1"/>
      <w:marLeft w:val="0"/>
      <w:marRight w:val="0"/>
      <w:marTop w:val="0"/>
      <w:marBottom w:val="0"/>
      <w:divBdr>
        <w:top w:val="none" w:sz="0" w:space="0" w:color="auto"/>
        <w:left w:val="none" w:sz="0" w:space="0" w:color="auto"/>
        <w:bottom w:val="none" w:sz="0" w:space="0" w:color="auto"/>
        <w:right w:val="none" w:sz="0" w:space="0" w:color="auto"/>
      </w:divBdr>
    </w:div>
    <w:div w:id="1485124886">
      <w:bodyDiv w:val="1"/>
      <w:marLeft w:val="0"/>
      <w:marRight w:val="0"/>
      <w:marTop w:val="0"/>
      <w:marBottom w:val="0"/>
      <w:divBdr>
        <w:top w:val="none" w:sz="0" w:space="0" w:color="auto"/>
        <w:left w:val="none" w:sz="0" w:space="0" w:color="auto"/>
        <w:bottom w:val="none" w:sz="0" w:space="0" w:color="auto"/>
        <w:right w:val="none" w:sz="0" w:space="0" w:color="auto"/>
      </w:divBdr>
    </w:div>
    <w:div w:id="1581520245">
      <w:bodyDiv w:val="1"/>
      <w:marLeft w:val="0"/>
      <w:marRight w:val="0"/>
      <w:marTop w:val="0"/>
      <w:marBottom w:val="0"/>
      <w:divBdr>
        <w:top w:val="none" w:sz="0" w:space="0" w:color="auto"/>
        <w:left w:val="none" w:sz="0" w:space="0" w:color="auto"/>
        <w:bottom w:val="none" w:sz="0" w:space="0" w:color="auto"/>
        <w:right w:val="none" w:sz="0" w:space="0" w:color="auto"/>
      </w:divBdr>
    </w:div>
    <w:div w:id="1637562702">
      <w:bodyDiv w:val="1"/>
      <w:marLeft w:val="0"/>
      <w:marRight w:val="0"/>
      <w:marTop w:val="0"/>
      <w:marBottom w:val="0"/>
      <w:divBdr>
        <w:top w:val="none" w:sz="0" w:space="0" w:color="auto"/>
        <w:left w:val="none" w:sz="0" w:space="0" w:color="auto"/>
        <w:bottom w:val="none" w:sz="0" w:space="0" w:color="auto"/>
        <w:right w:val="none" w:sz="0" w:space="0" w:color="auto"/>
      </w:divBdr>
    </w:div>
    <w:div w:id="1685784685">
      <w:bodyDiv w:val="1"/>
      <w:marLeft w:val="0"/>
      <w:marRight w:val="0"/>
      <w:marTop w:val="0"/>
      <w:marBottom w:val="0"/>
      <w:divBdr>
        <w:top w:val="none" w:sz="0" w:space="0" w:color="auto"/>
        <w:left w:val="none" w:sz="0" w:space="0" w:color="auto"/>
        <w:bottom w:val="none" w:sz="0" w:space="0" w:color="auto"/>
        <w:right w:val="none" w:sz="0" w:space="0" w:color="auto"/>
      </w:divBdr>
    </w:div>
    <w:div w:id="1689260466">
      <w:bodyDiv w:val="1"/>
      <w:marLeft w:val="0"/>
      <w:marRight w:val="0"/>
      <w:marTop w:val="0"/>
      <w:marBottom w:val="0"/>
      <w:divBdr>
        <w:top w:val="none" w:sz="0" w:space="0" w:color="auto"/>
        <w:left w:val="none" w:sz="0" w:space="0" w:color="auto"/>
        <w:bottom w:val="none" w:sz="0" w:space="0" w:color="auto"/>
        <w:right w:val="none" w:sz="0" w:space="0" w:color="auto"/>
      </w:divBdr>
    </w:div>
    <w:div w:id="1694187002">
      <w:bodyDiv w:val="1"/>
      <w:marLeft w:val="0"/>
      <w:marRight w:val="0"/>
      <w:marTop w:val="0"/>
      <w:marBottom w:val="0"/>
      <w:divBdr>
        <w:top w:val="none" w:sz="0" w:space="0" w:color="auto"/>
        <w:left w:val="none" w:sz="0" w:space="0" w:color="auto"/>
        <w:bottom w:val="none" w:sz="0" w:space="0" w:color="auto"/>
        <w:right w:val="none" w:sz="0" w:space="0" w:color="auto"/>
      </w:divBdr>
    </w:div>
    <w:div w:id="1759322996">
      <w:bodyDiv w:val="1"/>
      <w:marLeft w:val="0"/>
      <w:marRight w:val="0"/>
      <w:marTop w:val="0"/>
      <w:marBottom w:val="0"/>
      <w:divBdr>
        <w:top w:val="none" w:sz="0" w:space="0" w:color="auto"/>
        <w:left w:val="none" w:sz="0" w:space="0" w:color="auto"/>
        <w:bottom w:val="none" w:sz="0" w:space="0" w:color="auto"/>
        <w:right w:val="none" w:sz="0" w:space="0" w:color="auto"/>
      </w:divBdr>
    </w:div>
    <w:div w:id="1845197887">
      <w:bodyDiv w:val="1"/>
      <w:marLeft w:val="0"/>
      <w:marRight w:val="0"/>
      <w:marTop w:val="0"/>
      <w:marBottom w:val="0"/>
      <w:divBdr>
        <w:top w:val="none" w:sz="0" w:space="0" w:color="auto"/>
        <w:left w:val="none" w:sz="0" w:space="0" w:color="auto"/>
        <w:bottom w:val="none" w:sz="0" w:space="0" w:color="auto"/>
        <w:right w:val="none" w:sz="0" w:space="0" w:color="auto"/>
      </w:divBdr>
    </w:div>
    <w:div w:id="1944654153">
      <w:bodyDiv w:val="1"/>
      <w:marLeft w:val="0"/>
      <w:marRight w:val="0"/>
      <w:marTop w:val="0"/>
      <w:marBottom w:val="0"/>
      <w:divBdr>
        <w:top w:val="none" w:sz="0" w:space="0" w:color="auto"/>
        <w:left w:val="none" w:sz="0" w:space="0" w:color="auto"/>
        <w:bottom w:val="none" w:sz="0" w:space="0" w:color="auto"/>
        <w:right w:val="none" w:sz="0" w:space="0" w:color="auto"/>
      </w:divBdr>
    </w:div>
    <w:div w:id="1947082448">
      <w:bodyDiv w:val="1"/>
      <w:marLeft w:val="0"/>
      <w:marRight w:val="0"/>
      <w:marTop w:val="0"/>
      <w:marBottom w:val="0"/>
      <w:divBdr>
        <w:top w:val="none" w:sz="0" w:space="0" w:color="auto"/>
        <w:left w:val="none" w:sz="0" w:space="0" w:color="auto"/>
        <w:bottom w:val="none" w:sz="0" w:space="0" w:color="auto"/>
        <w:right w:val="none" w:sz="0" w:space="0" w:color="auto"/>
      </w:divBdr>
    </w:div>
    <w:div w:id="1953901844">
      <w:bodyDiv w:val="1"/>
      <w:marLeft w:val="0"/>
      <w:marRight w:val="0"/>
      <w:marTop w:val="0"/>
      <w:marBottom w:val="0"/>
      <w:divBdr>
        <w:top w:val="none" w:sz="0" w:space="0" w:color="auto"/>
        <w:left w:val="none" w:sz="0" w:space="0" w:color="auto"/>
        <w:bottom w:val="none" w:sz="0" w:space="0" w:color="auto"/>
        <w:right w:val="none" w:sz="0" w:space="0" w:color="auto"/>
      </w:divBdr>
    </w:div>
    <w:div w:id="2047371734">
      <w:bodyDiv w:val="1"/>
      <w:marLeft w:val="0"/>
      <w:marRight w:val="0"/>
      <w:marTop w:val="0"/>
      <w:marBottom w:val="0"/>
      <w:divBdr>
        <w:top w:val="none" w:sz="0" w:space="0" w:color="auto"/>
        <w:left w:val="none" w:sz="0" w:space="0" w:color="auto"/>
        <w:bottom w:val="none" w:sz="0" w:space="0" w:color="auto"/>
        <w:right w:val="none" w:sz="0" w:space="0" w:color="auto"/>
      </w:divBdr>
    </w:div>
    <w:div w:id="2053919748">
      <w:bodyDiv w:val="1"/>
      <w:marLeft w:val="0"/>
      <w:marRight w:val="0"/>
      <w:marTop w:val="0"/>
      <w:marBottom w:val="0"/>
      <w:divBdr>
        <w:top w:val="none" w:sz="0" w:space="0" w:color="auto"/>
        <w:left w:val="none" w:sz="0" w:space="0" w:color="auto"/>
        <w:bottom w:val="none" w:sz="0" w:space="0" w:color="auto"/>
        <w:right w:val="none" w:sz="0" w:space="0" w:color="auto"/>
      </w:divBdr>
    </w:div>
    <w:div w:id="207750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s://www.sandwelltrends.info/population/population-by-ward/" TargetMode="External"/><Relationship Id="rId39" Type="http://schemas.openxmlformats.org/officeDocument/2006/relationships/fontTable" Target="fontTable.xml"/><Relationship Id="rId21" Type="http://schemas.openxmlformats.org/officeDocument/2006/relationships/image" Target="media/image12.png"/><Relationship Id="rId34" Type="http://schemas.openxmlformats.org/officeDocument/2006/relationships/hyperlink" Target="https://www.ons.gov.uk/peoplepopulationandcommunity/culturalidentity/ethnicity/articles/gypsyoririshtravellerpopulationsenglandandwales/census2021"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www.sandwelltrends.info/ethnicity-religion-country-of-birth/" TargetMode="External"/><Relationship Id="rId33" Type="http://schemas.openxmlformats.org/officeDocument/2006/relationships/hyperlink" Target="https://www.sandwelltrends.info/health/"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https://theodi.org/insights/reports/fuel-poverty-risk-index-202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hyperlink" Target="https://www.ons.gov.uk/visualisations/censuspopulationchange/E08000028/" TargetMode="External"/><Relationship Id="rId32" Type="http://schemas.openxmlformats.org/officeDocument/2006/relationships/hyperlink" Target="https://www.sandwelltrends.info/household-characteristics/" TargetMode="External"/><Relationship Id="rId37" Type="http://schemas.openxmlformats.org/officeDocument/2006/relationships/hyperlink" Target="https://www.ons.gov.uk/peoplepopulationandcommunity/culturalidentity/ethnicity/articles/gypsyoririshtravellerpopulationsenglandandwales/census2021"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https://www.ons.gov.uk/visualisations/censuspopulationchange/E08000028/" TargetMode="External"/><Relationship Id="rId28" Type="http://schemas.openxmlformats.org/officeDocument/2006/relationships/hyperlink" Target="https://www.nomisweb.co.uk/reports/lmp/la/1946157189/printable.aspx" TargetMode="External"/><Relationship Id="rId36" Type="http://schemas.openxmlformats.org/officeDocument/2006/relationships/hyperlink" Target="https://www.ons.gov.uk/peoplepopulationandcommunity/culturalidentity/ethnicity/articles/gypsyoririshtravellerpopulationsenglandandwales/census2021" TargetMode="External"/><Relationship Id="rId10" Type="http://schemas.openxmlformats.org/officeDocument/2006/relationships/image" Target="media/image1.emf"/><Relationship Id="rId19" Type="http://schemas.openxmlformats.org/officeDocument/2006/relationships/image" Target="media/image10.png"/><Relationship Id="rId31" Type="http://schemas.openxmlformats.org/officeDocument/2006/relationships/hyperlink" Target="https://www.ons.gov.uk/visualisations/housingpriceslocal/E0800002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https://www.ons.gov.uk/visualisations/censuspopulationchange/E08000028/" TargetMode="External"/><Relationship Id="rId27" Type="http://schemas.openxmlformats.org/officeDocument/2006/relationships/hyperlink" Target="https://www.sandwelltrends.info/deprivation-2025/" TargetMode="External"/><Relationship Id="rId30" Type="http://schemas.openxmlformats.org/officeDocument/2006/relationships/hyperlink" Target="https://www.ons.gov.uk/visualisations/housingpriceslocal/E08000028/" TargetMode="External"/><Relationship Id="rId35" Type="http://schemas.openxmlformats.org/officeDocument/2006/relationships/hyperlink" Target="https://www.ons.gov.uk/peoplepopulationandcommunity/culturalidentity/ethnicity/articles/gypsyoririshtravellerpopulationsenglandandwales/census2021"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2EB4250032AE429BE7074B82D72F3D" ma:contentTypeVersion="13" ma:contentTypeDescription="Create a new document." ma:contentTypeScope="" ma:versionID="c02297d77356f026f6a2d842753c1136">
  <xsd:schema xmlns:xsd="http://www.w3.org/2001/XMLSchema" xmlns:xs="http://www.w3.org/2001/XMLSchema" xmlns:p="http://schemas.microsoft.com/office/2006/metadata/properties" xmlns:ns2="a9425197-31e1-4d34-8419-48789e20a78a" xmlns:ns3="0a2ace62-6eff-49e2-8365-79ba2d40e546" targetNamespace="http://schemas.microsoft.com/office/2006/metadata/properties" ma:root="true" ma:fieldsID="d588d2a4677d9102e3df2f7631d22d3a" ns2:_="" ns3:_="">
    <xsd:import namespace="a9425197-31e1-4d34-8419-48789e20a78a"/>
    <xsd:import namespace="0a2ace62-6eff-49e2-8365-79ba2d40e54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bjectDetectorVersions" minOccurs="0"/>
                <xsd:element ref="ns3:SharedWithUsers" minOccurs="0"/>
                <xsd:element ref="ns3:SharedWithDetails" minOccurs="0"/>
                <xsd:element ref="ns2:Comments" minOccurs="0"/>
                <xsd:element ref="ns2:Landlord_x002d_CriticalSuccessMeasur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25197-31e1-4d34-8419-48789e20a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0981484-d518-4359-b9c0-888202caf1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Comments" ma:index="19" nillable="true" ma:displayName="Comments" ma:format="Dropdown" ma:internalName="Comments">
      <xsd:simpleType>
        <xsd:restriction base="dms:Text">
          <xsd:maxLength value="255"/>
        </xsd:restriction>
      </xsd:simpleType>
    </xsd:element>
    <xsd:element name="Landlord_x002d_CriticalSuccessMeasures" ma:index="20" nillable="true" ma:displayName="Landlord -Critical Success Measures" ma:description="Scorecards" ma:format="Dropdown" ma:internalName="Landlord_x002d_CriticalSuccessMeasur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2ace62-6eff-49e2-8365-79ba2d40e54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275abb-9ed6-4981-8d7f-0690533e6f1f}" ma:internalName="TaxCatchAll" ma:showField="CatchAllData" ma:web="0a2ace62-6eff-49e2-8365-79ba2d40e54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425197-31e1-4d34-8419-48789e20a78a">
      <Terms xmlns="http://schemas.microsoft.com/office/infopath/2007/PartnerControls"/>
    </lcf76f155ced4ddcb4097134ff3c332f>
    <Comments xmlns="a9425197-31e1-4d34-8419-48789e20a78a" xsi:nil="true"/>
    <TaxCatchAll xmlns="0a2ace62-6eff-49e2-8365-79ba2d40e546" xsi:nil="true"/>
    <Landlord_x002d_CriticalSuccessMeasures xmlns="a9425197-31e1-4d34-8419-48789e20a78a" xsi:nil="true"/>
  </documentManagement>
</p:properties>
</file>

<file path=customXml/itemProps1.xml><?xml version="1.0" encoding="utf-8"?>
<ds:datastoreItem xmlns:ds="http://schemas.openxmlformats.org/officeDocument/2006/customXml" ds:itemID="{5C968D70-2629-44F1-9059-451A8DDEF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25197-31e1-4d34-8419-48789e20a78a"/>
    <ds:schemaRef ds:uri="0a2ace62-6eff-49e2-8365-79ba2d40e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4F04C8-9ED9-4E10-85BF-71912CB9AA5C}">
  <ds:schemaRefs>
    <ds:schemaRef ds:uri="http://schemas.microsoft.com/sharepoint/v3/contenttype/forms"/>
  </ds:schemaRefs>
</ds:datastoreItem>
</file>

<file path=customXml/itemProps3.xml><?xml version="1.0" encoding="utf-8"?>
<ds:datastoreItem xmlns:ds="http://schemas.openxmlformats.org/officeDocument/2006/customXml" ds:itemID="{25D80ADA-FD09-4ECD-982A-B98A91A224E6}">
  <ds:schemaRefs>
    <ds:schemaRef ds:uri="http://schemas.microsoft.com/office/2006/metadata/properties"/>
    <ds:schemaRef ds:uri="http://schemas.microsoft.com/office/infopath/2007/PartnerControls"/>
    <ds:schemaRef ds:uri="a9425197-31e1-4d34-8419-48789e20a78a"/>
    <ds:schemaRef ds:uri="0a2ace62-6eff-49e2-8365-79ba2d40e54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11162</Words>
  <Characters>63625</Characters>
  <Application>Microsoft Office Word</Application>
  <DocSecurity>4</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74638</CharactersWithSpaces>
  <SharedDoc>false</SharedDoc>
  <HLinks>
    <vt:vector size="96" baseType="variant">
      <vt:variant>
        <vt:i4>8061046</vt:i4>
      </vt:variant>
      <vt:variant>
        <vt:i4>45</vt:i4>
      </vt:variant>
      <vt:variant>
        <vt:i4>0</vt:i4>
      </vt:variant>
      <vt:variant>
        <vt:i4>5</vt:i4>
      </vt:variant>
      <vt:variant>
        <vt:lpwstr>https://www.ons.gov.uk/peoplepopulationandcommunity/culturalidentity/ethnicity/articles/gypsyoririshtravellerpopulationsenglandandwales/census2021</vt:lpwstr>
      </vt:variant>
      <vt:variant>
        <vt:lpwstr/>
      </vt:variant>
      <vt:variant>
        <vt:i4>8061046</vt:i4>
      </vt:variant>
      <vt:variant>
        <vt:i4>42</vt:i4>
      </vt:variant>
      <vt:variant>
        <vt:i4>0</vt:i4>
      </vt:variant>
      <vt:variant>
        <vt:i4>5</vt:i4>
      </vt:variant>
      <vt:variant>
        <vt:lpwstr>https://www.ons.gov.uk/peoplepopulationandcommunity/culturalidentity/ethnicity/articles/gypsyoririshtravellerpopulationsenglandandwales/census2021</vt:lpwstr>
      </vt:variant>
      <vt:variant>
        <vt:lpwstr/>
      </vt:variant>
      <vt:variant>
        <vt:i4>8061046</vt:i4>
      </vt:variant>
      <vt:variant>
        <vt:i4>39</vt:i4>
      </vt:variant>
      <vt:variant>
        <vt:i4>0</vt:i4>
      </vt:variant>
      <vt:variant>
        <vt:i4>5</vt:i4>
      </vt:variant>
      <vt:variant>
        <vt:lpwstr>https://www.ons.gov.uk/peoplepopulationandcommunity/culturalidentity/ethnicity/articles/gypsyoririshtravellerpopulationsenglandandwales/census2021</vt:lpwstr>
      </vt:variant>
      <vt:variant>
        <vt:lpwstr/>
      </vt:variant>
      <vt:variant>
        <vt:i4>8061046</vt:i4>
      </vt:variant>
      <vt:variant>
        <vt:i4>36</vt:i4>
      </vt:variant>
      <vt:variant>
        <vt:i4>0</vt:i4>
      </vt:variant>
      <vt:variant>
        <vt:i4>5</vt:i4>
      </vt:variant>
      <vt:variant>
        <vt:lpwstr>https://www.ons.gov.uk/peoplepopulationandcommunity/culturalidentity/ethnicity/articles/gypsyoririshtravellerpopulationsenglandandwales/census2021</vt:lpwstr>
      </vt:variant>
      <vt:variant>
        <vt:lpwstr/>
      </vt:variant>
      <vt:variant>
        <vt:i4>4128809</vt:i4>
      </vt:variant>
      <vt:variant>
        <vt:i4>33</vt:i4>
      </vt:variant>
      <vt:variant>
        <vt:i4>0</vt:i4>
      </vt:variant>
      <vt:variant>
        <vt:i4>5</vt:i4>
      </vt:variant>
      <vt:variant>
        <vt:lpwstr>https://www.sandwelltrends.info/health/</vt:lpwstr>
      </vt:variant>
      <vt:variant>
        <vt:lpwstr>:~:text=In%20Sandwell%2C%2020%25%20of%20residents,to%2Dday%20activities%20a%20lot</vt:lpwstr>
      </vt:variant>
      <vt:variant>
        <vt:i4>3866736</vt:i4>
      </vt:variant>
      <vt:variant>
        <vt:i4>30</vt:i4>
      </vt:variant>
      <vt:variant>
        <vt:i4>0</vt:i4>
      </vt:variant>
      <vt:variant>
        <vt:i4>5</vt:i4>
      </vt:variant>
      <vt:variant>
        <vt:lpwstr>https://www.sandwelltrends.info/household-characteristics/</vt:lpwstr>
      </vt:variant>
      <vt:variant>
        <vt:lpwstr>:~:text=In%202021%2C%2054.2%25%20(70%2C635,respectively%20in%20England%20%26%20Wales)</vt:lpwstr>
      </vt:variant>
      <vt:variant>
        <vt:i4>3932239</vt:i4>
      </vt:variant>
      <vt:variant>
        <vt:i4>27</vt:i4>
      </vt:variant>
      <vt:variant>
        <vt:i4>0</vt:i4>
      </vt:variant>
      <vt:variant>
        <vt:i4>5</vt:i4>
      </vt:variant>
      <vt:variant>
        <vt:lpwstr>https://www.ons.gov.uk/visualisations/housingpriceslocal/E08000028/</vt:lpwstr>
      </vt:variant>
      <vt:variant>
        <vt:lpwstr>house_price</vt:lpwstr>
      </vt:variant>
      <vt:variant>
        <vt:i4>3932239</vt:i4>
      </vt:variant>
      <vt:variant>
        <vt:i4>24</vt:i4>
      </vt:variant>
      <vt:variant>
        <vt:i4>0</vt:i4>
      </vt:variant>
      <vt:variant>
        <vt:i4>5</vt:i4>
      </vt:variant>
      <vt:variant>
        <vt:lpwstr>https://www.ons.gov.uk/visualisations/housingpriceslocal/E08000028/</vt:lpwstr>
      </vt:variant>
      <vt:variant>
        <vt:lpwstr>house_price</vt:lpwstr>
      </vt:variant>
      <vt:variant>
        <vt:i4>1900627</vt:i4>
      </vt:variant>
      <vt:variant>
        <vt:i4>21</vt:i4>
      </vt:variant>
      <vt:variant>
        <vt:i4>0</vt:i4>
      </vt:variant>
      <vt:variant>
        <vt:i4>5</vt:i4>
      </vt:variant>
      <vt:variant>
        <vt:lpwstr>https://theodi.org/insights/reports/fuel-poverty-risk-index-2023/</vt:lpwstr>
      </vt:variant>
      <vt:variant>
        <vt:lpwstr/>
      </vt:variant>
      <vt:variant>
        <vt:i4>6815844</vt:i4>
      </vt:variant>
      <vt:variant>
        <vt:i4>18</vt:i4>
      </vt:variant>
      <vt:variant>
        <vt:i4>0</vt:i4>
      </vt:variant>
      <vt:variant>
        <vt:i4>5</vt:i4>
      </vt:variant>
      <vt:variant>
        <vt:lpwstr>https://www.nomisweb.co.uk/reports/lmp/la/1946157189/printable.aspx</vt:lpwstr>
      </vt:variant>
      <vt:variant>
        <vt:lpwstr/>
      </vt:variant>
      <vt:variant>
        <vt:i4>5832711</vt:i4>
      </vt:variant>
      <vt:variant>
        <vt:i4>15</vt:i4>
      </vt:variant>
      <vt:variant>
        <vt:i4>0</vt:i4>
      </vt:variant>
      <vt:variant>
        <vt:i4>5</vt:i4>
      </vt:variant>
      <vt:variant>
        <vt:lpwstr>https://www.sandwelltrends.info/deprivation-2025/</vt:lpwstr>
      </vt:variant>
      <vt:variant>
        <vt:lpwstr/>
      </vt:variant>
      <vt:variant>
        <vt:i4>8257650</vt:i4>
      </vt:variant>
      <vt:variant>
        <vt:i4>12</vt:i4>
      </vt:variant>
      <vt:variant>
        <vt:i4>0</vt:i4>
      </vt:variant>
      <vt:variant>
        <vt:i4>5</vt:i4>
      </vt:variant>
      <vt:variant>
        <vt:lpwstr>https://www.sandwelltrends.info/population/population-by-ward/</vt:lpwstr>
      </vt:variant>
      <vt:variant>
        <vt:lpwstr/>
      </vt:variant>
      <vt:variant>
        <vt:i4>4915219</vt:i4>
      </vt:variant>
      <vt:variant>
        <vt:i4>9</vt:i4>
      </vt:variant>
      <vt:variant>
        <vt:i4>0</vt:i4>
      </vt:variant>
      <vt:variant>
        <vt:i4>5</vt:i4>
      </vt:variant>
      <vt:variant>
        <vt:lpwstr>https://www.sandwelltrends.info/ethnicity-religion-country-of-birth/</vt:lpwstr>
      </vt:variant>
      <vt:variant>
        <vt:lpwstr/>
      </vt:variant>
      <vt:variant>
        <vt:i4>7929915</vt:i4>
      </vt:variant>
      <vt:variant>
        <vt:i4>6</vt:i4>
      </vt:variant>
      <vt:variant>
        <vt:i4>0</vt:i4>
      </vt:variant>
      <vt:variant>
        <vt:i4>5</vt:i4>
      </vt:variant>
      <vt:variant>
        <vt:lpwstr>https://www.ons.gov.uk/visualisations/censuspopulationchange/E08000028/</vt:lpwstr>
      </vt:variant>
      <vt:variant>
        <vt:lpwstr/>
      </vt:variant>
      <vt:variant>
        <vt:i4>7929915</vt:i4>
      </vt:variant>
      <vt:variant>
        <vt:i4>3</vt:i4>
      </vt:variant>
      <vt:variant>
        <vt:i4>0</vt:i4>
      </vt:variant>
      <vt:variant>
        <vt:i4>5</vt:i4>
      </vt:variant>
      <vt:variant>
        <vt:lpwstr>https://www.ons.gov.uk/visualisations/censuspopulationchange/E08000028/</vt:lpwstr>
      </vt:variant>
      <vt:variant>
        <vt:lpwstr/>
      </vt:variant>
      <vt:variant>
        <vt:i4>7929915</vt:i4>
      </vt:variant>
      <vt:variant>
        <vt:i4>0</vt:i4>
      </vt:variant>
      <vt:variant>
        <vt:i4>0</vt:i4>
      </vt:variant>
      <vt:variant>
        <vt:i4>5</vt:i4>
      </vt:variant>
      <vt:variant>
        <vt:lpwstr>https://www.ons.gov.uk/visualisations/censuspopulationchange/E08000028/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Roberts</dc:creator>
  <cp:keywords/>
  <dc:description/>
  <cp:lastModifiedBy>Louis Bebb</cp:lastModifiedBy>
  <cp:revision>2</cp:revision>
  <dcterms:created xsi:type="dcterms:W3CDTF">2026-02-18T09:59:00Z</dcterms:created>
  <dcterms:modified xsi:type="dcterms:W3CDTF">2026-02-18T09:59:00Z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0x010100482EB4250032AE429BE7074B82D72F3D</vt:lpwstr>
  </property>
  <property fmtid="{D5CDD505-2E9C-101B-9397-08002B2CF9AE}" pid="3" name="MediaServiceImageTags">
    <vt:lpwstr/>
  </property>
</Properties>
</file>