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AAFE4" w14:textId="7AC21264" w:rsidR="00DE2676" w:rsidRPr="00DD7CAE" w:rsidRDefault="001C1F3F" w:rsidP="00FE774C">
      <w:pPr>
        <w:spacing w:after="0" w:line="240" w:lineRule="auto"/>
        <w:jc w:val="center"/>
        <w:textAlignment w:val="baseline"/>
        <w:rPr>
          <w:rFonts w:ascii="Segoe UI" w:eastAsia="Times New Roman" w:hAnsi="Segoe UI" w:cs="Segoe UI"/>
          <w:b/>
          <w:bCs/>
          <w:color w:val="000000"/>
          <w:sz w:val="72"/>
          <w:szCs w:val="72"/>
          <w:lang w:eastAsia="en-GB"/>
        </w:rPr>
      </w:pPr>
      <w:r>
        <w:rPr>
          <w:rFonts w:ascii="Arial" w:eastAsia="Times New Roman" w:hAnsi="Arial" w:cs="Arial"/>
          <w:b/>
          <w:bCs/>
          <w:color w:val="000000"/>
          <w:sz w:val="72"/>
          <w:szCs w:val="72"/>
          <w:lang w:eastAsia="en-GB"/>
        </w:rPr>
        <w:t>TENANCY FRAUD POLICY</w:t>
      </w:r>
    </w:p>
    <w:p w14:paraId="5B35B072" w14:textId="5EE834C6" w:rsidR="00FE774C" w:rsidRDefault="00DD7CAE" w:rsidP="0085070B">
      <w:pPr>
        <w:spacing w:after="0" w:line="240" w:lineRule="auto"/>
        <w:textAlignment w:val="baseline"/>
        <w:rPr>
          <w:rFonts w:ascii="Segoe UI" w:eastAsia="Times New Roman" w:hAnsi="Segoe UI" w:cs="Segoe UI"/>
          <w:b/>
          <w:bCs/>
          <w:color w:val="000000"/>
          <w:sz w:val="18"/>
          <w:szCs w:val="18"/>
          <w:u w:val="single"/>
          <w:lang w:eastAsia="en-GB"/>
        </w:rPr>
      </w:pPr>
      <w:r w:rsidRPr="00DD7CAE">
        <w:rPr>
          <w:noProof/>
        </w:rPr>
        <w:drawing>
          <wp:inline distT="0" distB="0" distL="0" distR="0" wp14:anchorId="34FC3C2A" wp14:editId="1943B22D">
            <wp:extent cx="5731510" cy="171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171450"/>
                    </a:xfrm>
                    <a:prstGeom prst="rect">
                      <a:avLst/>
                    </a:prstGeom>
                    <a:noFill/>
                    <a:ln>
                      <a:noFill/>
                    </a:ln>
                  </pic:spPr>
                </pic:pic>
              </a:graphicData>
            </a:graphic>
          </wp:inline>
        </w:drawing>
      </w:r>
    </w:p>
    <w:p w14:paraId="78399EC1" w14:textId="6C3201F5" w:rsidR="00FE774C" w:rsidRDefault="00DD7CAE" w:rsidP="0085070B">
      <w:pPr>
        <w:spacing w:after="0" w:line="240" w:lineRule="auto"/>
        <w:textAlignment w:val="baseline"/>
        <w:rPr>
          <w:rFonts w:ascii="Segoe UI" w:eastAsia="Times New Roman" w:hAnsi="Segoe UI" w:cs="Segoe UI"/>
          <w:b/>
          <w:bCs/>
          <w:color w:val="000000"/>
          <w:sz w:val="18"/>
          <w:szCs w:val="18"/>
          <w:u w:val="single"/>
          <w:lang w:eastAsia="en-GB"/>
        </w:rPr>
      </w:pPr>
      <w:r w:rsidRPr="00DD7CAE">
        <w:rPr>
          <w:noProof/>
        </w:rPr>
        <w:drawing>
          <wp:inline distT="0" distB="0" distL="0" distR="0" wp14:anchorId="5585D86C" wp14:editId="3C11AE26">
            <wp:extent cx="5731510" cy="171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171450"/>
                    </a:xfrm>
                    <a:prstGeom prst="rect">
                      <a:avLst/>
                    </a:prstGeom>
                    <a:noFill/>
                    <a:ln>
                      <a:noFill/>
                    </a:ln>
                  </pic:spPr>
                </pic:pic>
              </a:graphicData>
            </a:graphic>
          </wp:inline>
        </w:drawing>
      </w:r>
    </w:p>
    <w:p w14:paraId="01E8AE7E" w14:textId="1C4C390D" w:rsidR="00FE774C" w:rsidRDefault="00FE774C" w:rsidP="00DD7CAE">
      <w:pPr>
        <w:spacing w:after="0" w:line="240" w:lineRule="auto"/>
        <w:jc w:val="center"/>
        <w:textAlignment w:val="baseline"/>
        <w:rPr>
          <w:rFonts w:ascii="Segoe UI" w:eastAsia="Times New Roman" w:hAnsi="Segoe UI" w:cs="Segoe UI"/>
          <w:b/>
          <w:bCs/>
          <w:color w:val="000000"/>
          <w:sz w:val="18"/>
          <w:szCs w:val="18"/>
          <w:u w:val="single"/>
          <w:lang w:eastAsia="en-GB"/>
        </w:rPr>
      </w:pPr>
    </w:p>
    <w:p w14:paraId="1727260F" w14:textId="77777777" w:rsidR="00DE2676" w:rsidRDefault="00DE2676" w:rsidP="0085070B">
      <w:pPr>
        <w:spacing w:after="0" w:line="240" w:lineRule="auto"/>
        <w:textAlignment w:val="baseline"/>
        <w:rPr>
          <w:rFonts w:ascii="Segoe UI" w:eastAsia="Times New Roman" w:hAnsi="Segoe UI" w:cs="Segoe UI"/>
          <w:b/>
          <w:bCs/>
          <w:color w:val="000000"/>
          <w:sz w:val="18"/>
          <w:szCs w:val="18"/>
          <w:u w:val="single"/>
          <w:lang w:eastAsia="en-GB"/>
        </w:rPr>
      </w:pPr>
    </w:p>
    <w:p w14:paraId="7DA22314" w14:textId="7315F0EA" w:rsidR="00DD7CAE" w:rsidRDefault="00DD7CAE" w:rsidP="00DD7CAE">
      <w:pPr>
        <w:spacing w:after="0" w:line="240" w:lineRule="auto"/>
        <w:jc w:val="center"/>
        <w:textAlignment w:val="baseline"/>
        <w:rPr>
          <w:rFonts w:ascii="Segoe UI" w:eastAsia="Times New Roman" w:hAnsi="Segoe UI" w:cs="Segoe UI"/>
          <w:b/>
          <w:bCs/>
          <w:color w:val="000000"/>
          <w:sz w:val="18"/>
          <w:szCs w:val="18"/>
          <w:u w:val="single"/>
          <w:lang w:eastAsia="en-GB"/>
        </w:rPr>
      </w:pPr>
      <w:r>
        <w:rPr>
          <w:noProof/>
        </w:rPr>
        <w:drawing>
          <wp:inline distT="0" distB="0" distL="0" distR="0" wp14:anchorId="2BC8299C" wp14:editId="3A74CF6D">
            <wp:extent cx="5398088" cy="14414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8" cy="1449773"/>
                    </a:xfrm>
                    <a:prstGeom prst="rect">
                      <a:avLst/>
                    </a:prstGeom>
                    <a:noFill/>
                  </pic:spPr>
                </pic:pic>
              </a:graphicData>
            </a:graphic>
          </wp:inline>
        </w:drawing>
      </w:r>
    </w:p>
    <w:p w14:paraId="2386104C" w14:textId="77777777" w:rsidR="00DD7CAE" w:rsidRDefault="00DD7CAE" w:rsidP="0085070B">
      <w:pPr>
        <w:spacing w:after="0" w:line="240" w:lineRule="auto"/>
        <w:textAlignment w:val="baseline"/>
        <w:rPr>
          <w:rFonts w:ascii="Segoe UI" w:eastAsia="Times New Roman" w:hAnsi="Segoe UI" w:cs="Segoe UI"/>
          <w:b/>
          <w:bCs/>
          <w:color w:val="000000"/>
          <w:sz w:val="18"/>
          <w:szCs w:val="18"/>
          <w:u w:val="single"/>
          <w:lang w:eastAsia="en-GB"/>
        </w:rPr>
      </w:pPr>
    </w:p>
    <w:p w14:paraId="553B9DEE" w14:textId="77777777" w:rsidR="00DD7CAE" w:rsidRDefault="00DD7CAE" w:rsidP="0085070B">
      <w:pPr>
        <w:spacing w:after="0" w:line="240" w:lineRule="auto"/>
        <w:textAlignment w:val="baseline"/>
        <w:rPr>
          <w:rFonts w:ascii="Segoe UI" w:eastAsia="Times New Roman" w:hAnsi="Segoe UI" w:cs="Segoe UI"/>
          <w:b/>
          <w:bCs/>
          <w:color w:val="000000"/>
          <w:sz w:val="18"/>
          <w:szCs w:val="18"/>
          <w:u w:val="single"/>
          <w:lang w:eastAsia="en-GB"/>
        </w:rPr>
      </w:pPr>
    </w:p>
    <w:p w14:paraId="701F546D" w14:textId="77777777" w:rsidR="00DD7CAE" w:rsidRPr="00DD7CAE" w:rsidRDefault="00DD7CAE" w:rsidP="0085070B">
      <w:pPr>
        <w:spacing w:after="0" w:line="240" w:lineRule="auto"/>
        <w:textAlignment w:val="baseline"/>
        <w:rPr>
          <w:rFonts w:ascii="Segoe UI" w:eastAsia="Times New Roman" w:hAnsi="Segoe UI" w:cs="Segoe UI"/>
          <w:b/>
          <w:bCs/>
          <w:color w:val="000000"/>
          <w:sz w:val="20"/>
          <w:szCs w:val="20"/>
          <w:u w:val="single"/>
          <w:lang w:eastAsia="en-GB"/>
        </w:rPr>
      </w:pPr>
    </w:p>
    <w:p w14:paraId="1E388569" w14:textId="77777777" w:rsidR="00DE2676" w:rsidRPr="0085070B" w:rsidRDefault="00DE2676" w:rsidP="0085070B">
      <w:pPr>
        <w:spacing w:after="0" w:line="240" w:lineRule="auto"/>
        <w:textAlignment w:val="baseline"/>
        <w:rPr>
          <w:rFonts w:ascii="Segoe UI" w:eastAsia="Times New Roman" w:hAnsi="Segoe UI" w:cs="Segoe UI"/>
          <w:color w:val="000000"/>
          <w:sz w:val="20"/>
          <w:szCs w:val="20"/>
          <w:lang w:eastAsia="en-GB"/>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2520"/>
        <w:gridCol w:w="2160"/>
        <w:gridCol w:w="2160"/>
      </w:tblGrid>
      <w:tr w:rsidR="00A52669" w:rsidRPr="0085070B" w14:paraId="2372967B" w14:textId="77777777" w:rsidTr="007024F3">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76BCD89B" w14:textId="28078CB9" w:rsidR="00A52669" w:rsidRPr="00F015C5" w:rsidRDefault="00A52669" w:rsidP="00A52669">
            <w:pPr>
              <w:spacing w:after="0" w:line="240" w:lineRule="auto"/>
              <w:ind w:left="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Document title   </w:t>
            </w:r>
          </w:p>
        </w:tc>
        <w:tc>
          <w:tcPr>
            <w:tcW w:w="6840" w:type="dxa"/>
            <w:gridSpan w:val="3"/>
            <w:tcBorders>
              <w:top w:val="single" w:sz="6" w:space="0" w:color="000000"/>
              <w:left w:val="single" w:sz="6" w:space="0" w:color="000000"/>
              <w:bottom w:val="single" w:sz="6" w:space="0" w:color="000000"/>
              <w:right w:val="single" w:sz="6" w:space="0" w:color="000000"/>
            </w:tcBorders>
          </w:tcPr>
          <w:p w14:paraId="45CEA3E6" w14:textId="6FA8E27F" w:rsidR="00A52669" w:rsidRPr="0085574F" w:rsidRDefault="00A52669" w:rsidP="00A52669">
            <w:pPr>
              <w:spacing w:after="0" w:line="240" w:lineRule="auto"/>
              <w:ind w:left="98"/>
              <w:textAlignment w:val="baseline"/>
              <w:rPr>
                <w:rFonts w:ascii="Arial" w:eastAsia="Times New Roman" w:hAnsi="Arial" w:cs="Arial"/>
                <w:color w:val="000000"/>
                <w:sz w:val="28"/>
                <w:szCs w:val="28"/>
                <w:lang w:eastAsia="en-GB"/>
              </w:rPr>
            </w:pPr>
            <w:r>
              <w:rPr>
                <w:rFonts w:ascii="Arial" w:eastAsia="Times New Roman" w:hAnsi="Arial" w:cs="Arial"/>
                <w:i/>
                <w:iCs/>
                <w:color w:val="000000"/>
                <w:sz w:val="32"/>
                <w:szCs w:val="32"/>
                <w:lang w:eastAsia="en-GB"/>
              </w:rPr>
              <w:t xml:space="preserve">Tenancy </w:t>
            </w:r>
            <w:r w:rsidR="00426DC0">
              <w:rPr>
                <w:rFonts w:ascii="Arial" w:eastAsia="Times New Roman" w:hAnsi="Arial" w:cs="Arial"/>
                <w:i/>
                <w:iCs/>
                <w:color w:val="000000"/>
                <w:sz w:val="32"/>
                <w:szCs w:val="32"/>
                <w:lang w:eastAsia="en-GB"/>
              </w:rPr>
              <w:t>Fraud</w:t>
            </w:r>
            <w:r>
              <w:rPr>
                <w:rFonts w:ascii="Arial" w:eastAsia="Times New Roman" w:hAnsi="Arial" w:cs="Arial"/>
                <w:i/>
                <w:iCs/>
                <w:color w:val="000000"/>
                <w:sz w:val="32"/>
                <w:szCs w:val="32"/>
                <w:lang w:eastAsia="en-GB"/>
              </w:rPr>
              <w:t xml:space="preserve"> Policy</w:t>
            </w:r>
          </w:p>
        </w:tc>
      </w:tr>
      <w:tr w:rsidR="00A52669" w:rsidRPr="0085070B" w14:paraId="1542B3C5" w14:textId="77777777" w:rsidTr="007024F3">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7E03C40C" w14:textId="7259891E" w:rsidR="00A52669" w:rsidRPr="00F015C5" w:rsidRDefault="00A52669" w:rsidP="00A52669">
            <w:pPr>
              <w:spacing w:after="0" w:line="240" w:lineRule="auto"/>
              <w:ind w:firstLine="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Owner   </w:t>
            </w:r>
          </w:p>
        </w:tc>
        <w:tc>
          <w:tcPr>
            <w:tcW w:w="6840" w:type="dxa"/>
            <w:gridSpan w:val="3"/>
            <w:tcBorders>
              <w:top w:val="single" w:sz="6" w:space="0" w:color="000000"/>
              <w:left w:val="single" w:sz="6" w:space="0" w:color="000000"/>
              <w:bottom w:val="single" w:sz="6" w:space="0" w:color="000000"/>
              <w:right w:val="single" w:sz="6" w:space="0" w:color="000000"/>
            </w:tcBorders>
          </w:tcPr>
          <w:p w14:paraId="7184F89E" w14:textId="6FEE46CC" w:rsidR="00A52669" w:rsidRPr="0085574F" w:rsidRDefault="00A52669" w:rsidP="00A52669">
            <w:pPr>
              <w:spacing w:after="0" w:line="240" w:lineRule="auto"/>
              <w:ind w:left="98"/>
              <w:textAlignment w:val="baseline"/>
              <w:rPr>
                <w:rFonts w:ascii="Arial" w:eastAsia="Times New Roman" w:hAnsi="Arial" w:cs="Arial"/>
                <w:color w:val="000000"/>
                <w:sz w:val="28"/>
                <w:szCs w:val="28"/>
                <w:lang w:eastAsia="en-GB"/>
              </w:rPr>
            </w:pPr>
            <w:r w:rsidRPr="006A65CF">
              <w:rPr>
                <w:rFonts w:ascii="Arial" w:eastAsia="Times New Roman" w:hAnsi="Arial" w:cs="Arial"/>
                <w:i/>
                <w:iCs/>
                <w:color w:val="000000"/>
                <w:sz w:val="32"/>
                <w:szCs w:val="32"/>
                <w:lang w:eastAsia="en-GB"/>
              </w:rPr>
              <w:t>Jim Brennan, Head of Tenancy and Estate Management</w:t>
            </w:r>
          </w:p>
        </w:tc>
      </w:tr>
      <w:tr w:rsidR="00A52669" w:rsidRPr="00DD7CAE" w14:paraId="0F46E89B" w14:textId="77777777" w:rsidTr="007024F3">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tcPr>
          <w:p w14:paraId="5E637E8C" w14:textId="737EFB4B" w:rsidR="00A52669" w:rsidRPr="00F015C5" w:rsidRDefault="00A52669" w:rsidP="00A52669">
            <w:pPr>
              <w:spacing w:after="0" w:line="240" w:lineRule="auto"/>
              <w:ind w:firstLine="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Approved by</w:t>
            </w:r>
          </w:p>
        </w:tc>
        <w:tc>
          <w:tcPr>
            <w:tcW w:w="6840" w:type="dxa"/>
            <w:gridSpan w:val="3"/>
            <w:tcBorders>
              <w:top w:val="single" w:sz="6" w:space="0" w:color="000000"/>
              <w:left w:val="single" w:sz="6" w:space="0" w:color="000000"/>
              <w:bottom w:val="single" w:sz="6" w:space="0" w:color="000000"/>
              <w:right w:val="single" w:sz="6" w:space="0" w:color="000000"/>
            </w:tcBorders>
          </w:tcPr>
          <w:p w14:paraId="29FAA2DE" w14:textId="697B712B" w:rsidR="00A52669" w:rsidRPr="0085574F" w:rsidRDefault="00A52669" w:rsidP="00A52669">
            <w:pPr>
              <w:spacing w:after="0" w:line="240" w:lineRule="auto"/>
              <w:ind w:left="-15" w:firstLine="98"/>
              <w:textAlignment w:val="baseline"/>
              <w:rPr>
                <w:rFonts w:ascii="Arial" w:eastAsia="Times New Roman" w:hAnsi="Arial" w:cs="Arial"/>
                <w:color w:val="000000"/>
                <w:sz w:val="28"/>
                <w:szCs w:val="28"/>
                <w:lang w:eastAsia="en-GB"/>
              </w:rPr>
            </w:pPr>
            <w:r w:rsidRPr="006A65CF">
              <w:rPr>
                <w:rFonts w:ascii="Arial" w:eastAsia="Times New Roman" w:hAnsi="Arial" w:cs="Arial"/>
                <w:i/>
                <w:iCs/>
                <w:color w:val="000000"/>
                <w:sz w:val="32"/>
                <w:szCs w:val="32"/>
                <w:lang w:eastAsia="en-GB"/>
              </w:rPr>
              <w:t>Cabinet</w:t>
            </w:r>
          </w:p>
        </w:tc>
      </w:tr>
      <w:tr w:rsidR="00A52669" w:rsidRPr="0085070B" w14:paraId="3584A036" w14:textId="77777777" w:rsidTr="007024F3">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3AF75579" w14:textId="12F46906" w:rsidR="00A52669" w:rsidRPr="00F015C5" w:rsidRDefault="00A52669" w:rsidP="00A52669">
            <w:pPr>
              <w:spacing w:after="0" w:line="240" w:lineRule="auto"/>
              <w:ind w:firstLine="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Status   </w:t>
            </w:r>
          </w:p>
        </w:tc>
        <w:tc>
          <w:tcPr>
            <w:tcW w:w="2520" w:type="dxa"/>
            <w:tcBorders>
              <w:top w:val="single" w:sz="6" w:space="0" w:color="000000"/>
              <w:left w:val="single" w:sz="6" w:space="0" w:color="000000"/>
              <w:bottom w:val="single" w:sz="6" w:space="0" w:color="000000"/>
              <w:right w:val="single" w:sz="6" w:space="0" w:color="000000"/>
            </w:tcBorders>
          </w:tcPr>
          <w:p w14:paraId="3D96D2AE" w14:textId="456DC267" w:rsidR="00A52669" w:rsidRPr="0085574F" w:rsidRDefault="00A52669" w:rsidP="00A52669">
            <w:pPr>
              <w:spacing w:after="0" w:line="240" w:lineRule="auto"/>
              <w:ind w:firstLine="98"/>
              <w:textAlignment w:val="baseline"/>
              <w:rPr>
                <w:rFonts w:ascii="Arial" w:eastAsia="Times New Roman" w:hAnsi="Arial" w:cs="Arial"/>
                <w:i/>
                <w:iCs/>
                <w:color w:val="000000"/>
                <w:sz w:val="28"/>
                <w:szCs w:val="28"/>
                <w:lang w:eastAsia="en-GB"/>
              </w:rPr>
            </w:pPr>
            <w:r w:rsidRPr="006A65CF">
              <w:rPr>
                <w:rFonts w:ascii="Arial" w:eastAsia="Times New Roman" w:hAnsi="Arial" w:cs="Arial"/>
                <w:i/>
                <w:iCs/>
                <w:color w:val="000000"/>
                <w:sz w:val="32"/>
                <w:szCs w:val="32"/>
                <w:lang w:eastAsia="en-GB"/>
              </w:rPr>
              <w:t>Final </w:t>
            </w:r>
          </w:p>
        </w:tc>
        <w:tc>
          <w:tcPr>
            <w:tcW w:w="2160" w:type="dxa"/>
            <w:tcBorders>
              <w:top w:val="single" w:sz="6" w:space="0" w:color="000000"/>
              <w:left w:val="single" w:sz="6" w:space="0" w:color="000000"/>
              <w:bottom w:val="single" w:sz="6" w:space="0" w:color="000000"/>
              <w:right w:val="single" w:sz="6" w:space="0" w:color="000000"/>
            </w:tcBorders>
            <w:shd w:val="clear" w:color="auto" w:fill="C5E0B3"/>
          </w:tcPr>
          <w:p w14:paraId="5E1D413D" w14:textId="0BC91558" w:rsidR="00A52669" w:rsidRPr="0085574F" w:rsidRDefault="00A52669" w:rsidP="00A52669">
            <w:pPr>
              <w:spacing w:after="0" w:line="240" w:lineRule="auto"/>
              <w:ind w:firstLine="98"/>
              <w:textAlignment w:val="baseline"/>
              <w:rPr>
                <w:rFonts w:ascii="Times New Roman" w:eastAsia="Times New Roman" w:hAnsi="Times New Roman" w:cs="Times New Roman"/>
                <w:color w:val="000000"/>
                <w:sz w:val="28"/>
                <w:szCs w:val="28"/>
                <w:lang w:eastAsia="en-GB"/>
              </w:rPr>
            </w:pPr>
            <w:r w:rsidRPr="00F015C5">
              <w:rPr>
                <w:rFonts w:ascii="Arial" w:eastAsia="Times New Roman" w:hAnsi="Arial" w:cs="Arial"/>
                <w:color w:val="000000"/>
                <w:sz w:val="32"/>
                <w:szCs w:val="32"/>
                <w:lang w:eastAsia="en-GB"/>
              </w:rPr>
              <w:t>Status   </w:t>
            </w:r>
          </w:p>
        </w:tc>
        <w:tc>
          <w:tcPr>
            <w:tcW w:w="2160" w:type="dxa"/>
            <w:tcBorders>
              <w:top w:val="single" w:sz="6" w:space="0" w:color="000000"/>
              <w:left w:val="single" w:sz="6" w:space="0" w:color="000000"/>
              <w:bottom w:val="single" w:sz="6" w:space="0" w:color="000000"/>
              <w:right w:val="single" w:sz="6" w:space="0" w:color="000000"/>
            </w:tcBorders>
          </w:tcPr>
          <w:p w14:paraId="235CADCF" w14:textId="3C44953B" w:rsidR="00A52669" w:rsidRPr="0085574F" w:rsidRDefault="00A52669" w:rsidP="00A52669">
            <w:pPr>
              <w:spacing w:after="0" w:line="240" w:lineRule="auto"/>
              <w:ind w:left="96" w:firstLine="2"/>
              <w:textAlignment w:val="baseline"/>
              <w:rPr>
                <w:rFonts w:ascii="Times New Roman" w:eastAsia="Times New Roman" w:hAnsi="Times New Roman" w:cs="Times New Roman"/>
                <w:i/>
                <w:iCs/>
                <w:color w:val="000000"/>
                <w:sz w:val="28"/>
                <w:szCs w:val="28"/>
                <w:lang w:eastAsia="en-GB"/>
              </w:rPr>
            </w:pPr>
            <w:r w:rsidRPr="006A65CF">
              <w:rPr>
                <w:rFonts w:ascii="Arial" w:eastAsia="Times New Roman" w:hAnsi="Arial" w:cs="Arial"/>
                <w:i/>
                <w:iCs/>
                <w:color w:val="000000"/>
                <w:sz w:val="32"/>
                <w:szCs w:val="32"/>
                <w:lang w:eastAsia="en-GB"/>
              </w:rPr>
              <w:t>Final </w:t>
            </w:r>
          </w:p>
        </w:tc>
      </w:tr>
      <w:tr w:rsidR="00A52669" w:rsidRPr="0085070B" w14:paraId="12269204" w14:textId="77777777" w:rsidTr="007024F3">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3C03126E" w14:textId="6FD9F550" w:rsidR="00A52669" w:rsidRPr="00F015C5" w:rsidRDefault="00A52669" w:rsidP="00A52669">
            <w:pPr>
              <w:spacing w:after="0" w:line="240" w:lineRule="auto"/>
              <w:ind w:left="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Effective from   </w:t>
            </w:r>
          </w:p>
        </w:tc>
        <w:tc>
          <w:tcPr>
            <w:tcW w:w="2520" w:type="dxa"/>
            <w:tcBorders>
              <w:top w:val="single" w:sz="6" w:space="0" w:color="000000"/>
              <w:left w:val="single" w:sz="6" w:space="0" w:color="000000"/>
              <w:bottom w:val="single" w:sz="6" w:space="0" w:color="000000"/>
              <w:right w:val="single" w:sz="6" w:space="0" w:color="000000"/>
            </w:tcBorders>
          </w:tcPr>
          <w:p w14:paraId="5CE6E57E" w14:textId="17A4DF06" w:rsidR="00A52669" w:rsidRPr="0085574F" w:rsidRDefault="00A52669" w:rsidP="00A52669">
            <w:pPr>
              <w:spacing w:after="0" w:line="240" w:lineRule="auto"/>
              <w:ind w:firstLine="98"/>
              <w:textAlignment w:val="baseline"/>
              <w:rPr>
                <w:rFonts w:ascii="Arial" w:eastAsia="Times New Roman" w:hAnsi="Arial" w:cs="Arial"/>
                <w:i/>
                <w:iCs/>
                <w:color w:val="000000"/>
                <w:sz w:val="28"/>
                <w:szCs w:val="28"/>
                <w:lang w:eastAsia="en-GB"/>
              </w:rPr>
            </w:pPr>
            <w:r w:rsidRPr="006A65CF">
              <w:rPr>
                <w:rFonts w:ascii="Arial" w:eastAsia="Times New Roman" w:hAnsi="Arial" w:cs="Arial"/>
                <w:i/>
                <w:iCs/>
                <w:sz w:val="32"/>
                <w:szCs w:val="32"/>
                <w:lang w:eastAsia="en-GB"/>
              </w:rPr>
              <w:t>14.05.2025</w:t>
            </w:r>
          </w:p>
        </w:tc>
        <w:tc>
          <w:tcPr>
            <w:tcW w:w="2160" w:type="dxa"/>
            <w:tcBorders>
              <w:top w:val="single" w:sz="6" w:space="0" w:color="000000"/>
              <w:left w:val="single" w:sz="6" w:space="0" w:color="000000"/>
              <w:bottom w:val="single" w:sz="6" w:space="0" w:color="000000"/>
              <w:right w:val="single" w:sz="6" w:space="0" w:color="000000"/>
            </w:tcBorders>
            <w:shd w:val="clear" w:color="auto" w:fill="C5E0B3"/>
          </w:tcPr>
          <w:p w14:paraId="20FF0351" w14:textId="2E1DBE1E" w:rsidR="00A52669" w:rsidRPr="0085574F" w:rsidRDefault="00A52669" w:rsidP="00A52669">
            <w:pPr>
              <w:spacing w:after="0" w:line="240" w:lineRule="auto"/>
              <w:ind w:firstLine="98"/>
              <w:textAlignment w:val="baseline"/>
              <w:rPr>
                <w:rFonts w:ascii="Times New Roman" w:eastAsia="Times New Roman" w:hAnsi="Times New Roman" w:cs="Times New Roman"/>
                <w:color w:val="000000"/>
                <w:sz w:val="28"/>
                <w:szCs w:val="28"/>
                <w:lang w:eastAsia="en-GB"/>
              </w:rPr>
            </w:pPr>
            <w:r w:rsidRPr="00F015C5">
              <w:rPr>
                <w:rFonts w:ascii="Arial" w:eastAsia="Times New Roman" w:hAnsi="Arial" w:cs="Arial"/>
                <w:color w:val="000000"/>
                <w:sz w:val="32"/>
                <w:szCs w:val="32"/>
                <w:lang w:eastAsia="en-GB"/>
              </w:rPr>
              <w:t>Effective from   </w:t>
            </w:r>
          </w:p>
        </w:tc>
        <w:tc>
          <w:tcPr>
            <w:tcW w:w="2160" w:type="dxa"/>
            <w:tcBorders>
              <w:top w:val="single" w:sz="6" w:space="0" w:color="000000"/>
              <w:left w:val="single" w:sz="6" w:space="0" w:color="000000"/>
              <w:bottom w:val="single" w:sz="6" w:space="0" w:color="000000"/>
              <w:right w:val="single" w:sz="6" w:space="0" w:color="000000"/>
            </w:tcBorders>
          </w:tcPr>
          <w:p w14:paraId="722F0D85" w14:textId="46135BE4" w:rsidR="00A52669" w:rsidRPr="0085574F" w:rsidRDefault="00A52669" w:rsidP="00A52669">
            <w:pPr>
              <w:spacing w:after="0" w:line="240" w:lineRule="auto"/>
              <w:ind w:firstLine="98"/>
              <w:textAlignment w:val="baseline"/>
              <w:rPr>
                <w:rFonts w:ascii="Times New Roman" w:eastAsia="Times New Roman" w:hAnsi="Times New Roman" w:cs="Times New Roman"/>
                <w:i/>
                <w:iCs/>
                <w:color w:val="000000"/>
                <w:sz w:val="28"/>
                <w:szCs w:val="28"/>
                <w:lang w:eastAsia="en-GB"/>
              </w:rPr>
            </w:pPr>
            <w:r w:rsidRPr="006A65CF">
              <w:rPr>
                <w:rFonts w:ascii="Arial" w:eastAsia="Times New Roman" w:hAnsi="Arial" w:cs="Arial"/>
                <w:i/>
                <w:iCs/>
                <w:sz w:val="32"/>
                <w:szCs w:val="32"/>
                <w:lang w:eastAsia="en-GB"/>
              </w:rPr>
              <w:t>14.05.2025</w:t>
            </w:r>
          </w:p>
        </w:tc>
      </w:tr>
      <w:tr w:rsidR="00A52669" w:rsidRPr="0085070B" w14:paraId="617888EA" w14:textId="77777777" w:rsidTr="007024F3">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1E27A79A" w14:textId="77777777" w:rsidR="00A52669" w:rsidRDefault="00A52669" w:rsidP="00A52669">
            <w:pPr>
              <w:spacing w:after="0" w:line="240" w:lineRule="auto"/>
              <w:ind w:left="274" w:hanging="14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Last</w:t>
            </w:r>
          </w:p>
          <w:p w14:paraId="6CBC701A" w14:textId="72558227" w:rsidR="00A52669" w:rsidRPr="00F015C5" w:rsidRDefault="00A52669" w:rsidP="00A52669">
            <w:pPr>
              <w:spacing w:after="0" w:line="240" w:lineRule="auto"/>
              <w:ind w:left="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updated   </w:t>
            </w:r>
          </w:p>
        </w:tc>
        <w:tc>
          <w:tcPr>
            <w:tcW w:w="2520" w:type="dxa"/>
            <w:tcBorders>
              <w:top w:val="single" w:sz="6" w:space="0" w:color="000000"/>
              <w:left w:val="single" w:sz="6" w:space="0" w:color="000000"/>
              <w:bottom w:val="single" w:sz="6" w:space="0" w:color="000000"/>
              <w:right w:val="single" w:sz="6" w:space="0" w:color="000000"/>
            </w:tcBorders>
          </w:tcPr>
          <w:p w14:paraId="14258EAF" w14:textId="556F0FBF" w:rsidR="00A52669" w:rsidRPr="0085574F" w:rsidRDefault="00A52669" w:rsidP="00A52669">
            <w:pPr>
              <w:spacing w:after="0" w:line="240" w:lineRule="auto"/>
              <w:ind w:firstLine="98"/>
              <w:textAlignment w:val="baseline"/>
              <w:rPr>
                <w:rFonts w:ascii="Arial" w:eastAsia="Times New Roman" w:hAnsi="Arial" w:cs="Arial"/>
                <w:color w:val="000000"/>
                <w:sz w:val="28"/>
                <w:szCs w:val="28"/>
                <w:lang w:eastAsia="en-GB"/>
              </w:rPr>
            </w:pPr>
            <w:r w:rsidRPr="006A65CF">
              <w:rPr>
                <w:rFonts w:ascii="Arial" w:eastAsia="Times New Roman" w:hAnsi="Arial" w:cs="Arial"/>
                <w:i/>
                <w:iCs/>
                <w:color w:val="000000"/>
                <w:sz w:val="32"/>
                <w:szCs w:val="32"/>
                <w:lang w:eastAsia="en-GB"/>
              </w:rPr>
              <w:t xml:space="preserve">22.04.2025 </w:t>
            </w:r>
          </w:p>
        </w:tc>
        <w:tc>
          <w:tcPr>
            <w:tcW w:w="2160" w:type="dxa"/>
            <w:tcBorders>
              <w:top w:val="single" w:sz="6" w:space="0" w:color="000000"/>
              <w:left w:val="single" w:sz="6" w:space="0" w:color="000000"/>
              <w:bottom w:val="single" w:sz="6" w:space="0" w:color="000000"/>
              <w:right w:val="single" w:sz="6" w:space="0" w:color="000000"/>
            </w:tcBorders>
            <w:shd w:val="clear" w:color="auto" w:fill="C5E0B3"/>
          </w:tcPr>
          <w:p w14:paraId="6FB90F3E" w14:textId="77777777" w:rsidR="00A52669" w:rsidRDefault="00A52669" w:rsidP="00A52669">
            <w:pPr>
              <w:spacing w:after="0" w:line="240" w:lineRule="auto"/>
              <w:ind w:left="274" w:hanging="14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Last</w:t>
            </w:r>
          </w:p>
          <w:p w14:paraId="7FDF7F26" w14:textId="298AC06D" w:rsidR="00A52669" w:rsidRPr="0085574F" w:rsidRDefault="00A52669" w:rsidP="00A52669">
            <w:pPr>
              <w:spacing w:after="0" w:line="240" w:lineRule="auto"/>
              <w:ind w:left="130"/>
              <w:textAlignment w:val="baseline"/>
              <w:rPr>
                <w:rFonts w:ascii="Times New Roman" w:eastAsia="Times New Roman" w:hAnsi="Times New Roman" w:cs="Times New Roman"/>
                <w:color w:val="000000"/>
                <w:sz w:val="28"/>
                <w:szCs w:val="28"/>
                <w:lang w:eastAsia="en-GB"/>
              </w:rPr>
            </w:pPr>
            <w:r w:rsidRPr="00F015C5">
              <w:rPr>
                <w:rFonts w:ascii="Arial" w:eastAsia="Times New Roman" w:hAnsi="Arial" w:cs="Arial"/>
                <w:color w:val="000000"/>
                <w:sz w:val="32"/>
                <w:szCs w:val="32"/>
                <w:lang w:eastAsia="en-GB"/>
              </w:rPr>
              <w:t>updated   </w:t>
            </w:r>
          </w:p>
        </w:tc>
        <w:tc>
          <w:tcPr>
            <w:tcW w:w="2160" w:type="dxa"/>
            <w:tcBorders>
              <w:top w:val="single" w:sz="6" w:space="0" w:color="000000"/>
              <w:left w:val="single" w:sz="6" w:space="0" w:color="000000"/>
              <w:bottom w:val="single" w:sz="6" w:space="0" w:color="000000"/>
              <w:right w:val="single" w:sz="6" w:space="0" w:color="000000"/>
            </w:tcBorders>
          </w:tcPr>
          <w:p w14:paraId="3C1DE21F" w14:textId="4B04D5A9" w:rsidR="00A52669" w:rsidRPr="0085574F" w:rsidRDefault="00A52669" w:rsidP="00A52669">
            <w:pPr>
              <w:spacing w:after="0" w:line="240" w:lineRule="auto"/>
              <w:ind w:firstLine="98"/>
              <w:textAlignment w:val="baseline"/>
              <w:rPr>
                <w:rFonts w:ascii="Times New Roman" w:eastAsia="Times New Roman" w:hAnsi="Times New Roman" w:cs="Times New Roman"/>
                <w:i/>
                <w:iCs/>
                <w:color w:val="000000"/>
                <w:sz w:val="28"/>
                <w:szCs w:val="28"/>
                <w:lang w:eastAsia="en-GB"/>
              </w:rPr>
            </w:pPr>
            <w:r w:rsidRPr="006A65CF">
              <w:rPr>
                <w:rFonts w:ascii="Arial" w:eastAsia="Times New Roman" w:hAnsi="Arial" w:cs="Arial"/>
                <w:i/>
                <w:iCs/>
                <w:color w:val="000000"/>
                <w:sz w:val="32"/>
                <w:szCs w:val="32"/>
                <w:lang w:eastAsia="en-GB"/>
              </w:rPr>
              <w:t xml:space="preserve">22.04.2025 </w:t>
            </w:r>
          </w:p>
        </w:tc>
      </w:tr>
      <w:tr w:rsidR="00A52669" w:rsidRPr="0085070B" w14:paraId="152EDD50" w14:textId="77777777" w:rsidTr="007024F3">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6829680D" w14:textId="66DAA24A" w:rsidR="00A52669" w:rsidRPr="00F015C5" w:rsidRDefault="00A52669" w:rsidP="00A52669">
            <w:pPr>
              <w:spacing w:after="0" w:line="240" w:lineRule="auto"/>
              <w:ind w:firstLine="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Review date  </w:t>
            </w:r>
          </w:p>
        </w:tc>
        <w:tc>
          <w:tcPr>
            <w:tcW w:w="6840" w:type="dxa"/>
            <w:gridSpan w:val="3"/>
            <w:tcBorders>
              <w:top w:val="single" w:sz="6" w:space="0" w:color="000000"/>
              <w:left w:val="single" w:sz="6" w:space="0" w:color="000000"/>
              <w:bottom w:val="single" w:sz="6" w:space="0" w:color="000000"/>
              <w:right w:val="single" w:sz="6" w:space="0" w:color="000000"/>
            </w:tcBorders>
          </w:tcPr>
          <w:p w14:paraId="17899BE8" w14:textId="6C90D85B" w:rsidR="00A52669" w:rsidRPr="0085574F" w:rsidRDefault="00A52669" w:rsidP="00A52669">
            <w:pPr>
              <w:spacing w:after="0" w:line="240" w:lineRule="auto"/>
              <w:ind w:firstLine="98"/>
              <w:textAlignment w:val="baseline"/>
              <w:rPr>
                <w:rFonts w:ascii="Arial" w:eastAsia="Times New Roman" w:hAnsi="Arial" w:cs="Arial"/>
                <w:color w:val="000000"/>
                <w:sz w:val="28"/>
                <w:szCs w:val="28"/>
                <w:lang w:eastAsia="en-GB"/>
              </w:rPr>
            </w:pPr>
            <w:r>
              <w:rPr>
                <w:rFonts w:ascii="Arial" w:eastAsia="Times New Roman" w:hAnsi="Arial" w:cs="Arial"/>
                <w:i/>
                <w:iCs/>
                <w:color w:val="000000"/>
                <w:sz w:val="32"/>
                <w:szCs w:val="32"/>
                <w:lang w:eastAsia="en-GB"/>
              </w:rPr>
              <w:t>3 years from effective date.</w:t>
            </w:r>
          </w:p>
        </w:tc>
      </w:tr>
      <w:tr w:rsidR="0085070B" w:rsidRPr="0085070B" w14:paraId="15FEFA6D" w14:textId="77777777" w:rsidTr="190496DB">
        <w:trPr>
          <w:trHeight w:val="1080"/>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41ED0B39" w14:textId="77777777" w:rsidR="0085070B" w:rsidRPr="00F015C5" w:rsidRDefault="0085070B" w:rsidP="0085070B">
            <w:pPr>
              <w:spacing w:after="0" w:line="240" w:lineRule="auto"/>
              <w:ind w:firstLine="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Purpose  </w:t>
            </w:r>
          </w:p>
        </w:tc>
        <w:tc>
          <w:tcPr>
            <w:tcW w:w="684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DD45649" w14:textId="58681A4E" w:rsidR="0085070B" w:rsidRPr="00A52669" w:rsidRDefault="0021051C" w:rsidP="00870FA7">
            <w:pPr>
              <w:spacing w:after="0" w:line="240" w:lineRule="auto"/>
              <w:ind w:left="98"/>
              <w:textAlignment w:val="baseline"/>
              <w:rPr>
                <w:rFonts w:ascii="Arial" w:eastAsia="Times New Roman" w:hAnsi="Arial" w:cs="Arial"/>
                <w:color w:val="000000"/>
                <w:sz w:val="32"/>
                <w:szCs w:val="32"/>
                <w:lang w:eastAsia="en-GB"/>
              </w:rPr>
            </w:pPr>
            <w:r w:rsidRPr="00A52669">
              <w:rPr>
                <w:rFonts w:ascii="Arial" w:eastAsia="Times New Roman" w:hAnsi="Arial" w:cs="Arial"/>
                <w:color w:val="000000"/>
                <w:sz w:val="32"/>
                <w:szCs w:val="32"/>
                <w:lang w:eastAsia="en-GB"/>
              </w:rPr>
              <w:t xml:space="preserve">This policy outlines the approach taken by Sandwell’s Housing Service to prevent and address tenancy fraud, ensuring that our housing stock remains accessible to those who are most in need. </w:t>
            </w:r>
          </w:p>
        </w:tc>
      </w:tr>
    </w:tbl>
    <w:p w14:paraId="2B91632B" w14:textId="77777777" w:rsidR="00CC1C8F" w:rsidRDefault="00CC1C8F"/>
    <w:p w14:paraId="076BF16D" w14:textId="77777777" w:rsidR="00A52669" w:rsidRDefault="00A52669"/>
    <w:p w14:paraId="4A512004" w14:textId="77777777" w:rsidR="00DD7CAE" w:rsidRDefault="00DD7CAE"/>
    <w:p w14:paraId="58B47A23" w14:textId="77777777" w:rsidR="0085574F" w:rsidRDefault="0085574F"/>
    <w:sdt>
      <w:sdtPr>
        <w:rPr>
          <w:rFonts w:asciiTheme="minorHAnsi" w:eastAsiaTheme="minorEastAsia" w:hAnsiTheme="minorHAnsi" w:cstheme="minorBidi"/>
          <w:color w:val="auto"/>
          <w:sz w:val="22"/>
          <w:szCs w:val="22"/>
          <w:lang w:val="en-GB"/>
        </w:rPr>
        <w:id w:val="71088094"/>
        <w:docPartObj>
          <w:docPartGallery w:val="Table of Contents"/>
          <w:docPartUnique/>
        </w:docPartObj>
      </w:sdtPr>
      <w:sdtEndPr>
        <w:rPr>
          <w:b/>
          <w:bCs/>
          <w:noProof/>
        </w:rPr>
      </w:sdtEndPr>
      <w:sdtContent>
        <w:p w14:paraId="30BB5B92" w14:textId="77777777" w:rsidR="00A00C18" w:rsidRPr="00C35481" w:rsidRDefault="00A00C18" w:rsidP="00A00C18">
          <w:pPr>
            <w:pStyle w:val="TOCHeading"/>
            <w:jc w:val="center"/>
            <w:rPr>
              <w:rFonts w:ascii="Arial" w:hAnsi="Arial" w:cs="Arial"/>
              <w:b/>
              <w:bCs/>
              <w:color w:val="auto"/>
              <w:sz w:val="28"/>
              <w:szCs w:val="28"/>
              <w:u w:val="single"/>
            </w:rPr>
          </w:pPr>
          <w:r w:rsidRPr="00C35481">
            <w:rPr>
              <w:rFonts w:ascii="Arial" w:hAnsi="Arial" w:cs="Arial"/>
              <w:b/>
              <w:bCs/>
              <w:color w:val="auto"/>
              <w:sz w:val="28"/>
              <w:szCs w:val="28"/>
              <w:u w:val="single"/>
            </w:rPr>
            <w:t>Contents</w:t>
          </w:r>
        </w:p>
        <w:p w14:paraId="438D6619" w14:textId="729A570E" w:rsidR="00C35481" w:rsidRPr="00C35481" w:rsidRDefault="00A00C18" w:rsidP="0023797E">
          <w:pPr>
            <w:pStyle w:val="TOC1"/>
            <w:rPr>
              <w:rFonts w:eastAsiaTheme="minorEastAsia"/>
              <w:noProof/>
              <w:kern w:val="2"/>
              <w:lang w:eastAsia="en-GB"/>
              <w14:ligatures w14:val="standardContextual"/>
            </w:rPr>
          </w:pPr>
          <w:r w:rsidRPr="00C35481">
            <w:rPr>
              <w:rFonts w:ascii="Arial" w:hAnsi="Arial" w:cs="Arial"/>
              <w:b/>
              <w:bCs/>
            </w:rPr>
            <w:fldChar w:fldCharType="begin"/>
          </w:r>
          <w:r w:rsidRPr="00C35481">
            <w:rPr>
              <w:rFonts w:ascii="Arial" w:hAnsi="Arial" w:cs="Arial"/>
              <w:b/>
              <w:bCs/>
            </w:rPr>
            <w:instrText xml:space="preserve"> TOC \o "1-3" \h \z \u </w:instrText>
          </w:r>
          <w:r w:rsidRPr="00C35481">
            <w:rPr>
              <w:rFonts w:ascii="Arial" w:hAnsi="Arial" w:cs="Arial"/>
              <w:b/>
              <w:bCs/>
            </w:rPr>
            <w:fldChar w:fldCharType="separate"/>
          </w:r>
          <w:hyperlink w:anchor="_Toc192154810" w:history="1">
            <w:r w:rsidR="00C35481" w:rsidRPr="00C35481">
              <w:rPr>
                <w:rStyle w:val="Hyperlink"/>
                <w:rFonts w:ascii="Arial" w:eastAsiaTheme="majorEastAsia" w:hAnsi="Arial" w:cs="Arial"/>
                <w:b/>
                <w:bCs/>
                <w:noProof/>
                <w:sz w:val="28"/>
                <w:szCs w:val="28"/>
              </w:rPr>
              <w:t>1.</w:t>
            </w:r>
            <w:r w:rsidR="00C35481" w:rsidRPr="00C35481">
              <w:rPr>
                <w:rFonts w:eastAsiaTheme="minorEastAsia"/>
                <w:noProof/>
                <w:kern w:val="2"/>
                <w:lang w:eastAsia="en-GB"/>
                <w14:ligatures w14:val="standardContextual"/>
              </w:rPr>
              <w:tab/>
            </w:r>
            <w:r w:rsidR="00C35481" w:rsidRPr="00C35481">
              <w:rPr>
                <w:rStyle w:val="Hyperlink"/>
                <w:rFonts w:ascii="Arial" w:eastAsiaTheme="majorEastAsia" w:hAnsi="Arial" w:cs="Arial"/>
                <w:b/>
                <w:bCs/>
                <w:noProof/>
                <w:sz w:val="28"/>
                <w:szCs w:val="28"/>
              </w:rPr>
              <w:t>Purpose</w:t>
            </w:r>
            <w:r w:rsidR="00C35481" w:rsidRPr="00C35481">
              <w:rPr>
                <w:noProof/>
                <w:webHidden/>
              </w:rPr>
              <w:tab/>
            </w:r>
            <w:r w:rsidR="00C35481" w:rsidRPr="00C35481">
              <w:rPr>
                <w:noProof/>
                <w:webHidden/>
              </w:rPr>
              <w:fldChar w:fldCharType="begin"/>
            </w:r>
            <w:r w:rsidR="00C35481" w:rsidRPr="00C35481">
              <w:rPr>
                <w:noProof/>
                <w:webHidden/>
              </w:rPr>
              <w:instrText xml:space="preserve"> PAGEREF _Toc192154810 \h </w:instrText>
            </w:r>
            <w:r w:rsidR="00C35481" w:rsidRPr="00C35481">
              <w:rPr>
                <w:noProof/>
                <w:webHidden/>
              </w:rPr>
            </w:r>
            <w:r w:rsidR="00C35481" w:rsidRPr="00C35481">
              <w:rPr>
                <w:noProof/>
                <w:webHidden/>
              </w:rPr>
              <w:fldChar w:fldCharType="separate"/>
            </w:r>
            <w:r w:rsidR="00222360">
              <w:rPr>
                <w:noProof/>
                <w:webHidden/>
              </w:rPr>
              <w:t>3</w:t>
            </w:r>
            <w:r w:rsidR="00C35481" w:rsidRPr="00C35481">
              <w:rPr>
                <w:noProof/>
                <w:webHidden/>
              </w:rPr>
              <w:fldChar w:fldCharType="end"/>
            </w:r>
          </w:hyperlink>
        </w:p>
        <w:p w14:paraId="22929CA8" w14:textId="02F9E503" w:rsidR="00C35481" w:rsidRPr="00C35481" w:rsidRDefault="00C35481" w:rsidP="0023797E">
          <w:pPr>
            <w:pStyle w:val="TOC1"/>
            <w:rPr>
              <w:rFonts w:eastAsiaTheme="minorEastAsia"/>
              <w:noProof/>
              <w:kern w:val="2"/>
              <w:lang w:eastAsia="en-GB"/>
              <w14:ligatures w14:val="standardContextual"/>
            </w:rPr>
          </w:pPr>
          <w:hyperlink w:anchor="_Toc192154811" w:history="1">
            <w:r w:rsidRPr="00C35481">
              <w:rPr>
                <w:rStyle w:val="Hyperlink"/>
                <w:rFonts w:ascii="Arial" w:eastAsiaTheme="majorEastAsia" w:hAnsi="Arial" w:cs="Arial"/>
                <w:b/>
                <w:bCs/>
                <w:noProof/>
                <w:sz w:val="28"/>
                <w:szCs w:val="28"/>
              </w:rPr>
              <w:t>2.</w:t>
            </w:r>
            <w:r w:rsidRPr="00C35481">
              <w:rPr>
                <w:rFonts w:eastAsiaTheme="minorEastAsia"/>
                <w:noProof/>
                <w:kern w:val="2"/>
                <w:lang w:eastAsia="en-GB"/>
                <w14:ligatures w14:val="standardContextual"/>
              </w:rPr>
              <w:tab/>
            </w:r>
            <w:r w:rsidRPr="00C35481">
              <w:rPr>
                <w:rStyle w:val="Hyperlink"/>
                <w:rFonts w:ascii="Arial" w:eastAsiaTheme="majorEastAsia" w:hAnsi="Arial" w:cs="Arial"/>
                <w:b/>
                <w:bCs/>
                <w:noProof/>
                <w:sz w:val="28"/>
                <w:szCs w:val="28"/>
              </w:rPr>
              <w:t>Scope</w:t>
            </w:r>
            <w:r w:rsidRPr="00C35481">
              <w:rPr>
                <w:noProof/>
                <w:webHidden/>
              </w:rPr>
              <w:tab/>
            </w:r>
            <w:r w:rsidRPr="00C35481">
              <w:rPr>
                <w:noProof/>
                <w:webHidden/>
              </w:rPr>
              <w:fldChar w:fldCharType="begin"/>
            </w:r>
            <w:r w:rsidRPr="00C35481">
              <w:rPr>
                <w:noProof/>
                <w:webHidden/>
              </w:rPr>
              <w:instrText xml:space="preserve"> PAGEREF _Toc192154811 \h </w:instrText>
            </w:r>
            <w:r w:rsidRPr="00C35481">
              <w:rPr>
                <w:noProof/>
                <w:webHidden/>
              </w:rPr>
            </w:r>
            <w:r w:rsidRPr="00C35481">
              <w:rPr>
                <w:noProof/>
                <w:webHidden/>
              </w:rPr>
              <w:fldChar w:fldCharType="separate"/>
            </w:r>
            <w:r w:rsidR="00222360">
              <w:rPr>
                <w:noProof/>
                <w:webHidden/>
              </w:rPr>
              <w:t>3</w:t>
            </w:r>
            <w:r w:rsidRPr="00C35481">
              <w:rPr>
                <w:noProof/>
                <w:webHidden/>
              </w:rPr>
              <w:fldChar w:fldCharType="end"/>
            </w:r>
          </w:hyperlink>
        </w:p>
        <w:p w14:paraId="6D90AF1F" w14:textId="12E9FACF" w:rsidR="00C35481" w:rsidRPr="00C35481" w:rsidRDefault="00C35481" w:rsidP="0023797E">
          <w:pPr>
            <w:pStyle w:val="TOC1"/>
            <w:rPr>
              <w:rFonts w:eastAsiaTheme="minorEastAsia"/>
              <w:noProof/>
              <w:kern w:val="2"/>
              <w:lang w:eastAsia="en-GB"/>
              <w14:ligatures w14:val="standardContextual"/>
            </w:rPr>
          </w:pPr>
          <w:hyperlink w:anchor="_Toc192154812" w:history="1">
            <w:r w:rsidRPr="00C35481">
              <w:rPr>
                <w:rStyle w:val="Hyperlink"/>
                <w:rFonts w:ascii="Arial" w:eastAsiaTheme="majorEastAsia" w:hAnsi="Arial" w:cs="Arial"/>
                <w:b/>
                <w:bCs/>
                <w:noProof/>
                <w:sz w:val="28"/>
                <w:szCs w:val="28"/>
              </w:rPr>
              <w:t>3.</w:t>
            </w:r>
            <w:r w:rsidRPr="00C35481">
              <w:rPr>
                <w:rFonts w:eastAsiaTheme="minorEastAsia"/>
                <w:noProof/>
                <w:kern w:val="2"/>
                <w:lang w:eastAsia="en-GB"/>
                <w14:ligatures w14:val="standardContextual"/>
              </w:rPr>
              <w:tab/>
            </w:r>
            <w:r w:rsidRPr="00C35481">
              <w:rPr>
                <w:rStyle w:val="Hyperlink"/>
                <w:rFonts w:ascii="Arial" w:eastAsiaTheme="majorEastAsia" w:hAnsi="Arial" w:cs="Arial"/>
                <w:b/>
                <w:bCs/>
                <w:noProof/>
                <w:sz w:val="28"/>
                <w:szCs w:val="28"/>
              </w:rPr>
              <w:t>What is Tenancy Fraud?</w:t>
            </w:r>
            <w:r w:rsidRPr="00C35481">
              <w:rPr>
                <w:noProof/>
                <w:webHidden/>
              </w:rPr>
              <w:tab/>
            </w:r>
            <w:r w:rsidRPr="00C35481">
              <w:rPr>
                <w:noProof/>
                <w:webHidden/>
              </w:rPr>
              <w:fldChar w:fldCharType="begin"/>
            </w:r>
            <w:r w:rsidRPr="00C35481">
              <w:rPr>
                <w:noProof/>
                <w:webHidden/>
              </w:rPr>
              <w:instrText xml:space="preserve"> PAGEREF _Toc192154812 \h </w:instrText>
            </w:r>
            <w:r w:rsidRPr="00C35481">
              <w:rPr>
                <w:noProof/>
                <w:webHidden/>
              </w:rPr>
            </w:r>
            <w:r w:rsidRPr="00C35481">
              <w:rPr>
                <w:noProof/>
                <w:webHidden/>
              </w:rPr>
              <w:fldChar w:fldCharType="separate"/>
            </w:r>
            <w:r w:rsidR="00222360">
              <w:rPr>
                <w:noProof/>
                <w:webHidden/>
              </w:rPr>
              <w:t>3</w:t>
            </w:r>
            <w:r w:rsidRPr="00C35481">
              <w:rPr>
                <w:noProof/>
                <w:webHidden/>
              </w:rPr>
              <w:fldChar w:fldCharType="end"/>
            </w:r>
          </w:hyperlink>
        </w:p>
        <w:p w14:paraId="629B2D26" w14:textId="15971566" w:rsidR="00C35481" w:rsidRPr="00C35481" w:rsidRDefault="00C35481" w:rsidP="0023797E">
          <w:pPr>
            <w:pStyle w:val="TOC1"/>
            <w:rPr>
              <w:rFonts w:eastAsiaTheme="minorEastAsia"/>
              <w:noProof/>
              <w:kern w:val="2"/>
              <w:lang w:eastAsia="en-GB"/>
              <w14:ligatures w14:val="standardContextual"/>
            </w:rPr>
          </w:pPr>
          <w:hyperlink w:anchor="_Toc192154813" w:history="1">
            <w:r w:rsidRPr="00C35481">
              <w:rPr>
                <w:rStyle w:val="Hyperlink"/>
                <w:rFonts w:ascii="Arial" w:eastAsiaTheme="majorEastAsia" w:hAnsi="Arial" w:cs="Arial"/>
                <w:b/>
                <w:bCs/>
                <w:noProof/>
                <w:sz w:val="28"/>
                <w:szCs w:val="28"/>
              </w:rPr>
              <w:t>4.</w:t>
            </w:r>
            <w:r w:rsidRPr="00C35481">
              <w:rPr>
                <w:rFonts w:eastAsiaTheme="minorEastAsia"/>
                <w:noProof/>
                <w:kern w:val="2"/>
                <w:lang w:eastAsia="en-GB"/>
                <w14:ligatures w14:val="standardContextual"/>
              </w:rPr>
              <w:tab/>
            </w:r>
            <w:r w:rsidRPr="00C35481">
              <w:rPr>
                <w:rStyle w:val="Hyperlink"/>
                <w:rFonts w:ascii="Arial" w:eastAsiaTheme="majorEastAsia" w:hAnsi="Arial" w:cs="Arial"/>
                <w:b/>
                <w:bCs/>
                <w:noProof/>
                <w:sz w:val="28"/>
                <w:szCs w:val="28"/>
              </w:rPr>
              <w:t>Policy Statement</w:t>
            </w:r>
            <w:r w:rsidRPr="00C35481">
              <w:rPr>
                <w:noProof/>
                <w:webHidden/>
              </w:rPr>
              <w:tab/>
            </w:r>
            <w:r w:rsidRPr="00C35481">
              <w:rPr>
                <w:noProof/>
                <w:webHidden/>
              </w:rPr>
              <w:fldChar w:fldCharType="begin"/>
            </w:r>
            <w:r w:rsidRPr="00C35481">
              <w:rPr>
                <w:noProof/>
                <w:webHidden/>
              </w:rPr>
              <w:instrText xml:space="preserve"> PAGEREF _Toc192154813 \h </w:instrText>
            </w:r>
            <w:r w:rsidRPr="00C35481">
              <w:rPr>
                <w:noProof/>
                <w:webHidden/>
              </w:rPr>
            </w:r>
            <w:r w:rsidRPr="00C35481">
              <w:rPr>
                <w:noProof/>
                <w:webHidden/>
              </w:rPr>
              <w:fldChar w:fldCharType="separate"/>
            </w:r>
            <w:r w:rsidR="00222360">
              <w:rPr>
                <w:noProof/>
                <w:webHidden/>
              </w:rPr>
              <w:t>4</w:t>
            </w:r>
            <w:r w:rsidRPr="00C35481">
              <w:rPr>
                <w:noProof/>
                <w:webHidden/>
              </w:rPr>
              <w:fldChar w:fldCharType="end"/>
            </w:r>
          </w:hyperlink>
        </w:p>
        <w:p w14:paraId="761FF26D" w14:textId="49240A6B" w:rsidR="00C35481" w:rsidRPr="00C35481" w:rsidRDefault="00C35481" w:rsidP="0023797E">
          <w:pPr>
            <w:pStyle w:val="TOC1"/>
            <w:rPr>
              <w:rFonts w:eastAsiaTheme="minorEastAsia"/>
              <w:noProof/>
              <w:kern w:val="2"/>
              <w:lang w:eastAsia="en-GB"/>
              <w14:ligatures w14:val="standardContextual"/>
            </w:rPr>
          </w:pPr>
          <w:hyperlink w:anchor="_Toc192154814" w:history="1">
            <w:r w:rsidRPr="00C35481">
              <w:rPr>
                <w:rStyle w:val="Hyperlink"/>
                <w:rFonts w:ascii="Arial" w:eastAsiaTheme="majorEastAsia" w:hAnsi="Arial" w:cs="Arial"/>
                <w:b/>
                <w:bCs/>
                <w:noProof/>
                <w:sz w:val="28"/>
                <w:szCs w:val="28"/>
              </w:rPr>
              <w:t>5.</w:t>
            </w:r>
            <w:r w:rsidRPr="00C35481">
              <w:rPr>
                <w:rFonts w:eastAsiaTheme="minorEastAsia"/>
                <w:noProof/>
                <w:kern w:val="2"/>
                <w:lang w:eastAsia="en-GB"/>
                <w14:ligatures w14:val="standardContextual"/>
              </w:rPr>
              <w:tab/>
            </w:r>
            <w:r w:rsidRPr="00C35481">
              <w:rPr>
                <w:rStyle w:val="Hyperlink"/>
                <w:rFonts w:ascii="Arial" w:eastAsiaTheme="majorEastAsia" w:hAnsi="Arial" w:cs="Arial"/>
                <w:b/>
                <w:bCs/>
                <w:noProof/>
                <w:sz w:val="28"/>
                <w:szCs w:val="28"/>
              </w:rPr>
              <w:t>Development of Policy</w:t>
            </w:r>
            <w:r w:rsidRPr="00C35481">
              <w:rPr>
                <w:noProof/>
                <w:webHidden/>
              </w:rPr>
              <w:tab/>
            </w:r>
            <w:r w:rsidRPr="00C35481">
              <w:rPr>
                <w:noProof/>
                <w:webHidden/>
              </w:rPr>
              <w:fldChar w:fldCharType="begin"/>
            </w:r>
            <w:r w:rsidRPr="00C35481">
              <w:rPr>
                <w:noProof/>
                <w:webHidden/>
              </w:rPr>
              <w:instrText xml:space="preserve"> PAGEREF _Toc192154814 \h </w:instrText>
            </w:r>
            <w:r w:rsidRPr="00C35481">
              <w:rPr>
                <w:noProof/>
                <w:webHidden/>
              </w:rPr>
            </w:r>
            <w:r w:rsidRPr="00C35481">
              <w:rPr>
                <w:noProof/>
                <w:webHidden/>
              </w:rPr>
              <w:fldChar w:fldCharType="separate"/>
            </w:r>
            <w:r w:rsidR="00222360">
              <w:rPr>
                <w:noProof/>
                <w:webHidden/>
              </w:rPr>
              <w:t>7</w:t>
            </w:r>
            <w:r w:rsidRPr="00C35481">
              <w:rPr>
                <w:noProof/>
                <w:webHidden/>
              </w:rPr>
              <w:fldChar w:fldCharType="end"/>
            </w:r>
          </w:hyperlink>
        </w:p>
        <w:p w14:paraId="42A447D1" w14:textId="3B5EDD1F" w:rsidR="00C35481" w:rsidRPr="00C35481" w:rsidRDefault="00C35481" w:rsidP="0023797E">
          <w:pPr>
            <w:pStyle w:val="TOC1"/>
            <w:rPr>
              <w:rFonts w:eastAsiaTheme="minorEastAsia"/>
              <w:noProof/>
              <w:kern w:val="2"/>
              <w:lang w:eastAsia="en-GB"/>
              <w14:ligatures w14:val="standardContextual"/>
            </w:rPr>
          </w:pPr>
          <w:hyperlink w:anchor="_Toc192154815" w:history="1">
            <w:r w:rsidRPr="00C35481">
              <w:rPr>
                <w:rStyle w:val="Hyperlink"/>
                <w:rFonts w:ascii="Arial" w:eastAsiaTheme="majorEastAsia" w:hAnsi="Arial" w:cs="Arial"/>
                <w:b/>
                <w:bCs/>
                <w:noProof/>
                <w:sz w:val="28"/>
                <w:szCs w:val="28"/>
              </w:rPr>
              <w:t>6.</w:t>
            </w:r>
            <w:r w:rsidRPr="00C35481">
              <w:rPr>
                <w:rFonts w:eastAsiaTheme="minorEastAsia"/>
                <w:noProof/>
                <w:kern w:val="2"/>
                <w:lang w:eastAsia="en-GB"/>
                <w14:ligatures w14:val="standardContextual"/>
              </w:rPr>
              <w:tab/>
            </w:r>
            <w:r w:rsidRPr="00C35481">
              <w:rPr>
                <w:rStyle w:val="Hyperlink"/>
                <w:rFonts w:ascii="Arial" w:eastAsiaTheme="majorEastAsia" w:hAnsi="Arial" w:cs="Arial"/>
                <w:b/>
                <w:bCs/>
                <w:noProof/>
                <w:sz w:val="28"/>
                <w:szCs w:val="28"/>
              </w:rPr>
              <w:t>Related Documents</w:t>
            </w:r>
            <w:r w:rsidRPr="00C35481">
              <w:rPr>
                <w:noProof/>
                <w:webHidden/>
              </w:rPr>
              <w:tab/>
            </w:r>
            <w:r w:rsidRPr="00C35481">
              <w:rPr>
                <w:noProof/>
                <w:webHidden/>
              </w:rPr>
              <w:fldChar w:fldCharType="begin"/>
            </w:r>
            <w:r w:rsidRPr="00C35481">
              <w:rPr>
                <w:noProof/>
                <w:webHidden/>
              </w:rPr>
              <w:instrText xml:space="preserve"> PAGEREF _Toc192154815 \h </w:instrText>
            </w:r>
            <w:r w:rsidRPr="00C35481">
              <w:rPr>
                <w:noProof/>
                <w:webHidden/>
              </w:rPr>
            </w:r>
            <w:r w:rsidRPr="00C35481">
              <w:rPr>
                <w:noProof/>
                <w:webHidden/>
              </w:rPr>
              <w:fldChar w:fldCharType="separate"/>
            </w:r>
            <w:r w:rsidR="00222360">
              <w:rPr>
                <w:noProof/>
                <w:webHidden/>
              </w:rPr>
              <w:t>7</w:t>
            </w:r>
            <w:r w:rsidRPr="00C35481">
              <w:rPr>
                <w:noProof/>
                <w:webHidden/>
              </w:rPr>
              <w:fldChar w:fldCharType="end"/>
            </w:r>
          </w:hyperlink>
        </w:p>
        <w:p w14:paraId="3363FF75" w14:textId="0F5E07FD" w:rsidR="00C35481" w:rsidRPr="00C35481" w:rsidRDefault="00C35481" w:rsidP="0023797E">
          <w:pPr>
            <w:pStyle w:val="TOC1"/>
            <w:rPr>
              <w:rFonts w:eastAsiaTheme="minorEastAsia"/>
              <w:noProof/>
              <w:kern w:val="2"/>
              <w:lang w:eastAsia="en-GB"/>
              <w14:ligatures w14:val="standardContextual"/>
            </w:rPr>
          </w:pPr>
          <w:hyperlink w:anchor="_Toc192154816" w:history="1">
            <w:r w:rsidRPr="00C35481">
              <w:rPr>
                <w:rStyle w:val="Hyperlink"/>
                <w:rFonts w:ascii="Arial" w:eastAsiaTheme="majorEastAsia" w:hAnsi="Arial" w:cs="Arial"/>
                <w:b/>
                <w:bCs/>
                <w:noProof/>
                <w:sz w:val="28"/>
                <w:szCs w:val="28"/>
              </w:rPr>
              <w:t>7.</w:t>
            </w:r>
            <w:r w:rsidRPr="00C35481">
              <w:rPr>
                <w:rFonts w:eastAsiaTheme="minorEastAsia"/>
                <w:noProof/>
                <w:kern w:val="2"/>
                <w:lang w:eastAsia="en-GB"/>
                <w14:ligatures w14:val="standardContextual"/>
              </w:rPr>
              <w:tab/>
            </w:r>
            <w:r w:rsidRPr="00C35481">
              <w:rPr>
                <w:rStyle w:val="Hyperlink"/>
                <w:rFonts w:ascii="Arial" w:eastAsiaTheme="majorEastAsia" w:hAnsi="Arial" w:cs="Arial"/>
                <w:b/>
                <w:bCs/>
                <w:noProof/>
                <w:sz w:val="28"/>
                <w:szCs w:val="28"/>
              </w:rPr>
              <w:t>Legal Framework</w:t>
            </w:r>
            <w:r w:rsidRPr="00C35481">
              <w:rPr>
                <w:noProof/>
                <w:webHidden/>
              </w:rPr>
              <w:tab/>
            </w:r>
            <w:r w:rsidRPr="00C35481">
              <w:rPr>
                <w:noProof/>
                <w:webHidden/>
              </w:rPr>
              <w:fldChar w:fldCharType="begin"/>
            </w:r>
            <w:r w:rsidRPr="00C35481">
              <w:rPr>
                <w:noProof/>
                <w:webHidden/>
              </w:rPr>
              <w:instrText xml:space="preserve"> PAGEREF _Toc192154816 \h </w:instrText>
            </w:r>
            <w:r w:rsidRPr="00C35481">
              <w:rPr>
                <w:noProof/>
                <w:webHidden/>
              </w:rPr>
            </w:r>
            <w:r w:rsidRPr="00C35481">
              <w:rPr>
                <w:noProof/>
                <w:webHidden/>
              </w:rPr>
              <w:fldChar w:fldCharType="separate"/>
            </w:r>
            <w:r w:rsidR="00222360">
              <w:rPr>
                <w:noProof/>
                <w:webHidden/>
              </w:rPr>
              <w:t>7</w:t>
            </w:r>
            <w:r w:rsidRPr="00C35481">
              <w:rPr>
                <w:noProof/>
                <w:webHidden/>
              </w:rPr>
              <w:fldChar w:fldCharType="end"/>
            </w:r>
          </w:hyperlink>
        </w:p>
        <w:p w14:paraId="1E4BFFE0" w14:textId="34697409" w:rsidR="00C35481" w:rsidRPr="00C35481" w:rsidRDefault="00C35481" w:rsidP="0023797E">
          <w:pPr>
            <w:pStyle w:val="TOC1"/>
            <w:rPr>
              <w:rFonts w:eastAsiaTheme="minorEastAsia"/>
              <w:noProof/>
              <w:kern w:val="2"/>
              <w:lang w:eastAsia="en-GB"/>
              <w14:ligatures w14:val="standardContextual"/>
            </w:rPr>
          </w:pPr>
          <w:hyperlink w:anchor="_Toc192154817" w:history="1">
            <w:r w:rsidRPr="00C35481">
              <w:rPr>
                <w:rStyle w:val="Hyperlink"/>
                <w:rFonts w:ascii="Arial" w:eastAsiaTheme="majorEastAsia" w:hAnsi="Arial" w:cs="Arial"/>
                <w:b/>
                <w:bCs/>
                <w:noProof/>
                <w:sz w:val="28"/>
                <w:szCs w:val="28"/>
              </w:rPr>
              <w:t>8.</w:t>
            </w:r>
            <w:r w:rsidRPr="00C35481">
              <w:rPr>
                <w:rFonts w:eastAsiaTheme="minorEastAsia"/>
                <w:noProof/>
                <w:kern w:val="2"/>
                <w:lang w:eastAsia="en-GB"/>
                <w14:ligatures w14:val="standardContextual"/>
              </w:rPr>
              <w:tab/>
            </w:r>
            <w:r w:rsidRPr="00C35481">
              <w:rPr>
                <w:rStyle w:val="Hyperlink"/>
                <w:rFonts w:ascii="Arial" w:eastAsiaTheme="majorEastAsia" w:hAnsi="Arial" w:cs="Arial"/>
                <w:b/>
                <w:bCs/>
                <w:noProof/>
                <w:sz w:val="28"/>
                <w:szCs w:val="28"/>
              </w:rPr>
              <w:t>Equality and Diversity</w:t>
            </w:r>
            <w:r w:rsidRPr="00C35481">
              <w:rPr>
                <w:noProof/>
                <w:webHidden/>
              </w:rPr>
              <w:tab/>
            </w:r>
            <w:r w:rsidRPr="00C35481">
              <w:rPr>
                <w:noProof/>
                <w:webHidden/>
              </w:rPr>
              <w:fldChar w:fldCharType="begin"/>
            </w:r>
            <w:r w:rsidRPr="00C35481">
              <w:rPr>
                <w:noProof/>
                <w:webHidden/>
              </w:rPr>
              <w:instrText xml:space="preserve"> PAGEREF _Toc192154817 \h </w:instrText>
            </w:r>
            <w:r w:rsidRPr="00C35481">
              <w:rPr>
                <w:noProof/>
                <w:webHidden/>
              </w:rPr>
            </w:r>
            <w:r w:rsidRPr="00C35481">
              <w:rPr>
                <w:noProof/>
                <w:webHidden/>
              </w:rPr>
              <w:fldChar w:fldCharType="separate"/>
            </w:r>
            <w:r w:rsidR="00222360">
              <w:rPr>
                <w:noProof/>
                <w:webHidden/>
              </w:rPr>
              <w:t>9</w:t>
            </w:r>
            <w:r w:rsidRPr="00C35481">
              <w:rPr>
                <w:noProof/>
                <w:webHidden/>
              </w:rPr>
              <w:fldChar w:fldCharType="end"/>
            </w:r>
          </w:hyperlink>
        </w:p>
        <w:p w14:paraId="64A3FC14" w14:textId="162AB6A4" w:rsidR="00C35481" w:rsidRPr="00C35481" w:rsidRDefault="00C35481" w:rsidP="0023797E">
          <w:pPr>
            <w:pStyle w:val="TOC1"/>
            <w:rPr>
              <w:rFonts w:eastAsiaTheme="minorEastAsia"/>
              <w:noProof/>
              <w:kern w:val="2"/>
              <w:lang w:eastAsia="en-GB"/>
              <w14:ligatures w14:val="standardContextual"/>
            </w:rPr>
          </w:pPr>
          <w:hyperlink w:anchor="_Toc192154818" w:history="1">
            <w:r w:rsidRPr="00C35481">
              <w:rPr>
                <w:rStyle w:val="Hyperlink"/>
                <w:rFonts w:ascii="Arial" w:eastAsiaTheme="majorEastAsia" w:hAnsi="Arial" w:cs="Arial"/>
                <w:b/>
                <w:bCs/>
                <w:noProof/>
                <w:sz w:val="28"/>
                <w:szCs w:val="28"/>
              </w:rPr>
              <w:t>9.</w:t>
            </w:r>
            <w:r w:rsidRPr="00C35481">
              <w:rPr>
                <w:rFonts w:eastAsiaTheme="minorEastAsia"/>
                <w:noProof/>
                <w:kern w:val="2"/>
                <w:lang w:eastAsia="en-GB"/>
                <w14:ligatures w14:val="standardContextual"/>
              </w:rPr>
              <w:tab/>
            </w:r>
            <w:r w:rsidRPr="00C35481">
              <w:rPr>
                <w:rStyle w:val="Hyperlink"/>
                <w:rFonts w:ascii="Arial" w:eastAsiaTheme="majorEastAsia" w:hAnsi="Arial" w:cs="Arial"/>
                <w:b/>
                <w:bCs/>
                <w:noProof/>
                <w:sz w:val="28"/>
                <w:szCs w:val="28"/>
              </w:rPr>
              <w:t>Monitoring and Review</w:t>
            </w:r>
            <w:r w:rsidRPr="00C35481">
              <w:rPr>
                <w:noProof/>
                <w:webHidden/>
              </w:rPr>
              <w:tab/>
            </w:r>
            <w:r w:rsidRPr="00C35481">
              <w:rPr>
                <w:noProof/>
                <w:webHidden/>
              </w:rPr>
              <w:fldChar w:fldCharType="begin"/>
            </w:r>
            <w:r w:rsidRPr="00C35481">
              <w:rPr>
                <w:noProof/>
                <w:webHidden/>
              </w:rPr>
              <w:instrText xml:space="preserve"> PAGEREF _Toc192154818 \h </w:instrText>
            </w:r>
            <w:r w:rsidRPr="00C35481">
              <w:rPr>
                <w:noProof/>
                <w:webHidden/>
              </w:rPr>
            </w:r>
            <w:r w:rsidRPr="00C35481">
              <w:rPr>
                <w:noProof/>
                <w:webHidden/>
              </w:rPr>
              <w:fldChar w:fldCharType="separate"/>
            </w:r>
            <w:r w:rsidR="00222360">
              <w:rPr>
                <w:noProof/>
                <w:webHidden/>
              </w:rPr>
              <w:t>10</w:t>
            </w:r>
            <w:r w:rsidRPr="00C35481">
              <w:rPr>
                <w:noProof/>
                <w:webHidden/>
              </w:rPr>
              <w:fldChar w:fldCharType="end"/>
            </w:r>
          </w:hyperlink>
        </w:p>
        <w:p w14:paraId="020A84F4" w14:textId="3E6029D7" w:rsidR="00C35481" w:rsidRPr="00C35481" w:rsidRDefault="00C35481" w:rsidP="0023797E">
          <w:pPr>
            <w:pStyle w:val="TOC1"/>
            <w:rPr>
              <w:rFonts w:eastAsiaTheme="minorEastAsia"/>
              <w:noProof/>
              <w:kern w:val="2"/>
              <w:lang w:eastAsia="en-GB"/>
              <w14:ligatures w14:val="standardContextual"/>
            </w:rPr>
          </w:pPr>
          <w:hyperlink w:anchor="_Toc192154819" w:history="1">
            <w:r w:rsidRPr="00C35481">
              <w:rPr>
                <w:rStyle w:val="Hyperlink"/>
                <w:rFonts w:ascii="Arial" w:eastAsiaTheme="majorEastAsia" w:hAnsi="Arial" w:cs="Arial"/>
                <w:b/>
                <w:bCs/>
                <w:noProof/>
                <w:sz w:val="28"/>
                <w:szCs w:val="28"/>
              </w:rPr>
              <w:t>10.</w:t>
            </w:r>
            <w:r w:rsidRPr="00C35481">
              <w:rPr>
                <w:rFonts w:eastAsiaTheme="minorEastAsia"/>
                <w:noProof/>
                <w:kern w:val="2"/>
                <w:lang w:eastAsia="en-GB"/>
                <w14:ligatures w14:val="standardContextual"/>
              </w:rPr>
              <w:tab/>
            </w:r>
            <w:r w:rsidRPr="00C35481">
              <w:rPr>
                <w:rStyle w:val="Hyperlink"/>
                <w:rFonts w:ascii="Arial" w:eastAsiaTheme="majorEastAsia" w:hAnsi="Arial" w:cs="Arial"/>
                <w:b/>
                <w:bCs/>
                <w:noProof/>
                <w:sz w:val="28"/>
                <w:szCs w:val="28"/>
              </w:rPr>
              <w:t>Policy Document Version Control</w:t>
            </w:r>
            <w:r w:rsidRPr="00C35481">
              <w:rPr>
                <w:noProof/>
                <w:webHidden/>
              </w:rPr>
              <w:tab/>
            </w:r>
            <w:r w:rsidRPr="00C35481">
              <w:rPr>
                <w:noProof/>
                <w:webHidden/>
              </w:rPr>
              <w:fldChar w:fldCharType="begin"/>
            </w:r>
            <w:r w:rsidRPr="00C35481">
              <w:rPr>
                <w:noProof/>
                <w:webHidden/>
              </w:rPr>
              <w:instrText xml:space="preserve"> PAGEREF _Toc192154819 \h </w:instrText>
            </w:r>
            <w:r w:rsidRPr="00C35481">
              <w:rPr>
                <w:noProof/>
                <w:webHidden/>
              </w:rPr>
            </w:r>
            <w:r w:rsidRPr="00C35481">
              <w:rPr>
                <w:noProof/>
                <w:webHidden/>
              </w:rPr>
              <w:fldChar w:fldCharType="separate"/>
            </w:r>
            <w:r w:rsidR="00222360">
              <w:rPr>
                <w:noProof/>
                <w:webHidden/>
              </w:rPr>
              <w:t>10</w:t>
            </w:r>
            <w:r w:rsidRPr="00C35481">
              <w:rPr>
                <w:noProof/>
                <w:webHidden/>
              </w:rPr>
              <w:fldChar w:fldCharType="end"/>
            </w:r>
          </w:hyperlink>
        </w:p>
        <w:p w14:paraId="0C6A57A1" w14:textId="689B3784" w:rsidR="00A00C18" w:rsidRDefault="00A00C18" w:rsidP="00A00C18">
          <w:pPr>
            <w:rPr>
              <w:b/>
              <w:bCs/>
              <w:noProof/>
            </w:rPr>
          </w:pPr>
          <w:r w:rsidRPr="00C35481">
            <w:rPr>
              <w:rFonts w:ascii="Arial" w:hAnsi="Arial" w:cs="Arial"/>
              <w:b/>
              <w:bCs/>
              <w:noProof/>
              <w:sz w:val="28"/>
              <w:szCs w:val="28"/>
            </w:rPr>
            <w:fldChar w:fldCharType="end"/>
          </w:r>
        </w:p>
      </w:sdtContent>
    </w:sdt>
    <w:p w14:paraId="0D9567F4" w14:textId="59A264EB" w:rsidR="00DD7CAE" w:rsidRDefault="00DD7CAE"/>
    <w:p w14:paraId="1EA109F7" w14:textId="77777777" w:rsidR="00DD7CAE" w:rsidRDefault="00DD7CAE"/>
    <w:p w14:paraId="08851F56" w14:textId="77777777" w:rsidR="00DD7CAE" w:rsidRDefault="00DD7CAE"/>
    <w:p w14:paraId="5BC0DB41" w14:textId="77777777" w:rsidR="00DD7CAE" w:rsidRDefault="00DD7CAE"/>
    <w:p w14:paraId="775AC2D8" w14:textId="77777777" w:rsidR="00A00C18" w:rsidRDefault="00A00C18"/>
    <w:p w14:paraId="2CBE8879" w14:textId="77777777" w:rsidR="00A00C18" w:rsidRDefault="00A00C18"/>
    <w:p w14:paraId="511CECE3" w14:textId="77777777" w:rsidR="00A00C18" w:rsidRDefault="00A00C18"/>
    <w:p w14:paraId="0E2CB233" w14:textId="77777777" w:rsidR="00A00C18" w:rsidRDefault="00A00C18"/>
    <w:p w14:paraId="67CB91F6" w14:textId="77777777" w:rsidR="00A00C18" w:rsidRDefault="00A00C18"/>
    <w:p w14:paraId="572FBFE8" w14:textId="77777777" w:rsidR="00A00C18" w:rsidRDefault="00A00C18"/>
    <w:p w14:paraId="418E5CBA" w14:textId="77777777" w:rsidR="00A00C18" w:rsidRDefault="00A00C18"/>
    <w:p w14:paraId="3CBF2B6B" w14:textId="77777777" w:rsidR="00A00C18" w:rsidRDefault="00A00C18"/>
    <w:p w14:paraId="2751FD11" w14:textId="77777777" w:rsidR="00A00C18" w:rsidRDefault="00A00C18"/>
    <w:p w14:paraId="6228E72D" w14:textId="77777777" w:rsidR="00A00C18" w:rsidRDefault="00A00C18"/>
    <w:p w14:paraId="7A55F87B" w14:textId="77777777" w:rsidR="00A00C18" w:rsidRDefault="00A00C18"/>
    <w:p w14:paraId="2DDBC055" w14:textId="77777777" w:rsidR="00A00C18" w:rsidRDefault="00A00C18"/>
    <w:p w14:paraId="0B784EE1" w14:textId="77777777" w:rsidR="00A00C18" w:rsidRDefault="00A00C18"/>
    <w:p w14:paraId="23D54469" w14:textId="74BA1F58" w:rsidR="00775A60" w:rsidRPr="00E55121" w:rsidRDefault="00A00C18" w:rsidP="00775A60">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0" w:name="_Toc192154810"/>
      <w:bookmarkStart w:id="1" w:name="_Hlk165643217"/>
      <w:r w:rsidRPr="00E55121">
        <w:rPr>
          <w:rFonts w:ascii="Arial" w:eastAsiaTheme="majorEastAsia" w:hAnsi="Arial" w:cs="Arial"/>
          <w:b/>
          <w:bCs/>
          <w:color w:val="2F5496" w:themeColor="accent1" w:themeShade="BF"/>
          <w:sz w:val="28"/>
          <w:szCs w:val="28"/>
        </w:rPr>
        <w:lastRenderedPageBreak/>
        <w:t>Purpose</w:t>
      </w:r>
      <w:bookmarkEnd w:id="0"/>
    </w:p>
    <w:bookmarkEnd w:id="1"/>
    <w:p w14:paraId="0765C92E" w14:textId="77777777" w:rsidR="00775A60" w:rsidRPr="00E55121" w:rsidRDefault="00775A60" w:rsidP="00775A60">
      <w:pPr>
        <w:keepNext/>
        <w:keepLines/>
        <w:spacing w:after="0"/>
        <w:ind w:left="360"/>
        <w:outlineLvl w:val="0"/>
        <w:rPr>
          <w:rFonts w:ascii="Arial" w:eastAsiaTheme="majorEastAsia" w:hAnsi="Arial" w:cs="Arial"/>
          <w:b/>
          <w:bCs/>
          <w:color w:val="2F5496" w:themeColor="accent1" w:themeShade="BF"/>
          <w:sz w:val="28"/>
          <w:szCs w:val="28"/>
        </w:rPr>
      </w:pPr>
    </w:p>
    <w:p w14:paraId="48E3716B" w14:textId="45901B93" w:rsidR="00D57A8A" w:rsidRDefault="00D975D6" w:rsidP="001D6288">
      <w:pPr>
        <w:pStyle w:val="ListParagraph"/>
        <w:numPr>
          <w:ilvl w:val="1"/>
          <w:numId w:val="1"/>
        </w:numPr>
        <w:ind w:left="426" w:hanging="568"/>
        <w:rPr>
          <w:rFonts w:ascii="Arial" w:eastAsiaTheme="majorEastAsia" w:hAnsi="Arial" w:cs="Arial"/>
          <w:sz w:val="28"/>
          <w:szCs w:val="28"/>
        </w:rPr>
      </w:pPr>
      <w:r>
        <w:rPr>
          <w:rFonts w:ascii="Arial" w:eastAsiaTheme="majorEastAsia" w:hAnsi="Arial" w:cs="Arial"/>
          <w:sz w:val="28"/>
          <w:szCs w:val="28"/>
        </w:rPr>
        <w:t>T</w:t>
      </w:r>
      <w:r w:rsidRPr="00D975D6">
        <w:rPr>
          <w:rFonts w:ascii="Arial" w:eastAsiaTheme="majorEastAsia" w:hAnsi="Arial" w:cs="Arial"/>
          <w:sz w:val="28"/>
          <w:szCs w:val="28"/>
        </w:rPr>
        <w:t>his policy sets out the position of Sandwell Council with regard to tenancy fraud, outlining the procedures for its prevention, detection, reporting, and investigation.</w:t>
      </w:r>
    </w:p>
    <w:p w14:paraId="4E106B9B" w14:textId="77777777" w:rsidR="00222360" w:rsidRPr="00222360" w:rsidRDefault="00222360" w:rsidP="00222360">
      <w:pPr>
        <w:pStyle w:val="ListParagraph"/>
        <w:ind w:left="360"/>
        <w:rPr>
          <w:rFonts w:ascii="Arial" w:eastAsiaTheme="majorEastAsia" w:hAnsi="Arial" w:cs="Arial"/>
          <w:sz w:val="28"/>
          <w:szCs w:val="28"/>
        </w:rPr>
      </w:pPr>
    </w:p>
    <w:p w14:paraId="4EAB820F" w14:textId="5A02CB46" w:rsidR="00D57A8A" w:rsidRPr="00E55121" w:rsidRDefault="00D975D6" w:rsidP="001C1F3F">
      <w:pPr>
        <w:pStyle w:val="ListParagraph"/>
        <w:numPr>
          <w:ilvl w:val="1"/>
          <w:numId w:val="1"/>
        </w:numPr>
        <w:ind w:left="426" w:hanging="568"/>
        <w:rPr>
          <w:rFonts w:ascii="Arial" w:eastAsiaTheme="majorEastAsia" w:hAnsi="Arial" w:cs="Arial"/>
          <w:sz w:val="28"/>
          <w:szCs w:val="28"/>
        </w:rPr>
      </w:pPr>
      <w:r w:rsidRPr="00D975D6">
        <w:rPr>
          <w:rFonts w:ascii="Arial" w:eastAsiaTheme="majorEastAsia" w:hAnsi="Arial" w:cs="Arial"/>
          <w:sz w:val="28"/>
          <w:szCs w:val="28"/>
        </w:rPr>
        <w:t>In view of the limited availability of social housing, Sandwell Council is committed to ensuring that its housing stock is allocated to those who are most in need and to individuals for whom it is specifically intended. The Council acknowledges that the prevention and elimination of tenancy fraud is an essential measure in attaining this objective.</w:t>
      </w:r>
    </w:p>
    <w:p w14:paraId="53244269" w14:textId="77777777" w:rsidR="00A51045" w:rsidRPr="00E55121" w:rsidRDefault="00A51045" w:rsidP="00A51045">
      <w:pPr>
        <w:pStyle w:val="ListParagraph"/>
        <w:rPr>
          <w:rFonts w:ascii="Arial" w:eastAsiaTheme="majorEastAsia" w:hAnsi="Arial" w:cs="Arial"/>
          <w:sz w:val="28"/>
          <w:szCs w:val="28"/>
        </w:rPr>
      </w:pPr>
    </w:p>
    <w:p w14:paraId="76974F70" w14:textId="0712FDCC" w:rsidR="00775A60" w:rsidRPr="00E55121" w:rsidRDefault="00DC3EDD" w:rsidP="00A00C18">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2" w:name="_Toc192154811"/>
      <w:bookmarkStart w:id="3" w:name="_Hlk164762292"/>
      <w:r w:rsidRPr="00E55121">
        <w:rPr>
          <w:rFonts w:ascii="Arial" w:eastAsiaTheme="majorEastAsia" w:hAnsi="Arial" w:cs="Arial"/>
          <w:b/>
          <w:bCs/>
          <w:color w:val="2F5496" w:themeColor="accent1" w:themeShade="BF"/>
          <w:sz w:val="28"/>
          <w:szCs w:val="28"/>
        </w:rPr>
        <w:t>Scope</w:t>
      </w:r>
      <w:bookmarkEnd w:id="2"/>
    </w:p>
    <w:bookmarkEnd w:id="3"/>
    <w:p w14:paraId="3B6C266F" w14:textId="77777777" w:rsidR="00DC3EDD" w:rsidRPr="00E55121" w:rsidRDefault="00DC3EDD" w:rsidP="00DC3EDD">
      <w:pPr>
        <w:keepNext/>
        <w:keepLines/>
        <w:spacing w:after="0"/>
        <w:outlineLvl w:val="0"/>
        <w:rPr>
          <w:rFonts w:ascii="Arial" w:eastAsiaTheme="majorEastAsia" w:hAnsi="Arial" w:cs="Arial"/>
          <w:b/>
          <w:bCs/>
          <w:color w:val="2F5496" w:themeColor="accent1" w:themeShade="BF"/>
          <w:sz w:val="28"/>
          <w:szCs w:val="28"/>
        </w:rPr>
      </w:pPr>
    </w:p>
    <w:p w14:paraId="7802D6EE" w14:textId="2B03379C" w:rsidR="00EA6229" w:rsidRPr="00E55121" w:rsidRDefault="00DC3EDD" w:rsidP="00097658">
      <w:pPr>
        <w:pStyle w:val="ListParagraph"/>
        <w:numPr>
          <w:ilvl w:val="1"/>
          <w:numId w:val="1"/>
        </w:numPr>
        <w:ind w:left="567" w:hanging="567"/>
        <w:rPr>
          <w:rFonts w:ascii="Arial" w:hAnsi="Arial" w:cs="Arial"/>
          <w:sz w:val="28"/>
          <w:szCs w:val="28"/>
        </w:rPr>
      </w:pPr>
      <w:bookmarkStart w:id="4" w:name="_Hlk165644256"/>
      <w:r w:rsidRPr="00E55121">
        <w:rPr>
          <w:rFonts w:ascii="Arial" w:hAnsi="Arial" w:cs="Arial"/>
          <w:sz w:val="28"/>
          <w:szCs w:val="28"/>
        </w:rPr>
        <w:t>T</w:t>
      </w:r>
      <w:r w:rsidR="00D57A8A" w:rsidRPr="00E55121">
        <w:rPr>
          <w:rFonts w:ascii="Arial" w:hAnsi="Arial" w:cs="Arial"/>
          <w:sz w:val="28"/>
          <w:szCs w:val="28"/>
        </w:rPr>
        <w:t xml:space="preserve">his </w:t>
      </w:r>
      <w:r w:rsidRPr="00E55121">
        <w:rPr>
          <w:rFonts w:ascii="Arial" w:hAnsi="Arial" w:cs="Arial"/>
          <w:sz w:val="28"/>
          <w:szCs w:val="28"/>
        </w:rPr>
        <w:t>policy appl</w:t>
      </w:r>
      <w:r w:rsidR="00D57A8A" w:rsidRPr="00E55121">
        <w:rPr>
          <w:rFonts w:ascii="Arial" w:hAnsi="Arial" w:cs="Arial"/>
          <w:sz w:val="28"/>
          <w:szCs w:val="28"/>
        </w:rPr>
        <w:t>ies to anyone who commits, or attempts to commit, fr</w:t>
      </w:r>
      <w:r w:rsidR="00925D80">
        <w:rPr>
          <w:rFonts w:ascii="Arial" w:hAnsi="Arial" w:cs="Arial"/>
          <w:sz w:val="28"/>
          <w:szCs w:val="28"/>
        </w:rPr>
        <w:t>a</w:t>
      </w:r>
      <w:r w:rsidR="00D57A8A" w:rsidRPr="00E55121">
        <w:rPr>
          <w:rFonts w:ascii="Arial" w:hAnsi="Arial" w:cs="Arial"/>
          <w:sz w:val="28"/>
          <w:szCs w:val="28"/>
        </w:rPr>
        <w:t xml:space="preserve">ud relating to the granting of a Sandwell Council tenancy. </w:t>
      </w:r>
      <w:bookmarkEnd w:id="4"/>
    </w:p>
    <w:p w14:paraId="1BD840F7" w14:textId="565BE215" w:rsidR="00236900" w:rsidRPr="00E55121" w:rsidRDefault="00236900" w:rsidP="001308C6">
      <w:pPr>
        <w:pStyle w:val="ListParagraph"/>
        <w:ind w:left="567"/>
        <w:rPr>
          <w:rFonts w:ascii="Arial" w:hAnsi="Arial" w:cs="Arial"/>
          <w:sz w:val="28"/>
          <w:szCs w:val="28"/>
        </w:rPr>
      </w:pPr>
    </w:p>
    <w:p w14:paraId="58227565" w14:textId="499791F1" w:rsidR="003D2B21" w:rsidRPr="00E55121" w:rsidRDefault="00866512" w:rsidP="00AA61DE">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5" w:name="_Toc192154812"/>
      <w:r w:rsidRPr="00E55121">
        <w:rPr>
          <w:rFonts w:ascii="Arial" w:eastAsiaTheme="majorEastAsia" w:hAnsi="Arial" w:cs="Arial"/>
          <w:b/>
          <w:bCs/>
          <w:color w:val="2F5496" w:themeColor="accent1" w:themeShade="BF"/>
          <w:sz w:val="28"/>
          <w:szCs w:val="28"/>
        </w:rPr>
        <w:t xml:space="preserve">What is </w:t>
      </w:r>
      <w:r w:rsidR="00492BB1" w:rsidRPr="00E55121">
        <w:rPr>
          <w:rFonts w:ascii="Arial" w:eastAsiaTheme="majorEastAsia" w:hAnsi="Arial" w:cs="Arial"/>
          <w:b/>
          <w:bCs/>
          <w:color w:val="2F5496" w:themeColor="accent1" w:themeShade="BF"/>
          <w:sz w:val="28"/>
          <w:szCs w:val="28"/>
        </w:rPr>
        <w:t>Tenancy Fraud</w:t>
      </w:r>
      <w:r w:rsidRPr="00E55121">
        <w:rPr>
          <w:rFonts w:ascii="Arial" w:eastAsiaTheme="majorEastAsia" w:hAnsi="Arial" w:cs="Arial"/>
          <w:b/>
          <w:bCs/>
          <w:color w:val="2F5496" w:themeColor="accent1" w:themeShade="BF"/>
          <w:sz w:val="28"/>
          <w:szCs w:val="28"/>
        </w:rPr>
        <w:t>?</w:t>
      </w:r>
      <w:bookmarkEnd w:id="5"/>
    </w:p>
    <w:p w14:paraId="1C5C8804" w14:textId="77777777" w:rsidR="00AA61DE" w:rsidRPr="00E55121" w:rsidRDefault="00AA61DE" w:rsidP="00AA61DE">
      <w:pPr>
        <w:keepNext/>
        <w:keepLines/>
        <w:spacing w:after="0"/>
        <w:ind w:left="360"/>
        <w:outlineLvl w:val="0"/>
        <w:rPr>
          <w:rFonts w:ascii="Arial" w:eastAsiaTheme="majorEastAsia" w:hAnsi="Arial" w:cs="Arial"/>
          <w:b/>
          <w:bCs/>
          <w:color w:val="2F5496" w:themeColor="accent1" w:themeShade="BF"/>
          <w:sz w:val="28"/>
          <w:szCs w:val="28"/>
        </w:rPr>
      </w:pPr>
    </w:p>
    <w:p w14:paraId="50B8F8BC" w14:textId="08B5E106" w:rsidR="00994E5A" w:rsidRPr="00994E5A" w:rsidRDefault="00C35481" w:rsidP="00994E5A">
      <w:pPr>
        <w:pStyle w:val="ListParagraph"/>
        <w:ind w:left="360" w:hanging="360"/>
        <w:rPr>
          <w:rFonts w:ascii="Arial" w:hAnsi="Arial" w:cs="Arial"/>
          <w:sz w:val="28"/>
          <w:szCs w:val="28"/>
        </w:rPr>
      </w:pPr>
      <w:bookmarkStart w:id="6" w:name="_Hlk164766688"/>
      <w:r>
        <w:rPr>
          <w:rFonts w:ascii="Arial" w:hAnsi="Arial" w:cs="Arial"/>
          <w:sz w:val="28"/>
          <w:szCs w:val="28"/>
        </w:rPr>
        <w:t>3</w:t>
      </w:r>
      <w:r w:rsidR="00F72EC1" w:rsidRPr="00E55121">
        <w:rPr>
          <w:rFonts w:ascii="Arial" w:hAnsi="Arial" w:cs="Arial"/>
          <w:sz w:val="28"/>
          <w:szCs w:val="28"/>
        </w:rPr>
        <w:t xml:space="preserve">.1  </w:t>
      </w:r>
      <w:r w:rsidR="00994E5A" w:rsidRPr="00994E5A">
        <w:rPr>
          <w:rFonts w:ascii="Arial" w:hAnsi="Arial" w:cs="Arial"/>
          <w:sz w:val="28"/>
          <w:szCs w:val="28"/>
        </w:rPr>
        <w:t>Sandwell Council considers tenancy fraud to encompass the following activities:</w:t>
      </w:r>
    </w:p>
    <w:p w14:paraId="632B3549" w14:textId="77777777" w:rsidR="00994E5A" w:rsidRPr="00994E5A" w:rsidRDefault="00994E5A" w:rsidP="00994E5A">
      <w:pPr>
        <w:pStyle w:val="ListParagraph"/>
        <w:numPr>
          <w:ilvl w:val="0"/>
          <w:numId w:val="41"/>
        </w:numPr>
        <w:rPr>
          <w:rFonts w:ascii="Arial" w:hAnsi="Arial" w:cs="Arial"/>
          <w:sz w:val="28"/>
          <w:szCs w:val="28"/>
        </w:rPr>
      </w:pPr>
      <w:r w:rsidRPr="00994E5A">
        <w:rPr>
          <w:rFonts w:ascii="Arial" w:hAnsi="Arial" w:cs="Arial"/>
          <w:sz w:val="28"/>
          <w:szCs w:val="28"/>
        </w:rPr>
        <w:t>Subletting the entire property (whether for profit or not), including through platforms such as Airbnb, estate agents, or other third-party agencies.</w:t>
      </w:r>
    </w:p>
    <w:p w14:paraId="0BA82E6E" w14:textId="77777777" w:rsidR="00994E5A" w:rsidRPr="00994E5A" w:rsidRDefault="00994E5A" w:rsidP="00994E5A">
      <w:pPr>
        <w:pStyle w:val="ListParagraph"/>
        <w:numPr>
          <w:ilvl w:val="0"/>
          <w:numId w:val="41"/>
        </w:numPr>
        <w:rPr>
          <w:rFonts w:ascii="Arial" w:hAnsi="Arial" w:cs="Arial"/>
          <w:sz w:val="28"/>
          <w:szCs w:val="28"/>
        </w:rPr>
      </w:pPr>
      <w:r w:rsidRPr="00994E5A">
        <w:rPr>
          <w:rFonts w:ascii="Arial" w:hAnsi="Arial" w:cs="Arial"/>
          <w:sz w:val="28"/>
          <w:szCs w:val="28"/>
        </w:rPr>
        <w:t>Subletting part of the property where such action is prohibited under the tenancy agreement or requires prior consent from the Council.</w:t>
      </w:r>
    </w:p>
    <w:p w14:paraId="4E09DD92" w14:textId="77777777" w:rsidR="00994E5A" w:rsidRPr="00994E5A" w:rsidRDefault="00994E5A" w:rsidP="00994E5A">
      <w:pPr>
        <w:pStyle w:val="ListParagraph"/>
        <w:numPr>
          <w:ilvl w:val="0"/>
          <w:numId w:val="41"/>
        </w:numPr>
        <w:rPr>
          <w:rFonts w:ascii="Arial" w:hAnsi="Arial" w:cs="Arial"/>
          <w:sz w:val="28"/>
          <w:szCs w:val="28"/>
        </w:rPr>
      </w:pPr>
      <w:r w:rsidRPr="00994E5A">
        <w:rPr>
          <w:rFonts w:ascii="Arial" w:hAnsi="Arial" w:cs="Arial"/>
          <w:sz w:val="28"/>
          <w:szCs w:val="28"/>
        </w:rPr>
        <w:t>Vacating the property and permitting members of the tenant’s family to occupy it.</w:t>
      </w:r>
    </w:p>
    <w:p w14:paraId="6B85F8F0" w14:textId="77777777" w:rsidR="00994E5A" w:rsidRPr="00994E5A" w:rsidRDefault="00994E5A" w:rsidP="00994E5A">
      <w:pPr>
        <w:pStyle w:val="ListParagraph"/>
        <w:numPr>
          <w:ilvl w:val="0"/>
          <w:numId w:val="41"/>
        </w:numPr>
        <w:rPr>
          <w:rFonts w:ascii="Arial" w:hAnsi="Arial" w:cs="Arial"/>
          <w:sz w:val="28"/>
          <w:szCs w:val="28"/>
        </w:rPr>
      </w:pPr>
      <w:r w:rsidRPr="00994E5A">
        <w:rPr>
          <w:rFonts w:ascii="Arial" w:hAnsi="Arial" w:cs="Arial"/>
          <w:sz w:val="28"/>
          <w:szCs w:val="28"/>
        </w:rPr>
        <w:t>Misrepresentation by the tenant (or by a third party on their behalf, even if the tenant is unaware) which results in the offer and acceptance of a property.</w:t>
      </w:r>
    </w:p>
    <w:p w14:paraId="0DABF34C" w14:textId="77777777" w:rsidR="00994E5A" w:rsidRPr="00994E5A" w:rsidRDefault="00994E5A" w:rsidP="00994E5A">
      <w:pPr>
        <w:pStyle w:val="ListParagraph"/>
        <w:numPr>
          <w:ilvl w:val="0"/>
          <w:numId w:val="41"/>
        </w:numPr>
        <w:rPr>
          <w:rFonts w:ascii="Arial" w:hAnsi="Arial" w:cs="Arial"/>
          <w:sz w:val="28"/>
          <w:szCs w:val="28"/>
        </w:rPr>
      </w:pPr>
      <w:r w:rsidRPr="00994E5A">
        <w:rPr>
          <w:rFonts w:ascii="Arial" w:hAnsi="Arial" w:cs="Arial"/>
          <w:sz w:val="28"/>
          <w:szCs w:val="28"/>
        </w:rPr>
        <w:t>Selling or transferring the keys to a property, including during a mutual exchange.</w:t>
      </w:r>
    </w:p>
    <w:p w14:paraId="18A15180" w14:textId="77777777" w:rsidR="00994E5A" w:rsidRPr="00994E5A" w:rsidRDefault="00994E5A" w:rsidP="00994E5A">
      <w:pPr>
        <w:pStyle w:val="ListParagraph"/>
        <w:numPr>
          <w:ilvl w:val="0"/>
          <w:numId w:val="41"/>
        </w:numPr>
        <w:rPr>
          <w:rFonts w:ascii="Arial" w:hAnsi="Arial" w:cs="Arial"/>
          <w:sz w:val="28"/>
          <w:szCs w:val="28"/>
        </w:rPr>
      </w:pPr>
      <w:r w:rsidRPr="00994E5A">
        <w:rPr>
          <w:rFonts w:ascii="Arial" w:hAnsi="Arial" w:cs="Arial"/>
          <w:sz w:val="28"/>
          <w:szCs w:val="28"/>
        </w:rPr>
        <w:t>Assigning the tenancy to an individual who is not entitled to it and without the Council's consent.</w:t>
      </w:r>
    </w:p>
    <w:p w14:paraId="7FC05963" w14:textId="77777777" w:rsidR="00994E5A" w:rsidRPr="00994E5A" w:rsidRDefault="00994E5A" w:rsidP="00994E5A">
      <w:pPr>
        <w:pStyle w:val="ListParagraph"/>
        <w:numPr>
          <w:ilvl w:val="0"/>
          <w:numId w:val="41"/>
        </w:numPr>
        <w:rPr>
          <w:rFonts w:ascii="Arial" w:hAnsi="Arial" w:cs="Arial"/>
          <w:sz w:val="28"/>
          <w:szCs w:val="28"/>
        </w:rPr>
      </w:pPr>
      <w:r w:rsidRPr="00994E5A">
        <w:rPr>
          <w:rFonts w:ascii="Arial" w:hAnsi="Arial" w:cs="Arial"/>
          <w:sz w:val="28"/>
          <w:szCs w:val="28"/>
        </w:rPr>
        <w:lastRenderedPageBreak/>
        <w:t>Making false applications leading to the succession of a tenancy following the tenant’s death.</w:t>
      </w:r>
    </w:p>
    <w:p w14:paraId="11322C85" w14:textId="77777777" w:rsidR="00994E5A" w:rsidRPr="00994E5A" w:rsidRDefault="00994E5A" w:rsidP="00994E5A">
      <w:pPr>
        <w:pStyle w:val="ListParagraph"/>
        <w:numPr>
          <w:ilvl w:val="0"/>
          <w:numId w:val="41"/>
        </w:numPr>
        <w:rPr>
          <w:rFonts w:ascii="Arial" w:hAnsi="Arial" w:cs="Arial"/>
          <w:sz w:val="28"/>
          <w:szCs w:val="28"/>
        </w:rPr>
      </w:pPr>
      <w:r w:rsidRPr="00994E5A">
        <w:rPr>
          <w:rFonts w:ascii="Arial" w:hAnsi="Arial" w:cs="Arial"/>
          <w:sz w:val="28"/>
          <w:szCs w:val="28"/>
        </w:rPr>
        <w:t>Submitting a fraudulent Right to Buy application, based on false or misleading information.</w:t>
      </w:r>
    </w:p>
    <w:p w14:paraId="2D22828A" w14:textId="77777777" w:rsidR="00994E5A" w:rsidRPr="00994E5A" w:rsidRDefault="00994E5A" w:rsidP="00994E5A">
      <w:pPr>
        <w:pStyle w:val="ListParagraph"/>
        <w:numPr>
          <w:ilvl w:val="0"/>
          <w:numId w:val="41"/>
        </w:numPr>
        <w:rPr>
          <w:rFonts w:ascii="Arial" w:hAnsi="Arial" w:cs="Arial"/>
          <w:sz w:val="28"/>
          <w:szCs w:val="28"/>
        </w:rPr>
      </w:pPr>
      <w:r w:rsidRPr="00994E5A">
        <w:rPr>
          <w:rFonts w:ascii="Arial" w:hAnsi="Arial" w:cs="Arial"/>
          <w:sz w:val="28"/>
          <w:szCs w:val="28"/>
        </w:rPr>
        <w:t>Failing to use the property as the tenant's principal home and/or abandoning the property.</w:t>
      </w:r>
    </w:p>
    <w:p w14:paraId="1FF6B8FC" w14:textId="77777777" w:rsidR="00994E5A" w:rsidRPr="00994E5A" w:rsidRDefault="00994E5A" w:rsidP="00994E5A">
      <w:pPr>
        <w:pStyle w:val="ListParagraph"/>
        <w:numPr>
          <w:ilvl w:val="0"/>
          <w:numId w:val="41"/>
        </w:numPr>
        <w:rPr>
          <w:rFonts w:ascii="Arial" w:hAnsi="Arial" w:cs="Arial"/>
          <w:sz w:val="28"/>
          <w:szCs w:val="28"/>
        </w:rPr>
      </w:pPr>
      <w:r w:rsidRPr="00994E5A">
        <w:rPr>
          <w:rFonts w:ascii="Arial" w:hAnsi="Arial" w:cs="Arial"/>
          <w:sz w:val="28"/>
          <w:szCs w:val="28"/>
        </w:rPr>
        <w:t>Failing to notify the Council of any changes in circumstances while on a waiting list or during the application process.</w:t>
      </w:r>
    </w:p>
    <w:bookmarkEnd w:id="6"/>
    <w:p w14:paraId="2F86F3CF" w14:textId="77777777" w:rsidR="00994E5A" w:rsidRDefault="00994E5A" w:rsidP="004B3504">
      <w:pPr>
        <w:pStyle w:val="ListParagraph"/>
        <w:ind w:left="567" w:hanging="567"/>
        <w:rPr>
          <w:rFonts w:ascii="Arial" w:hAnsi="Arial" w:cs="Arial"/>
          <w:sz w:val="28"/>
          <w:szCs w:val="28"/>
        </w:rPr>
      </w:pPr>
    </w:p>
    <w:p w14:paraId="4415618D" w14:textId="23706B5B" w:rsidR="004B3504" w:rsidRPr="00E55121" w:rsidRDefault="00C35481" w:rsidP="004B3504">
      <w:pPr>
        <w:pStyle w:val="ListParagraph"/>
        <w:ind w:left="567" w:hanging="567"/>
        <w:rPr>
          <w:rFonts w:ascii="Arial" w:hAnsi="Arial" w:cs="Arial"/>
          <w:sz w:val="28"/>
          <w:szCs w:val="28"/>
        </w:rPr>
      </w:pPr>
      <w:r>
        <w:rPr>
          <w:rFonts w:ascii="Arial" w:hAnsi="Arial" w:cs="Arial"/>
          <w:sz w:val="28"/>
          <w:szCs w:val="28"/>
        </w:rPr>
        <w:t>3</w:t>
      </w:r>
      <w:r w:rsidR="004B3504" w:rsidRPr="00E55121">
        <w:rPr>
          <w:rFonts w:ascii="Arial" w:hAnsi="Arial" w:cs="Arial"/>
          <w:sz w:val="28"/>
          <w:szCs w:val="28"/>
        </w:rPr>
        <w:t>.</w:t>
      </w:r>
      <w:r w:rsidR="00D43132" w:rsidRPr="00E55121">
        <w:rPr>
          <w:rFonts w:ascii="Arial" w:hAnsi="Arial" w:cs="Arial"/>
          <w:sz w:val="28"/>
          <w:szCs w:val="28"/>
        </w:rPr>
        <w:t>2</w:t>
      </w:r>
      <w:r w:rsidR="004B3504" w:rsidRPr="00E55121">
        <w:rPr>
          <w:rFonts w:ascii="Arial" w:hAnsi="Arial" w:cs="Arial"/>
          <w:sz w:val="28"/>
          <w:szCs w:val="28"/>
        </w:rPr>
        <w:t xml:space="preserve"> </w:t>
      </w:r>
      <w:r w:rsidR="00994E5A">
        <w:rPr>
          <w:rFonts w:ascii="Arial" w:hAnsi="Arial" w:cs="Arial"/>
          <w:sz w:val="28"/>
          <w:szCs w:val="28"/>
        </w:rPr>
        <w:t xml:space="preserve"> </w:t>
      </w:r>
      <w:r w:rsidR="00994E5A" w:rsidRPr="00994E5A">
        <w:rPr>
          <w:rFonts w:ascii="Arial" w:hAnsi="Arial" w:cs="Arial"/>
          <w:sz w:val="28"/>
          <w:szCs w:val="28"/>
        </w:rPr>
        <w:t>Such fraudulent activities not only result in financial costs to Sandwell taxpayers but also significantly reduce the number of properties available for rent, thereby depriving families and vulnerable individuals who are awaiting housing through the 'Choice Based Lettings' register.</w:t>
      </w:r>
    </w:p>
    <w:p w14:paraId="18082A0A" w14:textId="77777777" w:rsidR="004B3504" w:rsidRPr="00E55121" w:rsidRDefault="004B3504" w:rsidP="004B3504">
      <w:pPr>
        <w:pStyle w:val="ListParagraph"/>
        <w:ind w:left="567" w:hanging="567"/>
        <w:rPr>
          <w:rFonts w:ascii="Arial" w:hAnsi="Arial" w:cs="Arial"/>
          <w:sz w:val="28"/>
          <w:szCs w:val="28"/>
        </w:rPr>
      </w:pPr>
    </w:p>
    <w:p w14:paraId="17B2FB92" w14:textId="12CE18F8" w:rsidR="00574EA2" w:rsidRPr="00E55121" w:rsidRDefault="00574EA2" w:rsidP="00574EA2">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7" w:name="_Toc192154813"/>
      <w:bookmarkStart w:id="8" w:name="_Hlk164766672"/>
      <w:r w:rsidRPr="00E55121">
        <w:rPr>
          <w:rFonts w:ascii="Arial" w:eastAsiaTheme="majorEastAsia" w:hAnsi="Arial" w:cs="Arial"/>
          <w:b/>
          <w:bCs/>
          <w:color w:val="2F5496" w:themeColor="accent1" w:themeShade="BF"/>
          <w:sz w:val="28"/>
          <w:szCs w:val="28"/>
        </w:rPr>
        <w:t>Policy Statement</w:t>
      </w:r>
      <w:bookmarkEnd w:id="7"/>
      <w:r w:rsidRPr="00E55121">
        <w:rPr>
          <w:rFonts w:ascii="Arial" w:eastAsiaTheme="majorEastAsia" w:hAnsi="Arial" w:cs="Arial"/>
          <w:b/>
          <w:bCs/>
          <w:color w:val="2F5496" w:themeColor="accent1" w:themeShade="BF"/>
          <w:sz w:val="28"/>
          <w:szCs w:val="28"/>
        </w:rPr>
        <w:t xml:space="preserve"> </w:t>
      </w:r>
    </w:p>
    <w:p w14:paraId="1689D92E" w14:textId="77777777" w:rsidR="00574EA2" w:rsidRPr="00E55121" w:rsidRDefault="00574EA2" w:rsidP="00574EA2">
      <w:pPr>
        <w:keepNext/>
        <w:keepLines/>
        <w:spacing w:after="0"/>
        <w:outlineLvl w:val="0"/>
        <w:rPr>
          <w:rFonts w:ascii="Arial" w:eastAsiaTheme="majorEastAsia" w:hAnsi="Arial" w:cs="Arial"/>
          <w:b/>
          <w:bCs/>
          <w:color w:val="2F5496" w:themeColor="accent1" w:themeShade="BF"/>
          <w:sz w:val="28"/>
          <w:szCs w:val="28"/>
        </w:rPr>
      </w:pPr>
    </w:p>
    <w:bookmarkEnd w:id="8"/>
    <w:p w14:paraId="433A9935" w14:textId="5A2DF0BD" w:rsidR="00330869" w:rsidRPr="00330869" w:rsidRDefault="00330869" w:rsidP="00330869">
      <w:pPr>
        <w:pStyle w:val="ListParagraph"/>
        <w:numPr>
          <w:ilvl w:val="1"/>
          <w:numId w:val="1"/>
        </w:numPr>
        <w:spacing w:line="276" w:lineRule="auto"/>
        <w:ind w:left="567" w:hanging="567"/>
        <w:rPr>
          <w:rFonts w:ascii="Arial" w:hAnsi="Arial" w:cs="Arial"/>
          <w:sz w:val="28"/>
          <w:szCs w:val="28"/>
        </w:rPr>
      </w:pPr>
      <w:r w:rsidRPr="00330869">
        <w:rPr>
          <w:rFonts w:ascii="Arial" w:hAnsi="Arial" w:cs="Arial"/>
          <w:sz w:val="28"/>
          <w:szCs w:val="28"/>
        </w:rPr>
        <w:t>We will investigate all instances of tenancy fraud reported to us by staff, residents, contractors, and external agencies. Our commitments are to:</w:t>
      </w:r>
    </w:p>
    <w:p w14:paraId="3A144EEF" w14:textId="77777777" w:rsidR="00330869" w:rsidRPr="00330869" w:rsidRDefault="00330869" w:rsidP="00330869">
      <w:pPr>
        <w:pStyle w:val="ListParagraph"/>
        <w:numPr>
          <w:ilvl w:val="0"/>
          <w:numId w:val="43"/>
        </w:numPr>
        <w:spacing w:line="276" w:lineRule="auto"/>
        <w:rPr>
          <w:rFonts w:ascii="Arial" w:hAnsi="Arial" w:cs="Arial"/>
          <w:sz w:val="28"/>
          <w:szCs w:val="28"/>
        </w:rPr>
      </w:pPr>
      <w:r w:rsidRPr="00330869">
        <w:rPr>
          <w:rFonts w:ascii="Arial" w:hAnsi="Arial" w:cs="Arial"/>
          <w:sz w:val="28"/>
          <w:szCs w:val="28"/>
        </w:rPr>
        <w:t>Publicise tenancy fraud through communications with residents.</w:t>
      </w:r>
    </w:p>
    <w:p w14:paraId="38250802" w14:textId="77777777" w:rsidR="00330869" w:rsidRPr="00330869" w:rsidRDefault="00330869" w:rsidP="00330869">
      <w:pPr>
        <w:pStyle w:val="ListParagraph"/>
        <w:numPr>
          <w:ilvl w:val="0"/>
          <w:numId w:val="43"/>
        </w:numPr>
        <w:spacing w:line="276" w:lineRule="auto"/>
        <w:rPr>
          <w:rFonts w:ascii="Arial" w:hAnsi="Arial" w:cs="Arial"/>
          <w:sz w:val="28"/>
          <w:szCs w:val="28"/>
        </w:rPr>
      </w:pPr>
      <w:r w:rsidRPr="00330869">
        <w:rPr>
          <w:rFonts w:ascii="Arial" w:hAnsi="Arial" w:cs="Arial"/>
          <w:sz w:val="28"/>
          <w:szCs w:val="28"/>
        </w:rPr>
        <w:t>Act promptly when investigating all allegations of suspected tenancy fraud.</w:t>
      </w:r>
    </w:p>
    <w:p w14:paraId="7FB0FEC1" w14:textId="77777777" w:rsidR="00330869" w:rsidRPr="00330869" w:rsidRDefault="00330869" w:rsidP="00330869">
      <w:pPr>
        <w:pStyle w:val="ListParagraph"/>
        <w:numPr>
          <w:ilvl w:val="0"/>
          <w:numId w:val="43"/>
        </w:numPr>
        <w:spacing w:line="276" w:lineRule="auto"/>
        <w:rPr>
          <w:rFonts w:ascii="Arial" w:hAnsi="Arial" w:cs="Arial"/>
          <w:sz w:val="28"/>
          <w:szCs w:val="28"/>
        </w:rPr>
      </w:pPr>
      <w:r w:rsidRPr="00330869">
        <w:rPr>
          <w:rFonts w:ascii="Arial" w:hAnsi="Arial" w:cs="Arial"/>
          <w:sz w:val="28"/>
          <w:szCs w:val="28"/>
        </w:rPr>
        <w:t>Provide training to our staff to enable them to identify potential tenancy fraud.</w:t>
      </w:r>
    </w:p>
    <w:p w14:paraId="442A1DA3" w14:textId="77777777" w:rsidR="00330869" w:rsidRPr="00330869" w:rsidRDefault="00330869" w:rsidP="00330869">
      <w:pPr>
        <w:pStyle w:val="ListParagraph"/>
        <w:numPr>
          <w:ilvl w:val="0"/>
          <w:numId w:val="43"/>
        </w:numPr>
        <w:spacing w:line="276" w:lineRule="auto"/>
        <w:rPr>
          <w:rFonts w:ascii="Arial" w:hAnsi="Arial" w:cs="Arial"/>
          <w:sz w:val="28"/>
          <w:szCs w:val="28"/>
        </w:rPr>
      </w:pPr>
      <w:r w:rsidRPr="00330869">
        <w:rPr>
          <w:rFonts w:ascii="Arial" w:hAnsi="Arial" w:cs="Arial"/>
          <w:sz w:val="28"/>
          <w:szCs w:val="28"/>
        </w:rPr>
        <w:t>Maintain the confidentiality of complainants' identities.</w:t>
      </w:r>
    </w:p>
    <w:p w14:paraId="1EBFC2DE" w14:textId="77777777" w:rsidR="00330869" w:rsidRPr="00330869" w:rsidRDefault="00330869" w:rsidP="00330869">
      <w:pPr>
        <w:pStyle w:val="ListParagraph"/>
        <w:numPr>
          <w:ilvl w:val="0"/>
          <w:numId w:val="43"/>
        </w:numPr>
        <w:spacing w:line="276" w:lineRule="auto"/>
        <w:rPr>
          <w:rFonts w:ascii="Arial" w:hAnsi="Arial" w:cs="Arial"/>
          <w:sz w:val="28"/>
          <w:szCs w:val="28"/>
        </w:rPr>
      </w:pPr>
      <w:r w:rsidRPr="00330869">
        <w:rPr>
          <w:rFonts w:ascii="Arial" w:hAnsi="Arial" w:cs="Arial"/>
          <w:sz w:val="28"/>
          <w:szCs w:val="28"/>
        </w:rPr>
        <w:t>Support complainants and witnesses in legal proceedings, should it be necessary to go to court.</w:t>
      </w:r>
    </w:p>
    <w:p w14:paraId="3DA39185" w14:textId="77777777" w:rsidR="00330869" w:rsidRPr="00330869" w:rsidRDefault="00330869" w:rsidP="00330869">
      <w:pPr>
        <w:pStyle w:val="ListParagraph"/>
        <w:numPr>
          <w:ilvl w:val="0"/>
          <w:numId w:val="43"/>
        </w:numPr>
        <w:spacing w:line="276" w:lineRule="auto"/>
        <w:rPr>
          <w:rFonts w:ascii="Arial" w:hAnsi="Arial" w:cs="Arial"/>
          <w:sz w:val="28"/>
          <w:szCs w:val="28"/>
        </w:rPr>
      </w:pPr>
      <w:r w:rsidRPr="00330869">
        <w:rPr>
          <w:rFonts w:ascii="Arial" w:hAnsi="Arial" w:cs="Arial"/>
          <w:sz w:val="28"/>
          <w:szCs w:val="28"/>
        </w:rPr>
        <w:t>Collaborate with our partners to detect and prevent tenancy fraud, support vulnerable victims, and direct them to appropriate agencies.</w:t>
      </w:r>
    </w:p>
    <w:p w14:paraId="4712711C" w14:textId="77777777" w:rsidR="00330869" w:rsidRPr="00330869" w:rsidRDefault="00330869" w:rsidP="00330869">
      <w:pPr>
        <w:pStyle w:val="ListParagraph"/>
        <w:numPr>
          <w:ilvl w:val="0"/>
          <w:numId w:val="43"/>
        </w:numPr>
        <w:spacing w:line="276" w:lineRule="auto"/>
        <w:rPr>
          <w:rFonts w:ascii="Arial" w:hAnsi="Arial" w:cs="Arial"/>
          <w:sz w:val="28"/>
          <w:szCs w:val="28"/>
        </w:rPr>
      </w:pPr>
      <w:r w:rsidRPr="00330869">
        <w:rPr>
          <w:rFonts w:ascii="Arial" w:hAnsi="Arial" w:cs="Arial"/>
          <w:sz w:val="28"/>
          <w:szCs w:val="28"/>
        </w:rPr>
        <w:t>Utilise the Prevention of Social Housing Fraud Act 2013’s Unlawful Profit Orders and the Proceeds of Crime Act.</w:t>
      </w:r>
    </w:p>
    <w:p w14:paraId="1CE082D4" w14:textId="77777777" w:rsidR="00222360" w:rsidRDefault="00222360" w:rsidP="00BE6DA1">
      <w:pPr>
        <w:spacing w:line="276" w:lineRule="auto"/>
        <w:rPr>
          <w:rFonts w:ascii="Arial" w:hAnsi="Arial" w:cs="Arial"/>
          <w:sz w:val="28"/>
          <w:szCs w:val="28"/>
        </w:rPr>
      </w:pPr>
    </w:p>
    <w:p w14:paraId="2CF34722" w14:textId="77777777" w:rsidR="00BE6DA1" w:rsidRDefault="00BE6DA1" w:rsidP="00BE6DA1">
      <w:pPr>
        <w:spacing w:line="276" w:lineRule="auto"/>
        <w:rPr>
          <w:rFonts w:ascii="Arial" w:hAnsi="Arial" w:cs="Arial"/>
          <w:sz w:val="28"/>
          <w:szCs w:val="28"/>
        </w:rPr>
      </w:pPr>
    </w:p>
    <w:p w14:paraId="75809CB0" w14:textId="77777777" w:rsidR="00BE6DA1" w:rsidRPr="00BE6DA1" w:rsidRDefault="00BE6DA1" w:rsidP="00BE6DA1">
      <w:pPr>
        <w:spacing w:line="276" w:lineRule="auto"/>
        <w:rPr>
          <w:rFonts w:ascii="Arial" w:hAnsi="Arial" w:cs="Arial"/>
          <w:sz w:val="28"/>
          <w:szCs w:val="28"/>
        </w:rPr>
      </w:pPr>
    </w:p>
    <w:p w14:paraId="40BD1814" w14:textId="009D38A2" w:rsidR="00574EA2" w:rsidRPr="00E55121" w:rsidRDefault="00F228BD" w:rsidP="00F228BD">
      <w:pPr>
        <w:pStyle w:val="ListParagraph"/>
        <w:numPr>
          <w:ilvl w:val="1"/>
          <w:numId w:val="1"/>
        </w:numPr>
        <w:spacing w:line="360" w:lineRule="auto"/>
        <w:ind w:left="567" w:hanging="567"/>
        <w:rPr>
          <w:rFonts w:ascii="Arial" w:hAnsi="Arial" w:cs="Arial"/>
          <w:b/>
          <w:bCs/>
          <w:sz w:val="28"/>
          <w:szCs w:val="28"/>
        </w:rPr>
      </w:pPr>
      <w:r w:rsidRPr="00E55121">
        <w:rPr>
          <w:rFonts w:ascii="Arial" w:hAnsi="Arial" w:cs="Arial"/>
          <w:b/>
          <w:bCs/>
          <w:sz w:val="28"/>
          <w:szCs w:val="28"/>
        </w:rPr>
        <w:lastRenderedPageBreak/>
        <w:t>Prevention</w:t>
      </w:r>
    </w:p>
    <w:p w14:paraId="7D4CC637" w14:textId="42150146" w:rsidR="006A33E5" w:rsidRPr="006A33E5" w:rsidRDefault="006A33E5" w:rsidP="006A33E5">
      <w:pPr>
        <w:pStyle w:val="ListParagraph"/>
        <w:spacing w:after="0" w:line="276" w:lineRule="auto"/>
        <w:ind w:left="567"/>
        <w:rPr>
          <w:rFonts w:ascii="Arial" w:hAnsi="Arial" w:cs="Arial"/>
          <w:sz w:val="28"/>
          <w:szCs w:val="28"/>
        </w:rPr>
      </w:pPr>
      <w:r>
        <w:rPr>
          <w:rFonts w:ascii="Arial" w:hAnsi="Arial" w:cs="Arial"/>
          <w:sz w:val="28"/>
          <w:szCs w:val="28"/>
        </w:rPr>
        <w:t>T</w:t>
      </w:r>
      <w:r w:rsidRPr="006A33E5">
        <w:rPr>
          <w:rFonts w:ascii="Arial" w:hAnsi="Arial" w:cs="Arial"/>
          <w:sz w:val="28"/>
          <w:szCs w:val="28"/>
        </w:rPr>
        <w:t>o mitigate the risk of tenancy fraud, we will verify the identity of all prospective tenants in the following circumstances:</w:t>
      </w:r>
    </w:p>
    <w:p w14:paraId="63F0BE99" w14:textId="7D6DDA90" w:rsidR="00BE6DA1" w:rsidRDefault="00BE6DA1" w:rsidP="00922BFC">
      <w:pPr>
        <w:pStyle w:val="ListParagraph"/>
        <w:numPr>
          <w:ilvl w:val="0"/>
          <w:numId w:val="45"/>
        </w:numPr>
        <w:spacing w:after="0" w:line="276" w:lineRule="auto"/>
        <w:rPr>
          <w:rFonts w:ascii="Arial" w:hAnsi="Arial" w:cs="Arial"/>
          <w:sz w:val="28"/>
          <w:szCs w:val="28"/>
        </w:rPr>
      </w:pPr>
      <w:r w:rsidRPr="00BE6DA1">
        <w:rPr>
          <w:rFonts w:ascii="Arial" w:hAnsi="Arial" w:cs="Arial"/>
          <w:sz w:val="28"/>
          <w:szCs w:val="28"/>
        </w:rPr>
        <w:t>Submission of a direct application for accommodation, followed by identity verification during the application and offer stages.</w:t>
      </w:r>
      <w:r>
        <w:rPr>
          <w:rFonts w:ascii="Arial" w:hAnsi="Arial" w:cs="Arial"/>
          <w:sz w:val="28"/>
          <w:szCs w:val="28"/>
        </w:rPr>
        <w:t xml:space="preserve"> </w:t>
      </w:r>
    </w:p>
    <w:p w14:paraId="6D38EA4B" w14:textId="77777777" w:rsidR="006A33E5" w:rsidRPr="006A33E5" w:rsidRDefault="006A33E5" w:rsidP="006A33E5">
      <w:pPr>
        <w:pStyle w:val="ListParagraph"/>
        <w:numPr>
          <w:ilvl w:val="0"/>
          <w:numId w:val="45"/>
        </w:numPr>
        <w:spacing w:after="0" w:line="276" w:lineRule="auto"/>
        <w:rPr>
          <w:rFonts w:ascii="Arial" w:hAnsi="Arial" w:cs="Arial"/>
          <w:sz w:val="28"/>
          <w:szCs w:val="28"/>
        </w:rPr>
      </w:pPr>
      <w:r w:rsidRPr="006A33E5">
        <w:rPr>
          <w:rFonts w:ascii="Arial" w:hAnsi="Arial" w:cs="Arial"/>
          <w:sz w:val="28"/>
          <w:szCs w:val="28"/>
        </w:rPr>
        <w:t>Receipt of an internal transfer offer.</w:t>
      </w:r>
    </w:p>
    <w:p w14:paraId="3B813243" w14:textId="77777777" w:rsidR="006A33E5" w:rsidRPr="006A33E5" w:rsidRDefault="006A33E5" w:rsidP="006A33E5">
      <w:pPr>
        <w:pStyle w:val="ListParagraph"/>
        <w:numPr>
          <w:ilvl w:val="0"/>
          <w:numId w:val="45"/>
        </w:numPr>
        <w:spacing w:after="0" w:line="276" w:lineRule="auto"/>
        <w:rPr>
          <w:rFonts w:ascii="Arial" w:hAnsi="Arial" w:cs="Arial"/>
          <w:sz w:val="28"/>
          <w:szCs w:val="28"/>
        </w:rPr>
      </w:pPr>
      <w:r w:rsidRPr="006A33E5">
        <w:rPr>
          <w:rFonts w:ascii="Arial" w:hAnsi="Arial" w:cs="Arial"/>
          <w:sz w:val="28"/>
          <w:szCs w:val="28"/>
        </w:rPr>
        <w:t>Submission of a Right to Buy application.</w:t>
      </w:r>
    </w:p>
    <w:p w14:paraId="66720749" w14:textId="77777777" w:rsidR="006A33E5" w:rsidRPr="006A33E5" w:rsidRDefault="006A33E5" w:rsidP="006A33E5">
      <w:pPr>
        <w:pStyle w:val="ListParagraph"/>
        <w:numPr>
          <w:ilvl w:val="0"/>
          <w:numId w:val="45"/>
        </w:numPr>
        <w:spacing w:after="0" w:line="276" w:lineRule="auto"/>
        <w:rPr>
          <w:rFonts w:ascii="Arial" w:hAnsi="Arial" w:cs="Arial"/>
          <w:sz w:val="28"/>
          <w:szCs w:val="28"/>
        </w:rPr>
      </w:pPr>
      <w:r w:rsidRPr="006A33E5">
        <w:rPr>
          <w:rFonts w:ascii="Arial" w:hAnsi="Arial" w:cs="Arial"/>
          <w:sz w:val="28"/>
          <w:szCs w:val="28"/>
        </w:rPr>
        <w:t>Request for tenancy assignment.</w:t>
      </w:r>
    </w:p>
    <w:p w14:paraId="3F8E5848" w14:textId="77777777" w:rsidR="006A33E5" w:rsidRPr="006A33E5" w:rsidRDefault="006A33E5" w:rsidP="006A33E5">
      <w:pPr>
        <w:pStyle w:val="ListParagraph"/>
        <w:numPr>
          <w:ilvl w:val="0"/>
          <w:numId w:val="45"/>
        </w:numPr>
        <w:spacing w:after="0" w:line="276" w:lineRule="auto"/>
        <w:rPr>
          <w:rFonts w:ascii="Arial" w:hAnsi="Arial" w:cs="Arial"/>
          <w:sz w:val="28"/>
          <w:szCs w:val="28"/>
        </w:rPr>
      </w:pPr>
      <w:r w:rsidRPr="006A33E5">
        <w:rPr>
          <w:rFonts w:ascii="Arial" w:hAnsi="Arial" w:cs="Arial"/>
          <w:sz w:val="28"/>
          <w:szCs w:val="28"/>
        </w:rPr>
        <w:t>Request for tenancy succession.</w:t>
      </w:r>
    </w:p>
    <w:p w14:paraId="7D3FAE96" w14:textId="202C4357" w:rsidR="00F66B89" w:rsidRDefault="006A33E5" w:rsidP="006A33E5">
      <w:pPr>
        <w:pStyle w:val="ListParagraph"/>
        <w:numPr>
          <w:ilvl w:val="0"/>
          <w:numId w:val="45"/>
        </w:numPr>
        <w:spacing w:after="0" w:line="276" w:lineRule="auto"/>
        <w:rPr>
          <w:rFonts w:ascii="Arial" w:hAnsi="Arial" w:cs="Arial"/>
          <w:sz w:val="28"/>
          <w:szCs w:val="28"/>
        </w:rPr>
      </w:pPr>
      <w:r w:rsidRPr="006A33E5">
        <w:rPr>
          <w:rFonts w:ascii="Arial" w:hAnsi="Arial" w:cs="Arial"/>
          <w:sz w:val="28"/>
          <w:szCs w:val="28"/>
        </w:rPr>
        <w:t>Participation in a mutual exchange application.</w:t>
      </w:r>
    </w:p>
    <w:p w14:paraId="354CFD2B" w14:textId="77777777" w:rsidR="006A33E5" w:rsidRPr="006A33E5" w:rsidRDefault="006A33E5" w:rsidP="006A33E5">
      <w:pPr>
        <w:pStyle w:val="ListParagraph"/>
        <w:spacing w:after="0" w:line="276" w:lineRule="auto"/>
        <w:rPr>
          <w:rFonts w:ascii="Arial" w:hAnsi="Arial" w:cs="Arial"/>
          <w:sz w:val="28"/>
          <w:szCs w:val="28"/>
        </w:rPr>
      </w:pPr>
    </w:p>
    <w:p w14:paraId="71C6542C" w14:textId="77777777" w:rsidR="006A33E5" w:rsidRPr="006A33E5" w:rsidRDefault="006A33E5" w:rsidP="006A33E5">
      <w:pPr>
        <w:pStyle w:val="ListParagraph"/>
        <w:numPr>
          <w:ilvl w:val="1"/>
          <w:numId w:val="1"/>
        </w:numPr>
        <w:spacing w:after="0"/>
        <w:ind w:left="709" w:hanging="643"/>
        <w:rPr>
          <w:rFonts w:ascii="Arial" w:hAnsi="Arial" w:cs="Arial"/>
          <w:sz w:val="28"/>
          <w:szCs w:val="28"/>
        </w:rPr>
      </w:pPr>
      <w:r w:rsidRPr="006A33E5">
        <w:rPr>
          <w:rFonts w:ascii="Arial" w:hAnsi="Arial" w:cs="Arial"/>
          <w:sz w:val="28"/>
          <w:szCs w:val="28"/>
        </w:rPr>
        <w:t>To verify the identity of the tenancy holder(s) and household members, we will:</w:t>
      </w:r>
    </w:p>
    <w:p w14:paraId="60981298" w14:textId="77777777" w:rsidR="006A33E5" w:rsidRPr="006A33E5" w:rsidRDefault="006A33E5" w:rsidP="006A33E5">
      <w:pPr>
        <w:pStyle w:val="ListParagraph"/>
        <w:numPr>
          <w:ilvl w:val="0"/>
          <w:numId w:val="47"/>
        </w:numPr>
        <w:spacing w:after="0"/>
        <w:rPr>
          <w:rFonts w:ascii="Arial" w:hAnsi="Arial" w:cs="Arial"/>
          <w:sz w:val="28"/>
          <w:szCs w:val="28"/>
        </w:rPr>
      </w:pPr>
      <w:r w:rsidRPr="006A33E5">
        <w:rPr>
          <w:rFonts w:ascii="Arial" w:hAnsi="Arial" w:cs="Arial"/>
          <w:sz w:val="28"/>
          <w:szCs w:val="28"/>
        </w:rPr>
        <w:t>Retain photographs of tenants on customer records.</w:t>
      </w:r>
    </w:p>
    <w:p w14:paraId="450E3FBD" w14:textId="77777777" w:rsidR="006A33E5" w:rsidRPr="006A33E5" w:rsidRDefault="006A33E5" w:rsidP="006A33E5">
      <w:pPr>
        <w:pStyle w:val="ListParagraph"/>
        <w:numPr>
          <w:ilvl w:val="0"/>
          <w:numId w:val="47"/>
        </w:numPr>
        <w:spacing w:after="0"/>
        <w:rPr>
          <w:rFonts w:ascii="Arial" w:hAnsi="Arial" w:cs="Arial"/>
          <w:sz w:val="28"/>
          <w:szCs w:val="28"/>
        </w:rPr>
      </w:pPr>
      <w:r w:rsidRPr="006A33E5">
        <w:rPr>
          <w:rFonts w:ascii="Arial" w:hAnsi="Arial" w:cs="Arial"/>
          <w:sz w:val="28"/>
          <w:szCs w:val="28"/>
        </w:rPr>
        <w:t>Verify that identification provided is valid and authentic.</w:t>
      </w:r>
    </w:p>
    <w:p w14:paraId="4EB00C6D" w14:textId="77777777" w:rsidR="006A33E5" w:rsidRPr="006A33E5" w:rsidRDefault="006A33E5" w:rsidP="006A33E5">
      <w:pPr>
        <w:pStyle w:val="ListParagraph"/>
        <w:numPr>
          <w:ilvl w:val="0"/>
          <w:numId w:val="47"/>
        </w:numPr>
        <w:spacing w:after="0"/>
        <w:rPr>
          <w:rFonts w:ascii="Arial" w:hAnsi="Arial" w:cs="Arial"/>
          <w:sz w:val="28"/>
          <w:szCs w:val="28"/>
        </w:rPr>
      </w:pPr>
      <w:r w:rsidRPr="006A33E5">
        <w:rPr>
          <w:rFonts w:ascii="Arial" w:hAnsi="Arial" w:cs="Arial"/>
          <w:sz w:val="28"/>
          <w:szCs w:val="28"/>
        </w:rPr>
        <w:t>Retain copies of identification documents provided at sign-up.</w:t>
      </w:r>
    </w:p>
    <w:p w14:paraId="52D99879" w14:textId="77777777" w:rsidR="006A33E5" w:rsidRPr="006A33E5" w:rsidRDefault="006A33E5" w:rsidP="006A33E5">
      <w:pPr>
        <w:pStyle w:val="ListParagraph"/>
        <w:numPr>
          <w:ilvl w:val="0"/>
          <w:numId w:val="47"/>
        </w:numPr>
        <w:spacing w:after="0"/>
        <w:rPr>
          <w:rFonts w:ascii="Arial" w:hAnsi="Arial" w:cs="Arial"/>
          <w:sz w:val="28"/>
          <w:szCs w:val="28"/>
        </w:rPr>
      </w:pPr>
      <w:r w:rsidRPr="006A33E5">
        <w:rPr>
          <w:rFonts w:ascii="Arial" w:hAnsi="Arial" w:cs="Arial"/>
          <w:sz w:val="28"/>
          <w:szCs w:val="28"/>
        </w:rPr>
        <w:t>Monitor the continued residency of household members.</w:t>
      </w:r>
    </w:p>
    <w:p w14:paraId="2B00B0CA" w14:textId="77777777" w:rsidR="006A33E5" w:rsidRPr="006A33E5" w:rsidRDefault="006A33E5" w:rsidP="006A33E5">
      <w:pPr>
        <w:pStyle w:val="ListParagraph"/>
        <w:numPr>
          <w:ilvl w:val="0"/>
          <w:numId w:val="47"/>
        </w:numPr>
        <w:spacing w:after="0"/>
        <w:rPr>
          <w:rFonts w:ascii="Arial" w:hAnsi="Arial" w:cs="Arial"/>
          <w:sz w:val="28"/>
          <w:szCs w:val="28"/>
        </w:rPr>
      </w:pPr>
      <w:r w:rsidRPr="006A33E5">
        <w:rPr>
          <w:rFonts w:ascii="Arial" w:hAnsi="Arial" w:cs="Arial"/>
          <w:sz w:val="28"/>
          <w:szCs w:val="28"/>
        </w:rPr>
        <w:t>Participate in the National Fraud Initiative to detect fraudulent applications and tenancies.</w:t>
      </w:r>
    </w:p>
    <w:p w14:paraId="548AF812" w14:textId="77777777" w:rsidR="006A33E5" w:rsidRPr="006A33E5" w:rsidRDefault="006A33E5" w:rsidP="006A33E5">
      <w:pPr>
        <w:pStyle w:val="ListParagraph"/>
        <w:numPr>
          <w:ilvl w:val="0"/>
          <w:numId w:val="47"/>
        </w:numPr>
        <w:spacing w:after="0"/>
        <w:rPr>
          <w:rFonts w:ascii="Arial" w:hAnsi="Arial" w:cs="Arial"/>
          <w:sz w:val="28"/>
          <w:szCs w:val="28"/>
        </w:rPr>
      </w:pPr>
      <w:r w:rsidRPr="006A33E5">
        <w:rPr>
          <w:rFonts w:ascii="Arial" w:hAnsi="Arial" w:cs="Arial"/>
          <w:sz w:val="28"/>
          <w:szCs w:val="28"/>
        </w:rPr>
        <w:t>Utilise internal proactive data matching exercises.</w:t>
      </w:r>
    </w:p>
    <w:p w14:paraId="725BA2D7" w14:textId="2D263FFE" w:rsidR="006A33E5" w:rsidRPr="006A33E5" w:rsidRDefault="006A33E5" w:rsidP="006A33E5">
      <w:pPr>
        <w:pStyle w:val="ListParagraph"/>
        <w:numPr>
          <w:ilvl w:val="0"/>
          <w:numId w:val="47"/>
        </w:numPr>
        <w:spacing w:after="0"/>
        <w:rPr>
          <w:rFonts w:ascii="Arial" w:hAnsi="Arial" w:cs="Arial"/>
          <w:sz w:val="28"/>
          <w:szCs w:val="28"/>
        </w:rPr>
      </w:pPr>
      <w:r w:rsidRPr="006A33E5">
        <w:rPr>
          <w:rFonts w:ascii="Arial" w:hAnsi="Arial" w:cs="Arial"/>
          <w:sz w:val="28"/>
          <w:szCs w:val="28"/>
        </w:rPr>
        <w:t>Provide a dedicated Officer who will serve as the central point of contact.</w:t>
      </w:r>
    </w:p>
    <w:p w14:paraId="40830199" w14:textId="77777777" w:rsidR="006A33E5" w:rsidRPr="006A33E5" w:rsidRDefault="006A33E5" w:rsidP="006A33E5">
      <w:pPr>
        <w:pStyle w:val="ListParagraph"/>
        <w:numPr>
          <w:ilvl w:val="0"/>
          <w:numId w:val="47"/>
        </w:numPr>
        <w:spacing w:after="0"/>
        <w:rPr>
          <w:rFonts w:ascii="Arial" w:hAnsi="Arial" w:cs="Arial"/>
          <w:sz w:val="28"/>
          <w:szCs w:val="28"/>
        </w:rPr>
      </w:pPr>
      <w:r w:rsidRPr="006A33E5">
        <w:rPr>
          <w:rFonts w:ascii="Arial" w:hAnsi="Arial" w:cs="Arial"/>
          <w:sz w:val="28"/>
          <w:szCs w:val="28"/>
        </w:rPr>
        <w:t>As part of the verification process, a credit check may be conducted. This will include:</w:t>
      </w:r>
    </w:p>
    <w:p w14:paraId="7CE12F35" w14:textId="77777777" w:rsidR="006A33E5" w:rsidRPr="006A33E5" w:rsidRDefault="006A33E5" w:rsidP="006A33E5">
      <w:pPr>
        <w:pStyle w:val="ListParagraph"/>
        <w:numPr>
          <w:ilvl w:val="1"/>
          <w:numId w:val="47"/>
        </w:numPr>
        <w:spacing w:after="0"/>
        <w:rPr>
          <w:rFonts w:ascii="Arial" w:hAnsi="Arial" w:cs="Arial"/>
          <w:sz w:val="28"/>
          <w:szCs w:val="28"/>
        </w:rPr>
      </w:pPr>
      <w:r w:rsidRPr="006A33E5">
        <w:rPr>
          <w:rFonts w:ascii="Arial" w:hAnsi="Arial" w:cs="Arial"/>
          <w:sz w:val="28"/>
          <w:szCs w:val="28"/>
        </w:rPr>
        <w:t>Confirming the tenant's identity.</w:t>
      </w:r>
    </w:p>
    <w:p w14:paraId="65DD0248" w14:textId="77777777" w:rsidR="006A33E5" w:rsidRPr="006A33E5" w:rsidRDefault="006A33E5" w:rsidP="006A33E5">
      <w:pPr>
        <w:pStyle w:val="ListParagraph"/>
        <w:numPr>
          <w:ilvl w:val="1"/>
          <w:numId w:val="47"/>
        </w:numPr>
        <w:spacing w:after="0"/>
        <w:rPr>
          <w:rFonts w:ascii="Arial" w:hAnsi="Arial" w:cs="Arial"/>
          <w:sz w:val="28"/>
          <w:szCs w:val="28"/>
        </w:rPr>
      </w:pPr>
      <w:r w:rsidRPr="006A33E5">
        <w:rPr>
          <w:rFonts w:ascii="Arial" w:hAnsi="Arial" w:cs="Arial"/>
          <w:sz w:val="28"/>
          <w:szCs w:val="28"/>
        </w:rPr>
        <w:t>Verifying the tenant’s occupation history.</w:t>
      </w:r>
    </w:p>
    <w:p w14:paraId="6AAD7213" w14:textId="77777777" w:rsidR="006A33E5" w:rsidRPr="006A33E5" w:rsidRDefault="006A33E5" w:rsidP="006A33E5">
      <w:pPr>
        <w:pStyle w:val="ListParagraph"/>
        <w:numPr>
          <w:ilvl w:val="1"/>
          <w:numId w:val="47"/>
        </w:numPr>
        <w:spacing w:after="0"/>
        <w:rPr>
          <w:rFonts w:ascii="Arial" w:hAnsi="Arial" w:cs="Arial"/>
          <w:sz w:val="28"/>
          <w:szCs w:val="28"/>
        </w:rPr>
      </w:pPr>
      <w:r w:rsidRPr="006A33E5">
        <w:rPr>
          <w:rFonts w:ascii="Arial" w:hAnsi="Arial" w:cs="Arial"/>
          <w:sz w:val="28"/>
          <w:szCs w:val="28"/>
        </w:rPr>
        <w:t>Checking for any property interests held by the tenant.</w:t>
      </w:r>
    </w:p>
    <w:p w14:paraId="37715D1B" w14:textId="1C88B137" w:rsidR="00355828" w:rsidRDefault="00355828" w:rsidP="006A33E5">
      <w:pPr>
        <w:pStyle w:val="ListParagraph"/>
        <w:spacing w:after="0" w:line="240" w:lineRule="auto"/>
        <w:ind w:left="709"/>
        <w:rPr>
          <w:rFonts w:ascii="Arial" w:hAnsi="Arial" w:cs="Arial"/>
          <w:sz w:val="28"/>
          <w:szCs w:val="28"/>
        </w:rPr>
      </w:pPr>
    </w:p>
    <w:p w14:paraId="1D1D2BD2" w14:textId="77777777" w:rsidR="006A33E5" w:rsidRPr="00E55121" w:rsidRDefault="006A33E5" w:rsidP="006A33E5">
      <w:pPr>
        <w:pStyle w:val="ListParagraph"/>
        <w:spacing w:after="0" w:line="240" w:lineRule="auto"/>
        <w:ind w:left="709"/>
        <w:rPr>
          <w:rFonts w:ascii="Arial" w:hAnsi="Arial" w:cs="Arial"/>
          <w:sz w:val="28"/>
          <w:szCs w:val="28"/>
        </w:rPr>
      </w:pPr>
    </w:p>
    <w:p w14:paraId="2ACB3D33" w14:textId="77777777" w:rsidR="00635137" w:rsidRDefault="006C5FE7" w:rsidP="00635137">
      <w:pPr>
        <w:pStyle w:val="ListParagraph"/>
        <w:numPr>
          <w:ilvl w:val="1"/>
          <w:numId w:val="1"/>
        </w:numPr>
        <w:tabs>
          <w:tab w:val="left" w:pos="709"/>
        </w:tabs>
        <w:spacing w:line="360" w:lineRule="auto"/>
        <w:ind w:left="284" w:hanging="284"/>
        <w:rPr>
          <w:rFonts w:ascii="Arial" w:hAnsi="Arial" w:cs="Arial"/>
          <w:b/>
          <w:bCs/>
          <w:sz w:val="28"/>
          <w:szCs w:val="28"/>
        </w:rPr>
      </w:pPr>
      <w:r w:rsidRPr="00E55121">
        <w:rPr>
          <w:rFonts w:ascii="Arial" w:hAnsi="Arial" w:cs="Arial"/>
          <w:b/>
          <w:bCs/>
          <w:sz w:val="28"/>
          <w:szCs w:val="28"/>
        </w:rPr>
        <w:t>Home Checks</w:t>
      </w:r>
    </w:p>
    <w:p w14:paraId="0126141F" w14:textId="4E149B39" w:rsidR="00222360" w:rsidRDefault="006A33E5" w:rsidP="002F18F0">
      <w:pPr>
        <w:pStyle w:val="ListParagraph"/>
        <w:tabs>
          <w:tab w:val="left" w:pos="709"/>
        </w:tabs>
        <w:spacing w:line="240" w:lineRule="auto"/>
        <w:ind w:left="709"/>
        <w:rPr>
          <w:rFonts w:ascii="Arial" w:hAnsi="Arial" w:cs="Arial"/>
          <w:sz w:val="28"/>
          <w:szCs w:val="28"/>
        </w:rPr>
      </w:pPr>
      <w:r w:rsidRPr="00635137">
        <w:rPr>
          <w:rFonts w:ascii="Arial" w:hAnsi="Arial" w:cs="Arial"/>
          <w:sz w:val="28"/>
          <w:szCs w:val="28"/>
        </w:rPr>
        <w:t>To proactively manage the risk of tenancy fraud, we will conduct comprehensive Home Checks (to assess both the tenancy and the property) at least every three years. These checks will include the verification of the identity of all occupants.</w:t>
      </w:r>
    </w:p>
    <w:p w14:paraId="47A82BA7" w14:textId="77777777" w:rsidR="002F18F0" w:rsidRPr="002F18F0" w:rsidRDefault="002F18F0" w:rsidP="002F18F0">
      <w:pPr>
        <w:pStyle w:val="ListParagraph"/>
        <w:tabs>
          <w:tab w:val="left" w:pos="709"/>
        </w:tabs>
        <w:spacing w:line="240" w:lineRule="auto"/>
        <w:ind w:left="709"/>
        <w:rPr>
          <w:rFonts w:ascii="Arial" w:hAnsi="Arial" w:cs="Arial"/>
          <w:b/>
          <w:bCs/>
          <w:sz w:val="28"/>
          <w:szCs w:val="28"/>
        </w:rPr>
      </w:pPr>
    </w:p>
    <w:p w14:paraId="4443AAAA" w14:textId="0B69C99B" w:rsidR="00DE66A2" w:rsidRPr="00635137" w:rsidRDefault="00DE66A2" w:rsidP="00635137">
      <w:pPr>
        <w:pStyle w:val="ListParagraph"/>
        <w:numPr>
          <w:ilvl w:val="1"/>
          <w:numId w:val="1"/>
        </w:numPr>
        <w:spacing w:line="240" w:lineRule="auto"/>
        <w:rPr>
          <w:rFonts w:ascii="Arial" w:hAnsi="Arial" w:cs="Arial"/>
          <w:b/>
          <w:bCs/>
          <w:sz w:val="28"/>
          <w:szCs w:val="28"/>
        </w:rPr>
      </w:pPr>
      <w:bookmarkStart w:id="9" w:name="_Hlk182978190"/>
      <w:proofErr w:type="gramStart"/>
      <w:r w:rsidRPr="00E55121">
        <w:rPr>
          <w:rFonts w:ascii="Arial" w:hAnsi="Arial" w:cs="Arial"/>
          <w:b/>
          <w:bCs/>
          <w:sz w:val="28"/>
          <w:szCs w:val="28"/>
        </w:rPr>
        <w:t>Taking action</w:t>
      </w:r>
      <w:proofErr w:type="gramEnd"/>
    </w:p>
    <w:p w14:paraId="643A37DA" w14:textId="39ECB455" w:rsidR="007017D0" w:rsidRPr="00E55121" w:rsidRDefault="00635137" w:rsidP="00635137">
      <w:pPr>
        <w:pStyle w:val="ListParagraph"/>
        <w:spacing w:line="240" w:lineRule="auto"/>
        <w:ind w:left="709"/>
        <w:rPr>
          <w:rFonts w:ascii="Arial" w:hAnsi="Arial" w:cs="Arial"/>
          <w:sz w:val="28"/>
          <w:szCs w:val="28"/>
        </w:rPr>
      </w:pPr>
      <w:r w:rsidRPr="00635137">
        <w:rPr>
          <w:rFonts w:ascii="Arial" w:hAnsi="Arial" w:cs="Arial"/>
          <w:sz w:val="28"/>
          <w:szCs w:val="28"/>
        </w:rPr>
        <w:t xml:space="preserve">Partnership working is critical to the successful prevention and detection of tenancy fraud. We will work with a range of agencies, </w:t>
      </w:r>
      <w:r w:rsidRPr="00635137">
        <w:rPr>
          <w:rFonts w:ascii="Arial" w:hAnsi="Arial" w:cs="Arial"/>
          <w:sz w:val="28"/>
          <w:szCs w:val="28"/>
        </w:rPr>
        <w:lastRenderedPageBreak/>
        <w:t>including statutory, non-statutory, and voluntary sector organisations.</w:t>
      </w:r>
    </w:p>
    <w:bookmarkEnd w:id="9"/>
    <w:p w14:paraId="287D98FD" w14:textId="77777777" w:rsidR="007017D0" w:rsidRPr="00E55121" w:rsidRDefault="007017D0" w:rsidP="00FA7848">
      <w:pPr>
        <w:pStyle w:val="ListParagraph"/>
        <w:ind w:left="709" w:hanging="709"/>
        <w:rPr>
          <w:rFonts w:ascii="Arial" w:hAnsi="Arial" w:cs="Arial"/>
          <w:sz w:val="28"/>
          <w:szCs w:val="28"/>
        </w:rPr>
      </w:pPr>
    </w:p>
    <w:p w14:paraId="1BA72C36" w14:textId="1FD17589" w:rsidR="00B755D7" w:rsidRDefault="00635137" w:rsidP="00635137">
      <w:pPr>
        <w:pStyle w:val="ListParagraph"/>
        <w:numPr>
          <w:ilvl w:val="1"/>
          <w:numId w:val="1"/>
        </w:numPr>
        <w:spacing w:before="240" w:line="240" w:lineRule="auto"/>
        <w:ind w:left="709" w:hanging="709"/>
        <w:rPr>
          <w:rFonts w:ascii="Arial" w:hAnsi="Arial" w:cs="Arial"/>
          <w:sz w:val="28"/>
          <w:szCs w:val="28"/>
        </w:rPr>
      </w:pPr>
      <w:r w:rsidRPr="00635137">
        <w:rPr>
          <w:rFonts w:ascii="Arial" w:hAnsi="Arial" w:cs="Arial"/>
          <w:b/>
          <w:bCs/>
          <w:sz w:val="28"/>
          <w:szCs w:val="28"/>
        </w:rPr>
        <w:t>Investigation Review</w:t>
      </w:r>
      <w:r w:rsidRPr="00635137">
        <w:rPr>
          <w:rFonts w:ascii="Arial" w:hAnsi="Arial" w:cs="Arial"/>
          <w:sz w:val="28"/>
          <w:szCs w:val="28"/>
        </w:rPr>
        <w:br/>
        <w:t>When investigating a suspected case of tenancy fraud, the evidence collected will be thoroughly reviewed to determine whether the allegation can be substantiated.</w:t>
      </w:r>
    </w:p>
    <w:p w14:paraId="4F9824DC" w14:textId="77777777" w:rsidR="00635137" w:rsidRPr="00635137" w:rsidRDefault="00635137" w:rsidP="00635137">
      <w:pPr>
        <w:pStyle w:val="ListParagraph"/>
        <w:spacing w:before="240" w:line="240" w:lineRule="auto"/>
        <w:ind w:left="709"/>
        <w:rPr>
          <w:rFonts w:ascii="Arial" w:hAnsi="Arial" w:cs="Arial"/>
          <w:sz w:val="28"/>
          <w:szCs w:val="28"/>
        </w:rPr>
      </w:pPr>
    </w:p>
    <w:p w14:paraId="4F99B979" w14:textId="76AC5266" w:rsidR="00635137" w:rsidRDefault="00635137" w:rsidP="00FA7848">
      <w:pPr>
        <w:pStyle w:val="ListParagraph"/>
        <w:numPr>
          <w:ilvl w:val="1"/>
          <w:numId w:val="1"/>
        </w:numPr>
        <w:spacing w:line="240" w:lineRule="auto"/>
        <w:ind w:left="709" w:hanging="709"/>
        <w:rPr>
          <w:rFonts w:ascii="Arial" w:hAnsi="Arial" w:cs="Arial"/>
          <w:sz w:val="28"/>
          <w:szCs w:val="28"/>
        </w:rPr>
      </w:pPr>
      <w:r w:rsidRPr="00635137">
        <w:rPr>
          <w:rFonts w:ascii="Arial" w:hAnsi="Arial" w:cs="Arial"/>
          <w:b/>
          <w:bCs/>
          <w:sz w:val="28"/>
          <w:szCs w:val="28"/>
        </w:rPr>
        <w:t>Legal Action</w:t>
      </w:r>
      <w:r w:rsidRPr="00635137">
        <w:rPr>
          <w:rFonts w:ascii="Arial" w:hAnsi="Arial" w:cs="Arial"/>
          <w:sz w:val="28"/>
          <w:szCs w:val="28"/>
        </w:rPr>
        <w:br/>
        <w:t>If sufficient evidence is obtained to support a case of tenancy fraud, the tenant will be notified and asked to provide an explanation regarding the use of their home. Should the tenant’s explanation fail to counter the evidence collected, legal action to recover possession of the property will be initiated.</w:t>
      </w:r>
    </w:p>
    <w:p w14:paraId="5A2E49C8" w14:textId="77777777" w:rsidR="00FA7848" w:rsidRPr="00E55121" w:rsidRDefault="00FA7848" w:rsidP="00FA7848">
      <w:pPr>
        <w:pStyle w:val="ListParagraph"/>
        <w:spacing w:line="240" w:lineRule="auto"/>
        <w:ind w:left="709"/>
        <w:rPr>
          <w:rFonts w:ascii="Arial" w:hAnsi="Arial" w:cs="Arial"/>
          <w:sz w:val="28"/>
          <w:szCs w:val="28"/>
        </w:rPr>
      </w:pPr>
    </w:p>
    <w:p w14:paraId="67673364" w14:textId="56C310C7" w:rsidR="00635137" w:rsidRDefault="00635137" w:rsidP="00635137">
      <w:pPr>
        <w:pStyle w:val="ListParagraph"/>
        <w:numPr>
          <w:ilvl w:val="1"/>
          <w:numId w:val="1"/>
        </w:numPr>
        <w:spacing w:line="240" w:lineRule="auto"/>
        <w:ind w:left="709" w:hanging="709"/>
        <w:rPr>
          <w:rFonts w:ascii="Arial" w:hAnsi="Arial" w:cs="Arial"/>
          <w:sz w:val="28"/>
          <w:szCs w:val="28"/>
        </w:rPr>
      </w:pPr>
      <w:r w:rsidRPr="00635137">
        <w:rPr>
          <w:rFonts w:ascii="Arial" w:hAnsi="Arial" w:cs="Arial"/>
          <w:b/>
          <w:bCs/>
          <w:sz w:val="28"/>
          <w:szCs w:val="28"/>
        </w:rPr>
        <w:t>Recovery of Costs</w:t>
      </w:r>
      <w:r w:rsidRPr="00635137">
        <w:rPr>
          <w:rFonts w:ascii="Arial" w:hAnsi="Arial" w:cs="Arial"/>
          <w:sz w:val="28"/>
          <w:szCs w:val="28"/>
        </w:rPr>
        <w:br/>
        <w:t>Where legal action to recover possession of a property is successful, the tenant will be liable for court costs. Unlawful Profit Orders, as outlined in the Prevention of Social Housing Fraud Act 2013, will be used to recover any profit gained from subletting.</w:t>
      </w:r>
    </w:p>
    <w:p w14:paraId="5B67CE63" w14:textId="77777777" w:rsidR="00635137" w:rsidRPr="00635137" w:rsidRDefault="00635137" w:rsidP="00635137">
      <w:pPr>
        <w:pStyle w:val="ListParagraph"/>
        <w:rPr>
          <w:rFonts w:ascii="Arial" w:hAnsi="Arial" w:cs="Arial"/>
          <w:sz w:val="28"/>
          <w:szCs w:val="28"/>
        </w:rPr>
      </w:pPr>
    </w:p>
    <w:p w14:paraId="6E9F3015" w14:textId="77045E79" w:rsidR="00635137" w:rsidRDefault="00635137" w:rsidP="00FA7848">
      <w:pPr>
        <w:pStyle w:val="ListParagraph"/>
        <w:numPr>
          <w:ilvl w:val="1"/>
          <w:numId w:val="1"/>
        </w:numPr>
        <w:spacing w:line="240" w:lineRule="auto"/>
        <w:ind w:left="709" w:hanging="709"/>
        <w:rPr>
          <w:rFonts w:ascii="Arial" w:hAnsi="Arial" w:cs="Arial"/>
          <w:sz w:val="28"/>
          <w:szCs w:val="28"/>
        </w:rPr>
      </w:pPr>
      <w:r w:rsidRPr="00635137">
        <w:rPr>
          <w:rFonts w:ascii="Arial" w:hAnsi="Arial" w:cs="Arial"/>
          <w:b/>
          <w:bCs/>
          <w:sz w:val="28"/>
          <w:szCs w:val="28"/>
        </w:rPr>
        <w:t>Proceeds of Crime</w:t>
      </w:r>
      <w:r w:rsidRPr="00635137">
        <w:rPr>
          <w:rFonts w:ascii="Arial" w:hAnsi="Arial" w:cs="Arial"/>
          <w:sz w:val="28"/>
          <w:szCs w:val="28"/>
        </w:rPr>
        <w:br/>
        <w:t>The Proceeds of Crime Act will be utilised to recover any profits or gains derived from fraudulent activities, such as a fraudulent Right to Buy purchase</w:t>
      </w:r>
    </w:p>
    <w:p w14:paraId="6C048186" w14:textId="77777777" w:rsidR="00635137" w:rsidRPr="00635137" w:rsidRDefault="00635137" w:rsidP="00635137">
      <w:pPr>
        <w:pStyle w:val="ListParagraph"/>
        <w:rPr>
          <w:rFonts w:ascii="Arial" w:hAnsi="Arial" w:cs="Arial"/>
          <w:sz w:val="28"/>
          <w:szCs w:val="28"/>
        </w:rPr>
      </w:pPr>
    </w:p>
    <w:p w14:paraId="1B6D1ECF" w14:textId="168CB02B" w:rsidR="00DE66A2" w:rsidRPr="00E55121" w:rsidRDefault="00635137" w:rsidP="00FA7848">
      <w:pPr>
        <w:pStyle w:val="ListParagraph"/>
        <w:numPr>
          <w:ilvl w:val="1"/>
          <w:numId w:val="1"/>
        </w:numPr>
        <w:spacing w:line="240" w:lineRule="auto"/>
        <w:ind w:left="709" w:hanging="709"/>
        <w:rPr>
          <w:rFonts w:ascii="Arial" w:hAnsi="Arial" w:cs="Arial"/>
          <w:sz w:val="28"/>
          <w:szCs w:val="28"/>
        </w:rPr>
      </w:pPr>
      <w:r w:rsidRPr="00635137">
        <w:rPr>
          <w:rFonts w:ascii="Arial" w:hAnsi="Arial" w:cs="Arial"/>
          <w:b/>
          <w:bCs/>
          <w:sz w:val="28"/>
          <w:szCs w:val="28"/>
        </w:rPr>
        <w:t>Removal from Waiting List</w:t>
      </w:r>
      <w:r w:rsidRPr="00635137">
        <w:rPr>
          <w:rFonts w:ascii="Arial" w:hAnsi="Arial" w:cs="Arial"/>
          <w:sz w:val="28"/>
          <w:szCs w:val="28"/>
        </w:rPr>
        <w:br/>
        <w:t>Fraudulent applications will be removed from the waiting list, and the applicant may face a period of exclusion, typically lasting 12 months, before being permitted to reapply.</w:t>
      </w:r>
      <w:r>
        <w:rPr>
          <w:rFonts w:ascii="Arial" w:hAnsi="Arial" w:cs="Arial"/>
          <w:sz w:val="28"/>
          <w:szCs w:val="28"/>
        </w:rPr>
        <w:t xml:space="preserve"> </w:t>
      </w:r>
    </w:p>
    <w:p w14:paraId="389238E6" w14:textId="77777777" w:rsidR="007C4824" w:rsidRPr="00E55121" w:rsidRDefault="007C4824" w:rsidP="007C4824">
      <w:pPr>
        <w:pStyle w:val="ListParagraph"/>
        <w:rPr>
          <w:rFonts w:ascii="Arial" w:hAnsi="Arial" w:cs="Arial"/>
          <w:sz w:val="28"/>
          <w:szCs w:val="28"/>
        </w:rPr>
      </w:pPr>
    </w:p>
    <w:p w14:paraId="3F373DE8" w14:textId="25543721" w:rsidR="005C3652" w:rsidRDefault="005C3652" w:rsidP="00FA7848">
      <w:pPr>
        <w:pStyle w:val="ListParagraph"/>
        <w:numPr>
          <w:ilvl w:val="1"/>
          <w:numId w:val="1"/>
        </w:numPr>
        <w:spacing w:line="240" w:lineRule="auto"/>
        <w:ind w:left="567" w:hanging="709"/>
        <w:rPr>
          <w:rFonts w:ascii="Arial" w:hAnsi="Arial" w:cs="Arial"/>
          <w:sz w:val="28"/>
          <w:szCs w:val="28"/>
        </w:rPr>
      </w:pPr>
      <w:r w:rsidRPr="005C3652">
        <w:rPr>
          <w:rFonts w:ascii="Arial" w:hAnsi="Arial" w:cs="Arial"/>
          <w:b/>
          <w:bCs/>
          <w:sz w:val="28"/>
          <w:szCs w:val="28"/>
        </w:rPr>
        <w:t>Re-allocation of Properties</w:t>
      </w:r>
      <w:r w:rsidRPr="005C3652">
        <w:rPr>
          <w:rFonts w:ascii="Arial" w:hAnsi="Arial" w:cs="Arial"/>
          <w:sz w:val="28"/>
          <w:szCs w:val="28"/>
        </w:rPr>
        <w:br/>
        <w:t>Properties recovered from fraudulent use will be re-let in accordance with Sandwell Council’s Allocations Policy.</w:t>
      </w:r>
    </w:p>
    <w:p w14:paraId="454ECC97" w14:textId="77777777" w:rsidR="005C3652" w:rsidRPr="005C3652" w:rsidRDefault="005C3652" w:rsidP="005C3652">
      <w:pPr>
        <w:pStyle w:val="ListParagraph"/>
        <w:rPr>
          <w:rFonts w:ascii="Arial" w:hAnsi="Arial" w:cs="Arial"/>
          <w:sz w:val="28"/>
          <w:szCs w:val="28"/>
        </w:rPr>
      </w:pPr>
    </w:p>
    <w:p w14:paraId="39AD1EFF" w14:textId="7EDEC1E0" w:rsidR="0001191E" w:rsidRPr="0001191E" w:rsidRDefault="0001191E" w:rsidP="0001191E">
      <w:pPr>
        <w:pStyle w:val="ListParagraph"/>
        <w:numPr>
          <w:ilvl w:val="1"/>
          <w:numId w:val="1"/>
        </w:numPr>
        <w:spacing w:after="0" w:line="240" w:lineRule="auto"/>
        <w:ind w:left="567" w:hanging="709"/>
        <w:rPr>
          <w:rFonts w:ascii="Arial" w:hAnsi="Arial" w:cs="Arial"/>
          <w:b/>
          <w:bCs/>
          <w:sz w:val="28"/>
          <w:szCs w:val="28"/>
        </w:rPr>
      </w:pPr>
      <w:r w:rsidRPr="0001191E">
        <w:rPr>
          <w:rFonts w:ascii="Arial" w:hAnsi="Arial" w:cs="Arial"/>
          <w:b/>
          <w:bCs/>
          <w:sz w:val="28"/>
          <w:szCs w:val="28"/>
        </w:rPr>
        <w:t>Reporting Tenancy Fraud</w:t>
      </w:r>
    </w:p>
    <w:p w14:paraId="080D48D1" w14:textId="1B796DEB" w:rsidR="00393656" w:rsidRDefault="0001191E" w:rsidP="0001191E">
      <w:pPr>
        <w:pStyle w:val="ListParagraph"/>
        <w:spacing w:after="0" w:line="240" w:lineRule="auto"/>
        <w:ind w:left="567"/>
        <w:rPr>
          <w:rFonts w:ascii="Arial" w:hAnsi="Arial" w:cs="Arial"/>
          <w:sz w:val="28"/>
          <w:szCs w:val="28"/>
        </w:rPr>
      </w:pPr>
      <w:r>
        <w:rPr>
          <w:rFonts w:ascii="Arial" w:hAnsi="Arial" w:cs="Arial"/>
          <w:sz w:val="28"/>
          <w:szCs w:val="28"/>
        </w:rPr>
        <w:t>Fra</w:t>
      </w:r>
      <w:r w:rsidR="007C4824" w:rsidRPr="0001191E">
        <w:rPr>
          <w:rFonts w:ascii="Arial" w:hAnsi="Arial" w:cs="Arial"/>
          <w:sz w:val="28"/>
          <w:szCs w:val="28"/>
        </w:rPr>
        <w:t>udulent applications will be removed from the waiting list and applicants may face a period of exclusion (usually 12 months) before being allowed to reapply.</w:t>
      </w:r>
    </w:p>
    <w:p w14:paraId="242C417B" w14:textId="77777777" w:rsidR="0001191E" w:rsidRDefault="0001191E" w:rsidP="0001191E">
      <w:pPr>
        <w:pStyle w:val="ListParagraph"/>
        <w:spacing w:after="0" w:line="240" w:lineRule="auto"/>
        <w:ind w:left="567"/>
        <w:rPr>
          <w:rFonts w:ascii="Arial" w:hAnsi="Arial" w:cs="Arial"/>
          <w:b/>
          <w:bCs/>
          <w:sz w:val="28"/>
          <w:szCs w:val="28"/>
        </w:rPr>
      </w:pPr>
    </w:p>
    <w:p w14:paraId="55309E4B" w14:textId="77777777" w:rsidR="00A52669" w:rsidRDefault="00A52669" w:rsidP="0001191E">
      <w:pPr>
        <w:pStyle w:val="ListParagraph"/>
        <w:spacing w:after="0" w:line="240" w:lineRule="auto"/>
        <w:ind w:left="567"/>
        <w:rPr>
          <w:rFonts w:ascii="Arial" w:hAnsi="Arial" w:cs="Arial"/>
          <w:b/>
          <w:bCs/>
          <w:sz w:val="28"/>
          <w:szCs w:val="28"/>
        </w:rPr>
      </w:pPr>
    </w:p>
    <w:p w14:paraId="2EB955ED" w14:textId="77777777" w:rsidR="00A52669" w:rsidRPr="0001191E" w:rsidRDefault="00A52669" w:rsidP="0001191E">
      <w:pPr>
        <w:pStyle w:val="ListParagraph"/>
        <w:spacing w:after="0" w:line="240" w:lineRule="auto"/>
        <w:ind w:left="567"/>
        <w:rPr>
          <w:rFonts w:ascii="Arial" w:hAnsi="Arial" w:cs="Arial"/>
          <w:b/>
          <w:bCs/>
          <w:sz w:val="28"/>
          <w:szCs w:val="28"/>
        </w:rPr>
      </w:pPr>
    </w:p>
    <w:p w14:paraId="37D45343" w14:textId="77777777" w:rsidR="0001191E" w:rsidRDefault="00393656" w:rsidP="0001191E">
      <w:pPr>
        <w:pStyle w:val="ListParagraph"/>
        <w:numPr>
          <w:ilvl w:val="1"/>
          <w:numId w:val="1"/>
        </w:numPr>
        <w:spacing w:before="240" w:line="240" w:lineRule="auto"/>
        <w:ind w:left="567" w:hanging="709"/>
        <w:rPr>
          <w:rFonts w:ascii="Arial" w:hAnsi="Arial" w:cs="Arial"/>
          <w:b/>
          <w:bCs/>
          <w:sz w:val="28"/>
          <w:szCs w:val="28"/>
        </w:rPr>
      </w:pPr>
      <w:r w:rsidRPr="00E55121">
        <w:rPr>
          <w:rFonts w:ascii="Arial" w:hAnsi="Arial" w:cs="Arial"/>
          <w:b/>
          <w:bCs/>
          <w:sz w:val="28"/>
          <w:szCs w:val="28"/>
        </w:rPr>
        <w:lastRenderedPageBreak/>
        <w:t xml:space="preserve">How </w:t>
      </w:r>
      <w:r w:rsidR="005B5C87" w:rsidRPr="00E55121">
        <w:rPr>
          <w:rFonts w:ascii="Arial" w:hAnsi="Arial" w:cs="Arial"/>
          <w:b/>
          <w:bCs/>
          <w:sz w:val="28"/>
          <w:szCs w:val="28"/>
        </w:rPr>
        <w:t>You</w:t>
      </w:r>
      <w:r w:rsidRPr="00E55121">
        <w:rPr>
          <w:rFonts w:ascii="Arial" w:hAnsi="Arial" w:cs="Arial"/>
          <w:b/>
          <w:bCs/>
          <w:sz w:val="28"/>
          <w:szCs w:val="28"/>
        </w:rPr>
        <w:t xml:space="preserve"> Can Report Fraud</w:t>
      </w:r>
    </w:p>
    <w:p w14:paraId="704A34BF" w14:textId="5D04CC33" w:rsidR="00393656" w:rsidRPr="0001191E" w:rsidRDefault="0001191E" w:rsidP="0001191E">
      <w:pPr>
        <w:pStyle w:val="ListParagraph"/>
        <w:spacing w:before="240" w:line="240" w:lineRule="auto"/>
        <w:ind w:left="567"/>
        <w:rPr>
          <w:rFonts w:ascii="Arial" w:hAnsi="Arial" w:cs="Arial"/>
          <w:b/>
          <w:bCs/>
          <w:sz w:val="28"/>
          <w:szCs w:val="28"/>
        </w:rPr>
      </w:pPr>
      <w:r>
        <w:rPr>
          <w:rFonts w:ascii="Arial" w:hAnsi="Arial" w:cs="Arial"/>
          <w:sz w:val="28"/>
          <w:szCs w:val="28"/>
        </w:rPr>
        <w:t>T</w:t>
      </w:r>
      <w:r w:rsidR="00393656" w:rsidRPr="0001191E">
        <w:rPr>
          <w:rFonts w:ascii="Arial" w:hAnsi="Arial" w:cs="Arial"/>
          <w:sz w:val="28"/>
          <w:szCs w:val="28"/>
        </w:rPr>
        <w:t xml:space="preserve">he council operates a zero tolerance on </w:t>
      </w:r>
      <w:proofErr w:type="gramStart"/>
      <w:r w:rsidR="00393656" w:rsidRPr="0001191E">
        <w:rPr>
          <w:rFonts w:ascii="Arial" w:hAnsi="Arial" w:cs="Arial"/>
          <w:sz w:val="28"/>
          <w:szCs w:val="28"/>
        </w:rPr>
        <w:t>fraud,</w:t>
      </w:r>
      <w:proofErr w:type="gramEnd"/>
      <w:r w:rsidR="00393656" w:rsidRPr="0001191E">
        <w:rPr>
          <w:rFonts w:ascii="Arial" w:hAnsi="Arial" w:cs="Arial"/>
          <w:sz w:val="28"/>
          <w:szCs w:val="28"/>
        </w:rPr>
        <w:t xml:space="preserve"> all instances are investigated and the perpetrator(s) dealt with in accordance with the </w:t>
      </w:r>
      <w:r w:rsidR="005B5C87" w:rsidRPr="0001191E">
        <w:rPr>
          <w:rFonts w:ascii="Arial" w:hAnsi="Arial" w:cs="Arial"/>
          <w:sz w:val="28"/>
          <w:szCs w:val="28"/>
        </w:rPr>
        <w:t>Tenancy</w:t>
      </w:r>
      <w:r w:rsidR="00393656" w:rsidRPr="0001191E">
        <w:rPr>
          <w:rFonts w:ascii="Arial" w:hAnsi="Arial" w:cs="Arial"/>
          <w:sz w:val="28"/>
          <w:szCs w:val="28"/>
        </w:rPr>
        <w:t xml:space="preserve"> Fraud Policy.</w:t>
      </w:r>
    </w:p>
    <w:p w14:paraId="5170429E" w14:textId="77777777" w:rsidR="0068684E" w:rsidRPr="00E55121" w:rsidRDefault="0068684E" w:rsidP="0068684E">
      <w:pPr>
        <w:pStyle w:val="ListParagraph"/>
        <w:spacing w:before="240" w:line="240" w:lineRule="auto"/>
        <w:ind w:left="709"/>
        <w:rPr>
          <w:rFonts w:ascii="Arial" w:hAnsi="Arial" w:cs="Arial"/>
          <w:sz w:val="28"/>
          <w:szCs w:val="28"/>
        </w:rPr>
      </w:pPr>
    </w:p>
    <w:p w14:paraId="611CAD0B" w14:textId="2971E3FB" w:rsidR="0068684E" w:rsidRPr="0001191E" w:rsidRDefault="0068684E" w:rsidP="004A7F7B">
      <w:pPr>
        <w:pStyle w:val="ListParagraph"/>
        <w:numPr>
          <w:ilvl w:val="1"/>
          <w:numId w:val="1"/>
        </w:numPr>
        <w:spacing w:before="240" w:line="240" w:lineRule="auto"/>
        <w:ind w:left="567" w:hanging="709"/>
        <w:rPr>
          <w:rFonts w:ascii="Arial" w:hAnsi="Arial" w:cs="Arial"/>
          <w:sz w:val="28"/>
          <w:szCs w:val="28"/>
        </w:rPr>
      </w:pPr>
      <w:r w:rsidRPr="0001191E">
        <w:rPr>
          <w:rFonts w:ascii="Arial" w:hAnsi="Arial" w:cs="Arial"/>
          <w:sz w:val="28"/>
          <w:szCs w:val="28"/>
        </w:rPr>
        <w:t>You can report tenancy fraud in the following ways:</w:t>
      </w:r>
    </w:p>
    <w:p w14:paraId="2720B7E5" w14:textId="2CCEE303" w:rsidR="0068684E" w:rsidRPr="00E55121" w:rsidRDefault="0068684E" w:rsidP="0001191E">
      <w:pPr>
        <w:pStyle w:val="ListParagraph"/>
        <w:numPr>
          <w:ilvl w:val="0"/>
          <w:numId w:val="23"/>
        </w:numPr>
        <w:spacing w:before="240"/>
        <w:ind w:left="927"/>
        <w:rPr>
          <w:rFonts w:ascii="Arial" w:hAnsi="Arial" w:cs="Arial"/>
          <w:sz w:val="28"/>
          <w:szCs w:val="28"/>
        </w:rPr>
      </w:pPr>
      <w:r w:rsidRPr="00E55121">
        <w:rPr>
          <w:rFonts w:ascii="Arial" w:hAnsi="Arial" w:cs="Arial"/>
          <w:sz w:val="28"/>
          <w:szCs w:val="28"/>
        </w:rPr>
        <w:t xml:space="preserve">Online: via </w:t>
      </w:r>
      <w:hyperlink r:id="rId14" w:history="1">
        <w:r w:rsidRPr="00E55121">
          <w:rPr>
            <w:rStyle w:val="Hyperlink"/>
            <w:rFonts w:ascii="Arial" w:hAnsi="Arial" w:cs="Arial"/>
            <w:sz w:val="28"/>
            <w:szCs w:val="28"/>
          </w:rPr>
          <w:t>MySandwell</w:t>
        </w:r>
      </w:hyperlink>
    </w:p>
    <w:p w14:paraId="3C1744CF" w14:textId="04DCD695" w:rsidR="005B5C87" w:rsidRPr="00E55121" w:rsidRDefault="005B5C87" w:rsidP="0001191E">
      <w:pPr>
        <w:pStyle w:val="ListParagraph"/>
        <w:numPr>
          <w:ilvl w:val="0"/>
          <w:numId w:val="23"/>
        </w:numPr>
        <w:spacing w:before="240"/>
        <w:ind w:left="927"/>
        <w:rPr>
          <w:rFonts w:ascii="Arial" w:hAnsi="Arial" w:cs="Arial"/>
          <w:sz w:val="28"/>
          <w:szCs w:val="28"/>
        </w:rPr>
      </w:pPr>
      <w:r w:rsidRPr="00E55121">
        <w:rPr>
          <w:rFonts w:ascii="Arial" w:hAnsi="Arial" w:cs="Arial"/>
          <w:sz w:val="28"/>
          <w:szCs w:val="28"/>
        </w:rPr>
        <w:t>Email: </w:t>
      </w:r>
      <w:hyperlink r:id="rId15" w:history="1">
        <w:r w:rsidRPr="00E55121">
          <w:rPr>
            <w:rStyle w:val="Hyperlink"/>
            <w:rFonts w:ascii="Arial" w:hAnsi="Arial" w:cs="Arial"/>
            <w:sz w:val="28"/>
            <w:szCs w:val="28"/>
          </w:rPr>
          <w:t>fraud_investigation@sandwell.gov.uk</w:t>
        </w:r>
      </w:hyperlink>
    </w:p>
    <w:p w14:paraId="60D45F9B" w14:textId="63345002" w:rsidR="00393656" w:rsidRPr="00E55121" w:rsidRDefault="005B5C87" w:rsidP="0001191E">
      <w:pPr>
        <w:pStyle w:val="ListParagraph"/>
        <w:numPr>
          <w:ilvl w:val="0"/>
          <w:numId w:val="23"/>
        </w:numPr>
        <w:spacing w:before="240"/>
        <w:ind w:left="927"/>
        <w:rPr>
          <w:rFonts w:ascii="Arial" w:hAnsi="Arial" w:cs="Arial"/>
          <w:sz w:val="28"/>
          <w:szCs w:val="28"/>
        </w:rPr>
      </w:pPr>
      <w:r w:rsidRPr="00E55121">
        <w:rPr>
          <w:rFonts w:ascii="Arial" w:hAnsi="Arial" w:cs="Arial"/>
          <w:sz w:val="28"/>
          <w:szCs w:val="28"/>
        </w:rPr>
        <w:t>Post: Counter Fraud Unit, PO Box 16328, Oldbury, B69 9EZ</w:t>
      </w:r>
    </w:p>
    <w:p w14:paraId="2CC51D4D" w14:textId="77777777" w:rsidR="00C35481" w:rsidRPr="00E55121" w:rsidRDefault="00C35481" w:rsidP="00C35481">
      <w:pPr>
        <w:pStyle w:val="ListParagraph"/>
        <w:ind w:left="567"/>
        <w:rPr>
          <w:rFonts w:ascii="Arial" w:hAnsi="Arial" w:cs="Arial"/>
          <w:sz w:val="28"/>
          <w:szCs w:val="28"/>
        </w:rPr>
      </w:pPr>
    </w:p>
    <w:p w14:paraId="2101CB8C" w14:textId="77777777" w:rsidR="00C35481" w:rsidRPr="00E55121" w:rsidRDefault="00C35481" w:rsidP="00C35481">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10" w:name="_Toc192154814"/>
      <w:r w:rsidRPr="00E55121">
        <w:rPr>
          <w:rFonts w:ascii="Arial" w:eastAsiaTheme="majorEastAsia" w:hAnsi="Arial" w:cs="Arial"/>
          <w:b/>
          <w:bCs/>
          <w:color w:val="2F5496" w:themeColor="accent1" w:themeShade="BF"/>
          <w:sz w:val="28"/>
          <w:szCs w:val="28"/>
        </w:rPr>
        <w:t>Development of Policy</w:t>
      </w:r>
      <w:bookmarkEnd w:id="10"/>
    </w:p>
    <w:p w14:paraId="5CEA72A7" w14:textId="77777777" w:rsidR="00C35481" w:rsidRPr="00E55121" w:rsidRDefault="00C35481" w:rsidP="00C35481">
      <w:pPr>
        <w:pStyle w:val="ListParagraph"/>
        <w:ind w:left="567"/>
        <w:rPr>
          <w:rFonts w:ascii="Arial" w:hAnsi="Arial" w:cs="Arial"/>
          <w:sz w:val="28"/>
          <w:szCs w:val="28"/>
        </w:rPr>
      </w:pPr>
    </w:p>
    <w:p w14:paraId="293D64BC" w14:textId="77777777" w:rsidR="00C35481" w:rsidRPr="00E55121" w:rsidRDefault="00C35481" w:rsidP="00C35481">
      <w:pPr>
        <w:pStyle w:val="ListParagraph"/>
        <w:numPr>
          <w:ilvl w:val="1"/>
          <w:numId w:val="1"/>
        </w:numPr>
        <w:ind w:left="567" w:hanging="567"/>
        <w:rPr>
          <w:rFonts w:ascii="Arial" w:hAnsi="Arial" w:cs="Arial"/>
          <w:sz w:val="28"/>
          <w:szCs w:val="28"/>
        </w:rPr>
      </w:pPr>
      <w:r w:rsidRPr="00E55121">
        <w:rPr>
          <w:rFonts w:ascii="Arial" w:hAnsi="Arial" w:cs="Arial"/>
          <w:sz w:val="28"/>
          <w:szCs w:val="28"/>
        </w:rPr>
        <w:t xml:space="preserve">This policy has been developed by the Council’s Tenancy Management </w:t>
      </w:r>
      <w:r>
        <w:rPr>
          <w:rFonts w:ascii="Arial" w:hAnsi="Arial" w:cs="Arial"/>
          <w:sz w:val="28"/>
          <w:szCs w:val="28"/>
        </w:rPr>
        <w:t>T</w:t>
      </w:r>
      <w:r w:rsidRPr="00E55121">
        <w:rPr>
          <w:rFonts w:ascii="Arial" w:hAnsi="Arial" w:cs="Arial"/>
          <w:sz w:val="28"/>
          <w:szCs w:val="28"/>
        </w:rPr>
        <w:t xml:space="preserve">eam and the Counter Fraud Unit. </w:t>
      </w:r>
    </w:p>
    <w:p w14:paraId="334E41A3" w14:textId="77777777" w:rsidR="00C35481" w:rsidRPr="00E55121" w:rsidRDefault="00C35481" w:rsidP="00C35481">
      <w:pPr>
        <w:pStyle w:val="ListParagraph"/>
        <w:ind w:left="567"/>
        <w:rPr>
          <w:rFonts w:ascii="Arial" w:hAnsi="Arial" w:cs="Arial"/>
          <w:sz w:val="28"/>
          <w:szCs w:val="28"/>
        </w:rPr>
      </w:pPr>
    </w:p>
    <w:p w14:paraId="5C38CCAD" w14:textId="77777777" w:rsidR="00C35481" w:rsidRPr="00E55121" w:rsidRDefault="00C35481" w:rsidP="00C35481">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11" w:name="_Toc192154815"/>
      <w:r w:rsidRPr="00E55121">
        <w:rPr>
          <w:rFonts w:ascii="Arial" w:eastAsiaTheme="majorEastAsia" w:hAnsi="Arial" w:cs="Arial"/>
          <w:b/>
          <w:bCs/>
          <w:color w:val="2F5496" w:themeColor="accent1" w:themeShade="BF"/>
          <w:sz w:val="28"/>
          <w:szCs w:val="28"/>
        </w:rPr>
        <w:t>Related Documents</w:t>
      </w:r>
      <w:bookmarkEnd w:id="11"/>
      <w:r w:rsidRPr="00E55121">
        <w:rPr>
          <w:rFonts w:ascii="Arial" w:eastAsiaTheme="majorEastAsia" w:hAnsi="Arial" w:cs="Arial"/>
          <w:b/>
          <w:bCs/>
          <w:color w:val="2F5496" w:themeColor="accent1" w:themeShade="BF"/>
          <w:sz w:val="28"/>
          <w:szCs w:val="28"/>
        </w:rPr>
        <w:t xml:space="preserve"> </w:t>
      </w:r>
    </w:p>
    <w:p w14:paraId="0A10E71C" w14:textId="77777777" w:rsidR="00C35481" w:rsidRPr="00E55121" w:rsidRDefault="00C35481" w:rsidP="00C35481">
      <w:pPr>
        <w:keepNext/>
        <w:keepLines/>
        <w:spacing w:after="0"/>
        <w:outlineLvl w:val="0"/>
        <w:rPr>
          <w:rFonts w:ascii="Arial" w:eastAsiaTheme="majorEastAsia" w:hAnsi="Arial" w:cs="Arial"/>
          <w:b/>
          <w:bCs/>
          <w:color w:val="2F5496" w:themeColor="accent1" w:themeShade="BF"/>
          <w:sz w:val="28"/>
          <w:szCs w:val="28"/>
        </w:rPr>
      </w:pPr>
    </w:p>
    <w:p w14:paraId="457EE3FB" w14:textId="77777777" w:rsidR="00C35481" w:rsidRPr="00E55121" w:rsidRDefault="00C35481" w:rsidP="00C35481">
      <w:pPr>
        <w:pStyle w:val="ListParagraph"/>
        <w:numPr>
          <w:ilvl w:val="1"/>
          <w:numId w:val="1"/>
        </w:numPr>
        <w:ind w:left="567" w:hanging="567"/>
        <w:rPr>
          <w:rFonts w:ascii="Arial" w:hAnsi="Arial" w:cs="Arial"/>
          <w:sz w:val="28"/>
          <w:szCs w:val="28"/>
        </w:rPr>
      </w:pPr>
      <w:r w:rsidRPr="00E55121">
        <w:rPr>
          <w:rFonts w:ascii="Arial" w:hAnsi="Arial" w:cs="Arial"/>
          <w:sz w:val="28"/>
          <w:szCs w:val="28"/>
        </w:rPr>
        <w:t>The following documents should be considered in conjunction with this policy:</w:t>
      </w:r>
    </w:p>
    <w:p w14:paraId="2FFCE09D" w14:textId="77777777" w:rsidR="00C35481" w:rsidRPr="00E55121" w:rsidRDefault="00C35481" w:rsidP="00C35481">
      <w:pPr>
        <w:pStyle w:val="ListParagraph"/>
        <w:numPr>
          <w:ilvl w:val="0"/>
          <w:numId w:val="9"/>
        </w:numPr>
        <w:rPr>
          <w:rFonts w:ascii="Arial" w:hAnsi="Arial" w:cs="Arial"/>
          <w:sz w:val="28"/>
          <w:szCs w:val="28"/>
        </w:rPr>
      </w:pPr>
      <w:hyperlink r:id="rId16" w:history="1">
        <w:r w:rsidRPr="001D316A">
          <w:rPr>
            <w:rStyle w:val="Hyperlink"/>
            <w:rFonts w:ascii="Arial" w:hAnsi="Arial" w:cs="Arial"/>
            <w:sz w:val="28"/>
            <w:szCs w:val="28"/>
          </w:rPr>
          <w:t>Anti-Fraud and Corruption Policy</w:t>
        </w:r>
      </w:hyperlink>
    </w:p>
    <w:p w14:paraId="1341A501" w14:textId="77777777" w:rsidR="00C35481" w:rsidRPr="00E55121" w:rsidRDefault="00C35481" w:rsidP="00C35481">
      <w:pPr>
        <w:pStyle w:val="ListParagraph"/>
        <w:numPr>
          <w:ilvl w:val="0"/>
          <w:numId w:val="9"/>
        </w:numPr>
        <w:rPr>
          <w:rFonts w:ascii="Arial" w:hAnsi="Arial" w:cs="Arial"/>
          <w:sz w:val="28"/>
          <w:szCs w:val="28"/>
        </w:rPr>
      </w:pPr>
      <w:hyperlink r:id="rId17" w:history="1">
        <w:r w:rsidRPr="001D316A">
          <w:rPr>
            <w:rStyle w:val="Hyperlink"/>
            <w:rFonts w:ascii="Arial" w:hAnsi="Arial" w:cs="Arial"/>
            <w:sz w:val="28"/>
            <w:szCs w:val="28"/>
          </w:rPr>
          <w:t>Counter Fraud Strategy</w:t>
        </w:r>
      </w:hyperlink>
    </w:p>
    <w:p w14:paraId="5863D328" w14:textId="77777777" w:rsidR="00C35481" w:rsidRPr="00E55121" w:rsidRDefault="00C35481" w:rsidP="00C35481">
      <w:pPr>
        <w:pStyle w:val="ListParagraph"/>
        <w:numPr>
          <w:ilvl w:val="0"/>
          <w:numId w:val="9"/>
        </w:numPr>
        <w:rPr>
          <w:rFonts w:ascii="Arial" w:hAnsi="Arial" w:cs="Arial"/>
          <w:sz w:val="28"/>
          <w:szCs w:val="28"/>
        </w:rPr>
      </w:pPr>
      <w:r w:rsidRPr="00E55121">
        <w:rPr>
          <w:rFonts w:ascii="Arial" w:hAnsi="Arial" w:cs="Arial"/>
          <w:sz w:val="28"/>
          <w:szCs w:val="28"/>
        </w:rPr>
        <w:t>Tenancy Sustainment Policy (Draft)</w:t>
      </w:r>
    </w:p>
    <w:p w14:paraId="08A87D6D" w14:textId="77777777" w:rsidR="00C35481" w:rsidRDefault="00C35481" w:rsidP="00C35481">
      <w:pPr>
        <w:pStyle w:val="ListParagraph"/>
        <w:numPr>
          <w:ilvl w:val="0"/>
          <w:numId w:val="9"/>
        </w:numPr>
        <w:rPr>
          <w:rFonts w:ascii="Arial" w:hAnsi="Arial" w:cs="Arial"/>
          <w:sz w:val="28"/>
          <w:szCs w:val="28"/>
        </w:rPr>
      </w:pPr>
      <w:hyperlink r:id="rId18" w:history="1">
        <w:r w:rsidRPr="00376AE6">
          <w:rPr>
            <w:rStyle w:val="Hyperlink"/>
            <w:rFonts w:ascii="Arial" w:hAnsi="Arial" w:cs="Arial"/>
            <w:sz w:val="28"/>
            <w:szCs w:val="28"/>
          </w:rPr>
          <w:t>Housing Allocations Policy</w:t>
        </w:r>
      </w:hyperlink>
    </w:p>
    <w:p w14:paraId="42E0748C" w14:textId="77777777" w:rsidR="00C35481" w:rsidRDefault="00C35481" w:rsidP="00C35481">
      <w:pPr>
        <w:pStyle w:val="ListParagraph"/>
        <w:numPr>
          <w:ilvl w:val="0"/>
          <w:numId w:val="9"/>
        </w:numPr>
        <w:rPr>
          <w:rFonts w:ascii="Arial" w:hAnsi="Arial" w:cs="Arial"/>
          <w:sz w:val="28"/>
          <w:szCs w:val="28"/>
        </w:rPr>
      </w:pPr>
      <w:hyperlink r:id="rId19" w:history="1">
        <w:r w:rsidRPr="00376AE6">
          <w:rPr>
            <w:rStyle w:val="Hyperlink"/>
            <w:rFonts w:ascii="Arial" w:hAnsi="Arial" w:cs="Arial"/>
            <w:sz w:val="28"/>
            <w:szCs w:val="28"/>
          </w:rPr>
          <w:t>Tenant Handbook</w:t>
        </w:r>
      </w:hyperlink>
    </w:p>
    <w:p w14:paraId="37E3F04F" w14:textId="77777777" w:rsidR="00C35481" w:rsidRPr="00E55121" w:rsidRDefault="00C35481" w:rsidP="00C35481">
      <w:pPr>
        <w:pStyle w:val="ListParagraph"/>
        <w:numPr>
          <w:ilvl w:val="0"/>
          <w:numId w:val="9"/>
        </w:numPr>
        <w:rPr>
          <w:rFonts w:ascii="Arial" w:hAnsi="Arial" w:cs="Arial"/>
          <w:sz w:val="28"/>
          <w:szCs w:val="28"/>
        </w:rPr>
      </w:pPr>
      <w:hyperlink r:id="rId20" w:history="1">
        <w:r w:rsidRPr="00376AE6">
          <w:rPr>
            <w:rStyle w:val="Hyperlink"/>
            <w:rFonts w:ascii="Arial" w:hAnsi="Arial" w:cs="Arial"/>
            <w:sz w:val="28"/>
            <w:szCs w:val="28"/>
          </w:rPr>
          <w:t>Tenancy Conditions</w:t>
        </w:r>
      </w:hyperlink>
    </w:p>
    <w:p w14:paraId="3E86CB2F" w14:textId="77777777" w:rsidR="00C35481" w:rsidRPr="00E55121" w:rsidRDefault="00C35481" w:rsidP="00C35481">
      <w:pPr>
        <w:pStyle w:val="ListParagraph"/>
        <w:rPr>
          <w:rFonts w:ascii="Arial" w:hAnsi="Arial" w:cs="Arial"/>
          <w:sz w:val="28"/>
          <w:szCs w:val="28"/>
        </w:rPr>
      </w:pPr>
    </w:p>
    <w:p w14:paraId="542DA4A9" w14:textId="77777777" w:rsidR="00C35481" w:rsidRDefault="00C35481" w:rsidP="00C35481">
      <w:pPr>
        <w:pStyle w:val="ListParagraph"/>
        <w:numPr>
          <w:ilvl w:val="1"/>
          <w:numId w:val="1"/>
        </w:numPr>
        <w:ind w:left="567" w:hanging="567"/>
        <w:rPr>
          <w:rFonts w:ascii="Arial" w:hAnsi="Arial" w:cs="Arial"/>
          <w:sz w:val="28"/>
          <w:szCs w:val="28"/>
        </w:rPr>
      </w:pPr>
      <w:r w:rsidRPr="00376AE6">
        <w:rPr>
          <w:rFonts w:ascii="Arial" w:hAnsi="Arial" w:cs="Arial"/>
          <w:sz w:val="28"/>
          <w:szCs w:val="28"/>
        </w:rPr>
        <w:t xml:space="preserve">Relevant information, along with a </w:t>
      </w:r>
      <w:hyperlink r:id="rId21" w:history="1">
        <w:r w:rsidRPr="00376AE6">
          <w:rPr>
            <w:rStyle w:val="Hyperlink"/>
            <w:rFonts w:ascii="Arial" w:hAnsi="Arial" w:cs="Arial"/>
            <w:sz w:val="28"/>
            <w:szCs w:val="28"/>
          </w:rPr>
          <w:t>reporting mechanism</w:t>
        </w:r>
      </w:hyperlink>
      <w:r>
        <w:rPr>
          <w:rFonts w:ascii="Arial" w:hAnsi="Arial" w:cs="Arial"/>
          <w:sz w:val="28"/>
          <w:szCs w:val="28"/>
        </w:rPr>
        <w:t xml:space="preserve"> </w:t>
      </w:r>
      <w:r w:rsidRPr="00376AE6">
        <w:rPr>
          <w:rFonts w:ascii="Arial" w:hAnsi="Arial" w:cs="Arial"/>
          <w:sz w:val="28"/>
          <w:szCs w:val="28"/>
        </w:rPr>
        <w:t>for Tenancy Fraud, is also available to the public on the Council's website.</w:t>
      </w:r>
    </w:p>
    <w:p w14:paraId="5F189F51" w14:textId="77777777" w:rsidR="00C35481" w:rsidRPr="00C54A75" w:rsidRDefault="00C35481" w:rsidP="00C35481">
      <w:pPr>
        <w:pStyle w:val="ListParagraph"/>
        <w:ind w:left="567"/>
        <w:rPr>
          <w:rFonts w:ascii="Arial" w:hAnsi="Arial" w:cs="Arial"/>
          <w:sz w:val="28"/>
          <w:szCs w:val="28"/>
        </w:rPr>
      </w:pPr>
    </w:p>
    <w:p w14:paraId="7612D862" w14:textId="77777777" w:rsidR="00C35481" w:rsidRPr="00E55121" w:rsidRDefault="00C35481" w:rsidP="00C35481">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12" w:name="_Toc192154816"/>
      <w:bookmarkStart w:id="13" w:name="_Hlk164765064"/>
      <w:r w:rsidRPr="00E55121">
        <w:rPr>
          <w:rFonts w:ascii="Arial" w:eastAsiaTheme="majorEastAsia" w:hAnsi="Arial" w:cs="Arial"/>
          <w:b/>
          <w:bCs/>
          <w:color w:val="2F5496" w:themeColor="accent1" w:themeShade="BF"/>
          <w:sz w:val="28"/>
          <w:szCs w:val="28"/>
        </w:rPr>
        <w:t>Legal Framework</w:t>
      </w:r>
      <w:bookmarkEnd w:id="12"/>
      <w:r w:rsidRPr="00E55121">
        <w:rPr>
          <w:rFonts w:ascii="Arial" w:eastAsiaTheme="majorEastAsia" w:hAnsi="Arial" w:cs="Arial"/>
          <w:b/>
          <w:bCs/>
          <w:color w:val="2F5496" w:themeColor="accent1" w:themeShade="BF"/>
          <w:sz w:val="28"/>
          <w:szCs w:val="28"/>
        </w:rPr>
        <w:t xml:space="preserve"> </w:t>
      </w:r>
    </w:p>
    <w:bookmarkEnd w:id="13"/>
    <w:p w14:paraId="4C042482" w14:textId="77777777" w:rsidR="00C35481" w:rsidRPr="00E55121" w:rsidRDefault="00C35481" w:rsidP="00C35481">
      <w:pPr>
        <w:keepNext/>
        <w:keepLines/>
        <w:spacing w:after="0"/>
        <w:outlineLvl w:val="0"/>
        <w:rPr>
          <w:rFonts w:ascii="Arial" w:eastAsiaTheme="majorEastAsia" w:hAnsi="Arial" w:cs="Arial"/>
          <w:b/>
          <w:bCs/>
          <w:color w:val="2F5496" w:themeColor="accent1" w:themeShade="BF"/>
          <w:sz w:val="28"/>
          <w:szCs w:val="28"/>
        </w:rPr>
      </w:pPr>
    </w:p>
    <w:p w14:paraId="55F96146" w14:textId="77777777" w:rsidR="00C35481" w:rsidRPr="00E55121" w:rsidRDefault="00C35481" w:rsidP="00C35481">
      <w:pPr>
        <w:pStyle w:val="ListParagraph"/>
        <w:numPr>
          <w:ilvl w:val="1"/>
          <w:numId w:val="1"/>
        </w:numPr>
        <w:ind w:left="567" w:hanging="567"/>
        <w:rPr>
          <w:rFonts w:ascii="Arial" w:hAnsi="Arial" w:cs="Arial"/>
          <w:sz w:val="28"/>
          <w:szCs w:val="28"/>
        </w:rPr>
      </w:pPr>
      <w:r w:rsidRPr="00600946">
        <w:rPr>
          <w:rFonts w:ascii="Arial" w:hAnsi="Arial" w:cs="Arial"/>
          <w:sz w:val="28"/>
          <w:szCs w:val="28"/>
        </w:rPr>
        <w:t xml:space="preserve">The following documents that should read in conjunction with this  policy: </w:t>
      </w:r>
    </w:p>
    <w:p w14:paraId="5B15904C" w14:textId="77777777" w:rsidR="00C35481" w:rsidRPr="00376AE6" w:rsidRDefault="00C35481" w:rsidP="00C35481">
      <w:pPr>
        <w:pStyle w:val="ListParagraph"/>
        <w:numPr>
          <w:ilvl w:val="0"/>
          <w:numId w:val="26"/>
        </w:numPr>
        <w:rPr>
          <w:rFonts w:ascii="Arial" w:hAnsi="Arial" w:cs="Arial"/>
          <w:sz w:val="28"/>
          <w:szCs w:val="28"/>
        </w:rPr>
      </w:pPr>
      <w:r w:rsidRPr="00376AE6">
        <w:rPr>
          <w:rFonts w:ascii="Arial" w:hAnsi="Arial" w:cs="Arial"/>
          <w:sz w:val="28"/>
          <w:szCs w:val="28"/>
        </w:rPr>
        <w:t>Prevention of Social Housing Fraud Act 2013</w:t>
      </w:r>
    </w:p>
    <w:p w14:paraId="654D9397" w14:textId="77777777" w:rsidR="00C35481" w:rsidRPr="00376AE6" w:rsidRDefault="00C35481" w:rsidP="00C35481">
      <w:pPr>
        <w:pStyle w:val="ListParagraph"/>
        <w:numPr>
          <w:ilvl w:val="0"/>
          <w:numId w:val="26"/>
        </w:numPr>
        <w:rPr>
          <w:rFonts w:ascii="Arial" w:hAnsi="Arial" w:cs="Arial"/>
          <w:sz w:val="28"/>
          <w:szCs w:val="28"/>
        </w:rPr>
      </w:pPr>
      <w:r w:rsidRPr="00376AE6">
        <w:rPr>
          <w:rFonts w:ascii="Arial" w:hAnsi="Arial" w:cs="Arial"/>
          <w:sz w:val="28"/>
          <w:szCs w:val="28"/>
        </w:rPr>
        <w:t>Housing Act 1985</w:t>
      </w:r>
    </w:p>
    <w:p w14:paraId="6C23FBD8" w14:textId="77777777" w:rsidR="00C35481" w:rsidRPr="00376AE6" w:rsidRDefault="00C35481" w:rsidP="00C35481">
      <w:pPr>
        <w:pStyle w:val="ListParagraph"/>
        <w:numPr>
          <w:ilvl w:val="0"/>
          <w:numId w:val="26"/>
        </w:numPr>
        <w:rPr>
          <w:rFonts w:ascii="Arial" w:hAnsi="Arial" w:cs="Arial"/>
          <w:sz w:val="28"/>
          <w:szCs w:val="28"/>
        </w:rPr>
      </w:pPr>
      <w:r w:rsidRPr="00376AE6">
        <w:rPr>
          <w:rFonts w:ascii="Arial" w:hAnsi="Arial" w:cs="Arial"/>
          <w:sz w:val="28"/>
          <w:szCs w:val="28"/>
        </w:rPr>
        <w:t>Housing Act 1988</w:t>
      </w:r>
    </w:p>
    <w:p w14:paraId="3B816E34" w14:textId="77777777" w:rsidR="00C35481" w:rsidRPr="00376AE6" w:rsidRDefault="00C35481" w:rsidP="00C35481">
      <w:pPr>
        <w:pStyle w:val="ListParagraph"/>
        <w:numPr>
          <w:ilvl w:val="0"/>
          <w:numId w:val="26"/>
        </w:numPr>
        <w:rPr>
          <w:rFonts w:ascii="Arial" w:hAnsi="Arial" w:cs="Arial"/>
          <w:sz w:val="28"/>
          <w:szCs w:val="28"/>
        </w:rPr>
      </w:pPr>
      <w:r w:rsidRPr="00376AE6">
        <w:rPr>
          <w:rFonts w:ascii="Arial" w:hAnsi="Arial" w:cs="Arial"/>
          <w:sz w:val="28"/>
          <w:szCs w:val="28"/>
        </w:rPr>
        <w:t>Theft Act 1968</w:t>
      </w:r>
    </w:p>
    <w:p w14:paraId="6F6D878C" w14:textId="77777777" w:rsidR="00C35481" w:rsidRPr="00376AE6" w:rsidRDefault="00C35481" w:rsidP="00C35481">
      <w:pPr>
        <w:pStyle w:val="ListParagraph"/>
        <w:numPr>
          <w:ilvl w:val="0"/>
          <w:numId w:val="26"/>
        </w:numPr>
        <w:rPr>
          <w:rFonts w:ascii="Arial" w:hAnsi="Arial" w:cs="Arial"/>
          <w:sz w:val="28"/>
          <w:szCs w:val="28"/>
        </w:rPr>
      </w:pPr>
      <w:r w:rsidRPr="00376AE6">
        <w:rPr>
          <w:rFonts w:ascii="Arial" w:hAnsi="Arial" w:cs="Arial"/>
          <w:sz w:val="28"/>
          <w:szCs w:val="28"/>
        </w:rPr>
        <w:lastRenderedPageBreak/>
        <w:t>Proceeds of Crime Act 2002</w:t>
      </w:r>
    </w:p>
    <w:p w14:paraId="57F5EAB6" w14:textId="77777777" w:rsidR="00C35481" w:rsidRPr="00376AE6" w:rsidRDefault="00C35481" w:rsidP="00C35481">
      <w:pPr>
        <w:pStyle w:val="ListParagraph"/>
        <w:numPr>
          <w:ilvl w:val="0"/>
          <w:numId w:val="26"/>
        </w:numPr>
        <w:rPr>
          <w:rFonts w:ascii="Arial" w:hAnsi="Arial" w:cs="Arial"/>
          <w:sz w:val="28"/>
          <w:szCs w:val="28"/>
        </w:rPr>
      </w:pPr>
      <w:r w:rsidRPr="00376AE6">
        <w:rPr>
          <w:rFonts w:ascii="Arial" w:hAnsi="Arial" w:cs="Arial"/>
          <w:sz w:val="28"/>
          <w:szCs w:val="28"/>
        </w:rPr>
        <w:t>Data Protection Act 2018</w:t>
      </w:r>
    </w:p>
    <w:p w14:paraId="103A34D7" w14:textId="77777777" w:rsidR="00C35481" w:rsidRPr="00376AE6" w:rsidRDefault="00C35481" w:rsidP="00C35481">
      <w:pPr>
        <w:pStyle w:val="ListParagraph"/>
        <w:numPr>
          <w:ilvl w:val="0"/>
          <w:numId w:val="26"/>
        </w:numPr>
        <w:rPr>
          <w:rFonts w:ascii="Arial" w:hAnsi="Arial" w:cs="Arial"/>
          <w:sz w:val="28"/>
          <w:szCs w:val="28"/>
        </w:rPr>
      </w:pPr>
      <w:r w:rsidRPr="00376AE6">
        <w:rPr>
          <w:rFonts w:ascii="Arial" w:hAnsi="Arial" w:cs="Arial"/>
          <w:sz w:val="28"/>
          <w:szCs w:val="28"/>
        </w:rPr>
        <w:t>Fraud Act 2006</w:t>
      </w:r>
    </w:p>
    <w:p w14:paraId="2409E516" w14:textId="77777777" w:rsidR="00C35481" w:rsidRPr="00376AE6" w:rsidRDefault="00C35481" w:rsidP="00C35481">
      <w:pPr>
        <w:pStyle w:val="ListParagraph"/>
        <w:numPr>
          <w:ilvl w:val="0"/>
          <w:numId w:val="26"/>
        </w:numPr>
        <w:rPr>
          <w:rFonts w:ascii="Arial" w:hAnsi="Arial" w:cs="Arial"/>
          <w:sz w:val="28"/>
          <w:szCs w:val="28"/>
        </w:rPr>
      </w:pPr>
      <w:r w:rsidRPr="00376AE6">
        <w:rPr>
          <w:rFonts w:ascii="Arial" w:hAnsi="Arial" w:cs="Arial"/>
          <w:sz w:val="28"/>
          <w:szCs w:val="28"/>
        </w:rPr>
        <w:t>Bribery Act 2010</w:t>
      </w:r>
    </w:p>
    <w:p w14:paraId="2AA653B0" w14:textId="77777777" w:rsidR="00C35481" w:rsidRPr="00376AE6" w:rsidRDefault="00C35481" w:rsidP="00C35481">
      <w:pPr>
        <w:pStyle w:val="ListParagraph"/>
        <w:numPr>
          <w:ilvl w:val="0"/>
          <w:numId w:val="26"/>
        </w:numPr>
        <w:rPr>
          <w:rFonts w:ascii="Arial" w:hAnsi="Arial" w:cs="Arial"/>
          <w:sz w:val="28"/>
          <w:szCs w:val="28"/>
        </w:rPr>
      </w:pPr>
      <w:r w:rsidRPr="00376AE6">
        <w:rPr>
          <w:rFonts w:ascii="Arial" w:hAnsi="Arial" w:cs="Arial"/>
          <w:sz w:val="28"/>
          <w:szCs w:val="28"/>
        </w:rPr>
        <w:t>Criminal Procedures Investigation Act 1996</w:t>
      </w:r>
    </w:p>
    <w:p w14:paraId="49E5407B" w14:textId="77777777" w:rsidR="00C35481" w:rsidRPr="00376AE6" w:rsidRDefault="00C35481" w:rsidP="00C35481">
      <w:pPr>
        <w:pStyle w:val="ListParagraph"/>
        <w:numPr>
          <w:ilvl w:val="0"/>
          <w:numId w:val="26"/>
        </w:numPr>
        <w:rPr>
          <w:rFonts w:ascii="Arial" w:hAnsi="Arial" w:cs="Arial"/>
          <w:sz w:val="28"/>
          <w:szCs w:val="28"/>
        </w:rPr>
      </w:pPr>
      <w:r w:rsidRPr="00376AE6">
        <w:rPr>
          <w:rFonts w:ascii="Arial" w:hAnsi="Arial" w:cs="Arial"/>
          <w:sz w:val="28"/>
          <w:szCs w:val="28"/>
        </w:rPr>
        <w:t>Public Interest Disclosure Act 1998</w:t>
      </w:r>
    </w:p>
    <w:p w14:paraId="7AE79BB3" w14:textId="77777777" w:rsidR="00C35481" w:rsidRPr="00376AE6" w:rsidRDefault="00C35481" w:rsidP="00C35481">
      <w:pPr>
        <w:pStyle w:val="ListParagraph"/>
        <w:numPr>
          <w:ilvl w:val="0"/>
          <w:numId w:val="26"/>
        </w:numPr>
        <w:rPr>
          <w:rFonts w:ascii="Arial" w:hAnsi="Arial" w:cs="Arial"/>
          <w:sz w:val="28"/>
          <w:szCs w:val="28"/>
        </w:rPr>
      </w:pPr>
      <w:r w:rsidRPr="00376AE6">
        <w:rPr>
          <w:rFonts w:ascii="Arial" w:hAnsi="Arial" w:cs="Arial"/>
          <w:sz w:val="28"/>
          <w:szCs w:val="28"/>
        </w:rPr>
        <w:t>Police and Criminal Evidence Act 1984.</w:t>
      </w:r>
    </w:p>
    <w:p w14:paraId="224D2D3F" w14:textId="77777777" w:rsidR="00C35481" w:rsidRPr="00E55121" w:rsidRDefault="00C35481" w:rsidP="00C35481">
      <w:pPr>
        <w:pStyle w:val="ListParagraph"/>
        <w:ind w:left="567"/>
        <w:rPr>
          <w:rFonts w:ascii="Arial" w:hAnsi="Arial" w:cs="Arial"/>
          <w:sz w:val="28"/>
          <w:szCs w:val="28"/>
        </w:rPr>
      </w:pPr>
    </w:p>
    <w:p w14:paraId="05CD9040" w14:textId="77777777" w:rsidR="00C35481" w:rsidRPr="00C54A75" w:rsidRDefault="00C35481" w:rsidP="00C35481">
      <w:pPr>
        <w:pStyle w:val="ListParagraph"/>
        <w:numPr>
          <w:ilvl w:val="1"/>
          <w:numId w:val="1"/>
        </w:numPr>
        <w:ind w:left="567" w:hanging="567"/>
        <w:rPr>
          <w:rFonts w:ascii="Arial" w:hAnsi="Arial" w:cs="Arial"/>
          <w:sz w:val="28"/>
          <w:szCs w:val="28"/>
        </w:rPr>
      </w:pPr>
      <w:r w:rsidRPr="00C54A75">
        <w:rPr>
          <w:rFonts w:ascii="Arial" w:hAnsi="Arial" w:cs="Arial"/>
          <w:sz w:val="28"/>
          <w:szCs w:val="28"/>
        </w:rPr>
        <w:t>The Prevention of Social Housing Fraud Act 2013 (PoSHFA) made the subletting of an entire social rented dwelling a criminal offence and introduced two new criminal offences:</w:t>
      </w:r>
    </w:p>
    <w:p w14:paraId="3A2389DE" w14:textId="77777777" w:rsidR="00C35481" w:rsidRPr="00C54A75" w:rsidRDefault="00C35481" w:rsidP="00C35481">
      <w:pPr>
        <w:pStyle w:val="ListParagraph"/>
        <w:numPr>
          <w:ilvl w:val="0"/>
          <w:numId w:val="28"/>
        </w:numPr>
        <w:rPr>
          <w:rFonts w:ascii="Arial" w:hAnsi="Arial" w:cs="Arial"/>
          <w:sz w:val="28"/>
          <w:szCs w:val="28"/>
        </w:rPr>
      </w:pPr>
      <w:r w:rsidRPr="00C54A75">
        <w:rPr>
          <w:rFonts w:ascii="Arial" w:hAnsi="Arial" w:cs="Arial"/>
          <w:sz w:val="28"/>
          <w:szCs w:val="28"/>
        </w:rPr>
        <w:t>Subletting or parting with possession of a property, or ceasing to occupy it, knowing that such actions constitute a breach of tenancy. A person convicted of this offence may be subject to an unlimited fine.</w:t>
      </w:r>
    </w:p>
    <w:p w14:paraId="006CE058" w14:textId="77777777" w:rsidR="00C35481" w:rsidRPr="009551F7" w:rsidRDefault="00C35481" w:rsidP="00C35481">
      <w:pPr>
        <w:pStyle w:val="ListParagraph"/>
        <w:numPr>
          <w:ilvl w:val="0"/>
          <w:numId w:val="28"/>
        </w:numPr>
        <w:rPr>
          <w:rFonts w:ascii="Arial" w:hAnsi="Arial" w:cs="Arial"/>
          <w:sz w:val="28"/>
          <w:szCs w:val="28"/>
        </w:rPr>
      </w:pPr>
      <w:r w:rsidRPr="00C54A75">
        <w:rPr>
          <w:rFonts w:ascii="Arial" w:hAnsi="Arial" w:cs="Arial"/>
          <w:sz w:val="28"/>
          <w:szCs w:val="28"/>
        </w:rPr>
        <w:t>Dishonestly subletting without consent, in breach of tenancy, and ceasing to occupy the property as their only or principal home. A person convicted of this offence may face imprisonment for up to two years and/or an unlimited fine.</w:t>
      </w:r>
    </w:p>
    <w:p w14:paraId="6BE74983" w14:textId="77777777" w:rsidR="00C35481" w:rsidRPr="00C54A75" w:rsidRDefault="00C35481" w:rsidP="00C35481">
      <w:pPr>
        <w:pStyle w:val="ListParagraph"/>
        <w:ind w:left="567"/>
        <w:rPr>
          <w:rFonts w:ascii="Arial" w:hAnsi="Arial" w:cs="Arial"/>
          <w:sz w:val="28"/>
          <w:szCs w:val="28"/>
        </w:rPr>
      </w:pPr>
    </w:p>
    <w:p w14:paraId="22FC139D" w14:textId="77777777" w:rsidR="00C35481" w:rsidRPr="00E55121" w:rsidRDefault="00C35481" w:rsidP="00C35481">
      <w:pPr>
        <w:pStyle w:val="ListParagraph"/>
        <w:numPr>
          <w:ilvl w:val="1"/>
          <w:numId w:val="1"/>
        </w:numPr>
        <w:ind w:left="567" w:hanging="567"/>
        <w:rPr>
          <w:rFonts w:ascii="Arial" w:hAnsi="Arial" w:cs="Arial"/>
          <w:sz w:val="28"/>
          <w:szCs w:val="28"/>
        </w:rPr>
      </w:pPr>
      <w:r w:rsidRPr="009551F7">
        <w:rPr>
          <w:rFonts w:ascii="Arial" w:hAnsi="Arial" w:cs="Arial"/>
          <w:sz w:val="28"/>
          <w:szCs w:val="28"/>
        </w:rPr>
        <w:t>PoSHFA provides local authorities with the power to prosecute cases of unlawful subletting and enables the Court to issue Unlawful Profit Orders, requiring the tenant to repay any profits made from unlawful subletting. These orders may be issued in both criminal and civil proceedings.</w:t>
      </w:r>
    </w:p>
    <w:p w14:paraId="3B893824" w14:textId="77777777" w:rsidR="00C35481" w:rsidRPr="00E55121" w:rsidRDefault="00C35481" w:rsidP="00C35481">
      <w:pPr>
        <w:pStyle w:val="ListParagraph"/>
        <w:ind w:left="567"/>
        <w:rPr>
          <w:rFonts w:ascii="Arial" w:hAnsi="Arial" w:cs="Arial"/>
          <w:sz w:val="28"/>
          <w:szCs w:val="28"/>
        </w:rPr>
      </w:pPr>
    </w:p>
    <w:p w14:paraId="1A3B8935" w14:textId="77777777" w:rsidR="00C35481" w:rsidRPr="0001628A" w:rsidRDefault="00C35481" w:rsidP="00C35481">
      <w:pPr>
        <w:pStyle w:val="ListParagraph"/>
        <w:numPr>
          <w:ilvl w:val="1"/>
          <w:numId w:val="1"/>
        </w:numPr>
        <w:ind w:left="567" w:hanging="567"/>
        <w:rPr>
          <w:rFonts w:ascii="Arial" w:hAnsi="Arial" w:cs="Arial"/>
          <w:sz w:val="28"/>
          <w:szCs w:val="28"/>
        </w:rPr>
      </w:pPr>
      <w:r w:rsidRPr="0001628A">
        <w:rPr>
          <w:rFonts w:ascii="Arial" w:hAnsi="Arial" w:cs="Arial"/>
          <w:sz w:val="28"/>
          <w:szCs w:val="28"/>
        </w:rPr>
        <w:t>The Fraud Act 2006 defines fraud as the act of breaching any of the following:</w:t>
      </w:r>
    </w:p>
    <w:p w14:paraId="790B7EB5" w14:textId="77777777" w:rsidR="00C35481" w:rsidRPr="0001628A" w:rsidRDefault="00C35481" w:rsidP="00C35481">
      <w:pPr>
        <w:pStyle w:val="ListParagraph"/>
        <w:numPr>
          <w:ilvl w:val="0"/>
          <w:numId w:val="33"/>
        </w:numPr>
        <w:rPr>
          <w:rFonts w:ascii="Arial" w:hAnsi="Arial" w:cs="Arial"/>
          <w:sz w:val="28"/>
          <w:szCs w:val="28"/>
        </w:rPr>
      </w:pPr>
      <w:r w:rsidRPr="0001628A">
        <w:rPr>
          <w:rFonts w:ascii="Arial" w:hAnsi="Arial" w:cs="Arial"/>
          <w:sz w:val="28"/>
          <w:szCs w:val="28"/>
        </w:rPr>
        <w:t>Fraud by false representation</w:t>
      </w:r>
    </w:p>
    <w:p w14:paraId="4908D865" w14:textId="77777777" w:rsidR="00C35481" w:rsidRPr="0001628A" w:rsidRDefault="00C35481" w:rsidP="00C35481">
      <w:pPr>
        <w:pStyle w:val="ListParagraph"/>
        <w:numPr>
          <w:ilvl w:val="0"/>
          <w:numId w:val="33"/>
        </w:numPr>
        <w:rPr>
          <w:rFonts w:ascii="Arial" w:hAnsi="Arial" w:cs="Arial"/>
          <w:sz w:val="28"/>
          <w:szCs w:val="28"/>
        </w:rPr>
      </w:pPr>
      <w:r w:rsidRPr="0001628A">
        <w:rPr>
          <w:rFonts w:ascii="Arial" w:hAnsi="Arial" w:cs="Arial"/>
          <w:sz w:val="28"/>
          <w:szCs w:val="28"/>
        </w:rPr>
        <w:t>Fraud by failing to disclose information</w:t>
      </w:r>
    </w:p>
    <w:p w14:paraId="7362713B" w14:textId="77777777" w:rsidR="00C35481" w:rsidRDefault="00C35481" w:rsidP="00C35481">
      <w:pPr>
        <w:pStyle w:val="ListParagraph"/>
        <w:numPr>
          <w:ilvl w:val="0"/>
          <w:numId w:val="33"/>
        </w:numPr>
        <w:rPr>
          <w:rFonts w:ascii="Arial" w:hAnsi="Arial" w:cs="Arial"/>
          <w:sz w:val="28"/>
          <w:szCs w:val="28"/>
        </w:rPr>
      </w:pPr>
      <w:r w:rsidRPr="0001628A">
        <w:rPr>
          <w:rFonts w:ascii="Arial" w:hAnsi="Arial" w:cs="Arial"/>
          <w:sz w:val="28"/>
          <w:szCs w:val="28"/>
        </w:rPr>
        <w:t>Fraud by abuse of position</w:t>
      </w:r>
    </w:p>
    <w:p w14:paraId="1225E636" w14:textId="77777777" w:rsidR="00C35481" w:rsidRDefault="00C35481" w:rsidP="00C35481">
      <w:pPr>
        <w:pStyle w:val="ListParagraph"/>
        <w:ind w:left="567"/>
        <w:rPr>
          <w:rFonts w:ascii="Arial" w:hAnsi="Arial" w:cs="Arial"/>
          <w:sz w:val="28"/>
          <w:szCs w:val="28"/>
        </w:rPr>
      </w:pPr>
    </w:p>
    <w:p w14:paraId="229EDCC5" w14:textId="7CC0F938" w:rsidR="00C35481" w:rsidRPr="00E55121" w:rsidRDefault="00C35481" w:rsidP="00C35481">
      <w:pPr>
        <w:pStyle w:val="ListParagraph"/>
        <w:numPr>
          <w:ilvl w:val="1"/>
          <w:numId w:val="1"/>
        </w:numPr>
        <w:ind w:left="567" w:hanging="567"/>
        <w:rPr>
          <w:rFonts w:ascii="Arial" w:hAnsi="Arial" w:cs="Arial"/>
          <w:sz w:val="28"/>
          <w:szCs w:val="28"/>
        </w:rPr>
      </w:pPr>
      <w:r w:rsidRPr="001308C6">
        <w:rPr>
          <w:rFonts w:ascii="Arial" w:hAnsi="Arial" w:cs="Arial"/>
          <w:sz w:val="28"/>
          <w:szCs w:val="28"/>
        </w:rPr>
        <w:t>A person convicted of fraud may face a maximum penalty of 10 years' imprisonment and/or an unlimited fine.</w:t>
      </w:r>
    </w:p>
    <w:p w14:paraId="4388409E" w14:textId="77777777" w:rsidR="00C35481" w:rsidRPr="00E55121" w:rsidRDefault="00C35481" w:rsidP="00C35481">
      <w:pPr>
        <w:pStyle w:val="ListParagraph"/>
        <w:ind w:left="567"/>
        <w:rPr>
          <w:rFonts w:ascii="Arial" w:hAnsi="Arial" w:cs="Arial"/>
          <w:sz w:val="28"/>
          <w:szCs w:val="28"/>
        </w:rPr>
      </w:pPr>
    </w:p>
    <w:p w14:paraId="3E7FF946" w14:textId="3AD9AD28" w:rsidR="00C35481" w:rsidRPr="00A52669" w:rsidRDefault="00C35481" w:rsidP="00A52669">
      <w:pPr>
        <w:pStyle w:val="ListParagraph"/>
        <w:numPr>
          <w:ilvl w:val="1"/>
          <w:numId w:val="1"/>
        </w:numPr>
        <w:ind w:left="567" w:hanging="567"/>
        <w:rPr>
          <w:rFonts w:ascii="Arial" w:hAnsi="Arial" w:cs="Arial"/>
          <w:sz w:val="28"/>
          <w:szCs w:val="28"/>
        </w:rPr>
      </w:pPr>
      <w:r w:rsidRPr="001308C6">
        <w:rPr>
          <w:rFonts w:ascii="Arial" w:hAnsi="Arial" w:cs="Arial"/>
          <w:sz w:val="28"/>
          <w:szCs w:val="28"/>
        </w:rPr>
        <w:t>Furthermore, Sandwell Council will comply with the expectations set out by the Regulator of Social Housing (RSH) under the Tenancy Standard, which requires that "Registered providers must take action to prevent and tackle tenancy fraud."</w:t>
      </w:r>
      <w:r>
        <w:rPr>
          <w:rFonts w:ascii="Arial" w:hAnsi="Arial" w:cs="Arial"/>
          <w:sz w:val="28"/>
          <w:szCs w:val="28"/>
        </w:rPr>
        <w:t xml:space="preserve"> </w:t>
      </w:r>
    </w:p>
    <w:p w14:paraId="4E8AD76F" w14:textId="77777777" w:rsidR="00C35481" w:rsidRPr="00E55121" w:rsidRDefault="00C35481" w:rsidP="00C35481">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14" w:name="_Toc192154817"/>
      <w:r w:rsidRPr="00E55121">
        <w:rPr>
          <w:rFonts w:ascii="Arial" w:eastAsiaTheme="majorEastAsia" w:hAnsi="Arial" w:cs="Arial"/>
          <w:b/>
          <w:bCs/>
          <w:color w:val="2F5496" w:themeColor="accent1" w:themeShade="BF"/>
          <w:sz w:val="28"/>
          <w:szCs w:val="28"/>
        </w:rPr>
        <w:lastRenderedPageBreak/>
        <w:t>Equality and Diversity</w:t>
      </w:r>
      <w:bookmarkEnd w:id="14"/>
      <w:r w:rsidRPr="00E55121">
        <w:rPr>
          <w:rFonts w:ascii="Arial" w:eastAsiaTheme="majorEastAsia" w:hAnsi="Arial" w:cs="Arial"/>
          <w:b/>
          <w:bCs/>
          <w:color w:val="2F5496" w:themeColor="accent1" w:themeShade="BF"/>
          <w:sz w:val="28"/>
          <w:szCs w:val="28"/>
        </w:rPr>
        <w:t xml:space="preserve"> </w:t>
      </w:r>
    </w:p>
    <w:p w14:paraId="3F779178" w14:textId="77777777" w:rsidR="00C35481" w:rsidRPr="00E55121" w:rsidRDefault="00C35481" w:rsidP="00C35481">
      <w:pPr>
        <w:rPr>
          <w:rFonts w:ascii="Arial" w:hAnsi="Arial" w:cs="Arial"/>
          <w:sz w:val="28"/>
          <w:szCs w:val="28"/>
        </w:rPr>
      </w:pPr>
    </w:p>
    <w:p w14:paraId="691481C2" w14:textId="4B92964E" w:rsidR="00C35481" w:rsidRPr="001308C6" w:rsidRDefault="00C35481" w:rsidP="00C35481">
      <w:pPr>
        <w:pStyle w:val="ListParagraph"/>
        <w:numPr>
          <w:ilvl w:val="1"/>
          <w:numId w:val="1"/>
        </w:numPr>
        <w:ind w:left="567" w:hanging="567"/>
        <w:rPr>
          <w:rFonts w:ascii="Arial" w:hAnsi="Arial" w:cs="Arial"/>
          <w:sz w:val="28"/>
          <w:szCs w:val="28"/>
        </w:rPr>
      </w:pPr>
      <w:r w:rsidRPr="001308C6">
        <w:rPr>
          <w:rFonts w:ascii="Arial" w:hAnsi="Arial" w:cs="Arial"/>
          <w:sz w:val="28"/>
          <w:szCs w:val="28"/>
        </w:rPr>
        <w:t xml:space="preserve">Sandwell Council will ensure equal and fair access to our services; we will do this by taking into consideration the individual needs of our tenants, their family or other persons living with them. We will ensure that individual needs are considered throughout the </w:t>
      </w:r>
      <w:r w:rsidR="001F4960">
        <w:rPr>
          <w:rFonts w:ascii="Arial" w:hAnsi="Arial" w:cs="Arial"/>
          <w:sz w:val="28"/>
          <w:szCs w:val="28"/>
        </w:rPr>
        <w:t>Tenancy</w:t>
      </w:r>
      <w:r w:rsidRPr="001308C6">
        <w:rPr>
          <w:rFonts w:ascii="Arial" w:hAnsi="Arial" w:cs="Arial"/>
          <w:sz w:val="28"/>
          <w:szCs w:val="28"/>
        </w:rPr>
        <w:t xml:space="preserve"> </w:t>
      </w:r>
      <w:r w:rsidR="001F4960">
        <w:rPr>
          <w:rFonts w:ascii="Arial" w:hAnsi="Arial" w:cs="Arial"/>
          <w:sz w:val="28"/>
          <w:szCs w:val="28"/>
        </w:rPr>
        <w:t xml:space="preserve">Management </w:t>
      </w:r>
      <w:r w:rsidRPr="001308C6">
        <w:rPr>
          <w:rFonts w:ascii="Arial" w:hAnsi="Arial" w:cs="Arial"/>
          <w:sz w:val="28"/>
          <w:szCs w:val="28"/>
        </w:rPr>
        <w:t>process and make reasonable adjustments where necessary</w:t>
      </w:r>
      <w:r w:rsidR="00363476" w:rsidRPr="001308C6">
        <w:rPr>
          <w:rFonts w:ascii="Arial" w:hAnsi="Arial" w:cs="Arial"/>
          <w:sz w:val="28"/>
          <w:szCs w:val="28"/>
        </w:rPr>
        <w:t xml:space="preserve">. </w:t>
      </w:r>
    </w:p>
    <w:p w14:paraId="52C2CF29" w14:textId="77777777" w:rsidR="00C35481" w:rsidRPr="001308C6" w:rsidRDefault="00C35481" w:rsidP="00C35481">
      <w:pPr>
        <w:pStyle w:val="ListParagraph"/>
        <w:ind w:left="567"/>
        <w:rPr>
          <w:rFonts w:ascii="Arial" w:hAnsi="Arial" w:cs="Arial"/>
          <w:sz w:val="28"/>
          <w:szCs w:val="28"/>
        </w:rPr>
      </w:pPr>
    </w:p>
    <w:p w14:paraId="16923003" w14:textId="10E4F14C" w:rsidR="00C35481" w:rsidRPr="001308C6" w:rsidRDefault="00C35481" w:rsidP="00C35481">
      <w:pPr>
        <w:pStyle w:val="ListParagraph"/>
        <w:numPr>
          <w:ilvl w:val="1"/>
          <w:numId w:val="1"/>
        </w:numPr>
        <w:ind w:left="567" w:hanging="567"/>
        <w:rPr>
          <w:rFonts w:ascii="Arial" w:hAnsi="Arial" w:cs="Arial"/>
          <w:sz w:val="28"/>
          <w:szCs w:val="28"/>
        </w:rPr>
      </w:pPr>
      <w:r w:rsidRPr="001308C6">
        <w:rPr>
          <w:rFonts w:ascii="Arial" w:hAnsi="Arial" w:cs="Arial"/>
          <w:sz w:val="28"/>
          <w:szCs w:val="28"/>
        </w:rPr>
        <w:t>The Council will treat people fairly and with dignity and respect</w:t>
      </w:r>
      <w:r w:rsidR="00363476" w:rsidRPr="001308C6">
        <w:rPr>
          <w:rFonts w:ascii="Arial" w:hAnsi="Arial" w:cs="Arial"/>
          <w:sz w:val="28"/>
          <w:szCs w:val="28"/>
        </w:rPr>
        <w:t xml:space="preserve">. </w:t>
      </w:r>
    </w:p>
    <w:p w14:paraId="0148ADF3" w14:textId="77777777" w:rsidR="00C35481" w:rsidRPr="001308C6" w:rsidRDefault="00C35481" w:rsidP="00C35481">
      <w:pPr>
        <w:pStyle w:val="ListParagraph"/>
        <w:ind w:left="567"/>
        <w:rPr>
          <w:rFonts w:ascii="Arial" w:hAnsi="Arial" w:cs="Arial"/>
          <w:sz w:val="28"/>
          <w:szCs w:val="28"/>
        </w:rPr>
      </w:pPr>
    </w:p>
    <w:p w14:paraId="5C45E1FF" w14:textId="2138D706" w:rsidR="00C35481" w:rsidRPr="001308C6" w:rsidRDefault="00C35481" w:rsidP="00C35481">
      <w:pPr>
        <w:pStyle w:val="ListParagraph"/>
        <w:numPr>
          <w:ilvl w:val="1"/>
          <w:numId w:val="1"/>
        </w:numPr>
        <w:ind w:left="567" w:hanging="567"/>
        <w:rPr>
          <w:rFonts w:ascii="Arial" w:hAnsi="Arial" w:cs="Arial"/>
          <w:sz w:val="28"/>
          <w:szCs w:val="28"/>
        </w:rPr>
      </w:pPr>
      <w:r w:rsidRPr="001308C6">
        <w:rPr>
          <w:rFonts w:ascii="Arial" w:hAnsi="Arial" w:cs="Arial"/>
          <w:sz w:val="28"/>
          <w:szCs w:val="28"/>
        </w:rPr>
        <w:t>All staff are trained in Equality, Diversity, and Inclusion to embed understanding about where we may need to adapt normal policies, procedures, and ways of working to accommodate resident’s individual needs. This is mandatory training which is monitored by our Learning and Development Team. Our Equality, Diversity and Inclusion Framework also meets our duties under the Equality Act 2010</w:t>
      </w:r>
      <w:r w:rsidR="00363476" w:rsidRPr="001308C6">
        <w:rPr>
          <w:rFonts w:ascii="Arial" w:hAnsi="Arial" w:cs="Arial"/>
          <w:sz w:val="28"/>
          <w:szCs w:val="28"/>
        </w:rPr>
        <w:t xml:space="preserve">. </w:t>
      </w:r>
    </w:p>
    <w:p w14:paraId="7FFBDF9B" w14:textId="77777777" w:rsidR="00C35481" w:rsidRPr="001308C6" w:rsidRDefault="00C35481" w:rsidP="00C35481">
      <w:pPr>
        <w:pStyle w:val="ListParagraph"/>
        <w:ind w:left="567"/>
        <w:rPr>
          <w:rFonts w:ascii="Arial" w:hAnsi="Arial" w:cs="Arial"/>
          <w:sz w:val="28"/>
          <w:szCs w:val="28"/>
        </w:rPr>
      </w:pPr>
    </w:p>
    <w:p w14:paraId="7CBE3F28" w14:textId="46D44C0D" w:rsidR="00C35481" w:rsidRPr="001308C6" w:rsidRDefault="00C35481" w:rsidP="00C35481">
      <w:pPr>
        <w:pStyle w:val="ListParagraph"/>
        <w:numPr>
          <w:ilvl w:val="1"/>
          <w:numId w:val="1"/>
        </w:numPr>
        <w:ind w:left="567" w:hanging="567"/>
        <w:rPr>
          <w:rFonts w:ascii="Arial" w:hAnsi="Arial" w:cs="Arial"/>
          <w:sz w:val="28"/>
          <w:szCs w:val="28"/>
        </w:rPr>
      </w:pPr>
      <w:r w:rsidRPr="001308C6">
        <w:rPr>
          <w:rFonts w:ascii="Arial" w:hAnsi="Arial" w:cs="Arial"/>
          <w:sz w:val="28"/>
          <w:szCs w:val="28"/>
        </w:rPr>
        <w:t xml:space="preserve">The draft Equality Impact Assessment completed for the </w:t>
      </w:r>
      <w:r w:rsidR="00F60898">
        <w:rPr>
          <w:rFonts w:ascii="Arial" w:hAnsi="Arial" w:cs="Arial"/>
          <w:sz w:val="28"/>
          <w:szCs w:val="28"/>
        </w:rPr>
        <w:t xml:space="preserve">Tenancy Fraud </w:t>
      </w:r>
      <w:r w:rsidRPr="001308C6">
        <w:rPr>
          <w:rFonts w:ascii="Arial" w:hAnsi="Arial" w:cs="Arial"/>
          <w:sz w:val="28"/>
          <w:szCs w:val="28"/>
        </w:rPr>
        <w:t>Policy has identified no negative impacts, with positive impacts identified for some protected characteristics as this Policy will promote understanding and good relations within neighbourhoods.</w:t>
      </w:r>
    </w:p>
    <w:p w14:paraId="2989D97E" w14:textId="77777777" w:rsidR="00C35481" w:rsidRPr="001308C6" w:rsidRDefault="00C35481" w:rsidP="00C35481">
      <w:pPr>
        <w:pStyle w:val="ListParagraph"/>
        <w:ind w:left="567"/>
        <w:rPr>
          <w:rFonts w:ascii="Arial" w:hAnsi="Arial" w:cs="Arial"/>
          <w:b/>
          <w:bCs/>
          <w:sz w:val="28"/>
          <w:szCs w:val="28"/>
        </w:rPr>
      </w:pPr>
    </w:p>
    <w:p w14:paraId="28698945" w14:textId="77777777" w:rsidR="00C35481" w:rsidRPr="001308C6" w:rsidRDefault="00C35481" w:rsidP="00C35481">
      <w:pPr>
        <w:pStyle w:val="ListParagraph"/>
        <w:numPr>
          <w:ilvl w:val="1"/>
          <w:numId w:val="1"/>
        </w:numPr>
        <w:ind w:left="567" w:hanging="567"/>
        <w:rPr>
          <w:rFonts w:ascii="Arial" w:hAnsi="Arial" w:cs="Arial"/>
          <w:sz w:val="28"/>
          <w:szCs w:val="28"/>
        </w:rPr>
      </w:pPr>
      <w:r w:rsidRPr="001308C6">
        <w:rPr>
          <w:rFonts w:ascii="Arial" w:hAnsi="Arial" w:cs="Arial"/>
          <w:b/>
          <w:bCs/>
          <w:sz w:val="28"/>
          <w:szCs w:val="28"/>
        </w:rPr>
        <w:t>Reasonable Adjustments</w:t>
      </w:r>
      <w:r w:rsidRPr="001308C6">
        <w:rPr>
          <w:rFonts w:ascii="Arial" w:hAnsi="Arial" w:cs="Arial"/>
          <w:sz w:val="28"/>
          <w:szCs w:val="28"/>
        </w:rPr>
        <w:t> </w:t>
      </w:r>
    </w:p>
    <w:p w14:paraId="73C3F561" w14:textId="5868620D" w:rsidR="00C35481" w:rsidRPr="001308C6" w:rsidRDefault="00C35481" w:rsidP="00C35481">
      <w:pPr>
        <w:pStyle w:val="ListParagraph"/>
        <w:ind w:left="567"/>
        <w:rPr>
          <w:rFonts w:ascii="Arial" w:hAnsi="Arial" w:cs="Arial"/>
          <w:sz w:val="28"/>
          <w:szCs w:val="28"/>
        </w:rPr>
      </w:pPr>
      <w:r w:rsidRPr="001308C6">
        <w:rPr>
          <w:rFonts w:ascii="Arial" w:hAnsi="Arial" w:cs="Arial"/>
          <w:sz w:val="28"/>
          <w:szCs w:val="28"/>
        </w:rPr>
        <w:t xml:space="preserve">Sandwell Council will support the needs of our diverse residents by making reasonable adjustments to our </w:t>
      </w:r>
      <w:r w:rsidR="001F4960">
        <w:rPr>
          <w:rFonts w:ascii="Arial" w:hAnsi="Arial" w:cs="Arial"/>
          <w:sz w:val="28"/>
          <w:szCs w:val="28"/>
        </w:rPr>
        <w:t>Tenancy Management</w:t>
      </w:r>
      <w:r w:rsidRPr="001308C6">
        <w:rPr>
          <w:rFonts w:ascii="Arial" w:hAnsi="Arial" w:cs="Arial"/>
          <w:sz w:val="28"/>
          <w:szCs w:val="28"/>
        </w:rPr>
        <w:t xml:space="preserve"> processes, which could be a physical change or change in work practices to avoid any disadvantage to a resident in accessing this policy. Examples of reasonable adjustments include: </w:t>
      </w:r>
    </w:p>
    <w:p w14:paraId="3FA977DC" w14:textId="77777777" w:rsidR="00C35481" w:rsidRPr="001308C6" w:rsidRDefault="00C35481" w:rsidP="00C35481">
      <w:pPr>
        <w:pStyle w:val="ListParagraph"/>
        <w:numPr>
          <w:ilvl w:val="0"/>
          <w:numId w:val="36"/>
        </w:numPr>
        <w:rPr>
          <w:rFonts w:ascii="Arial" w:hAnsi="Arial" w:cs="Arial"/>
          <w:sz w:val="28"/>
          <w:szCs w:val="28"/>
        </w:rPr>
      </w:pPr>
      <w:r w:rsidRPr="001308C6">
        <w:rPr>
          <w:rFonts w:ascii="Arial" w:hAnsi="Arial" w:cs="Arial"/>
          <w:sz w:val="28"/>
          <w:szCs w:val="28"/>
        </w:rPr>
        <w:t xml:space="preserve">We will provide information in appropriate alternative formats (e.g. large print). </w:t>
      </w:r>
    </w:p>
    <w:p w14:paraId="636802DE" w14:textId="2E25789B" w:rsidR="00C35481" w:rsidRPr="001308C6" w:rsidRDefault="00C35481" w:rsidP="00C35481">
      <w:pPr>
        <w:pStyle w:val="ListParagraph"/>
        <w:numPr>
          <w:ilvl w:val="0"/>
          <w:numId w:val="36"/>
        </w:numPr>
        <w:rPr>
          <w:rFonts w:ascii="Arial" w:hAnsi="Arial" w:cs="Arial"/>
          <w:sz w:val="28"/>
          <w:szCs w:val="28"/>
        </w:rPr>
      </w:pPr>
      <w:r w:rsidRPr="001308C6">
        <w:rPr>
          <w:rFonts w:ascii="Arial" w:hAnsi="Arial" w:cs="Arial"/>
          <w:sz w:val="28"/>
          <w:szCs w:val="28"/>
        </w:rPr>
        <w:t xml:space="preserve">We will risk assess and re-prioritise </w:t>
      </w:r>
      <w:r w:rsidR="00474EDC">
        <w:rPr>
          <w:rFonts w:ascii="Arial" w:hAnsi="Arial" w:cs="Arial"/>
          <w:sz w:val="28"/>
          <w:szCs w:val="28"/>
        </w:rPr>
        <w:t>duties by</w:t>
      </w:r>
      <w:r w:rsidRPr="001308C6">
        <w:rPr>
          <w:rFonts w:ascii="Arial" w:hAnsi="Arial" w:cs="Arial"/>
          <w:sz w:val="28"/>
          <w:szCs w:val="28"/>
        </w:rPr>
        <w:t xml:space="preserve"> considering the vulnerabilities or individual needs of the household where identified. </w:t>
      </w:r>
    </w:p>
    <w:p w14:paraId="2842F796" w14:textId="77777777" w:rsidR="00C35481" w:rsidRPr="001308C6" w:rsidRDefault="00C35481" w:rsidP="00C35481">
      <w:pPr>
        <w:pStyle w:val="ListParagraph"/>
        <w:numPr>
          <w:ilvl w:val="0"/>
          <w:numId w:val="36"/>
        </w:numPr>
        <w:rPr>
          <w:rFonts w:ascii="Arial" w:hAnsi="Arial" w:cs="Arial"/>
          <w:sz w:val="28"/>
          <w:szCs w:val="28"/>
        </w:rPr>
      </w:pPr>
      <w:r w:rsidRPr="001308C6">
        <w:rPr>
          <w:rFonts w:ascii="Arial" w:hAnsi="Arial" w:cs="Arial"/>
          <w:sz w:val="28"/>
          <w:szCs w:val="28"/>
        </w:rPr>
        <w:t xml:space="preserve">We will use plain language. </w:t>
      </w:r>
    </w:p>
    <w:p w14:paraId="2C20EF6A" w14:textId="77777777" w:rsidR="00C35481" w:rsidRPr="001308C6" w:rsidRDefault="00C35481" w:rsidP="00C35481">
      <w:pPr>
        <w:pStyle w:val="ListParagraph"/>
        <w:numPr>
          <w:ilvl w:val="0"/>
          <w:numId w:val="36"/>
        </w:numPr>
        <w:rPr>
          <w:rFonts w:ascii="Arial" w:hAnsi="Arial" w:cs="Arial"/>
          <w:sz w:val="28"/>
          <w:szCs w:val="28"/>
        </w:rPr>
      </w:pPr>
      <w:r w:rsidRPr="001308C6">
        <w:rPr>
          <w:rFonts w:ascii="Arial" w:hAnsi="Arial" w:cs="Arial"/>
          <w:sz w:val="28"/>
          <w:szCs w:val="28"/>
        </w:rPr>
        <w:t xml:space="preserve">This policy is published on our website, and residents can do the following: </w:t>
      </w:r>
    </w:p>
    <w:p w14:paraId="068D78A6" w14:textId="77777777" w:rsidR="00C35481" w:rsidRPr="001308C6" w:rsidRDefault="00C35481" w:rsidP="00C35481">
      <w:pPr>
        <w:pStyle w:val="ListParagraph"/>
        <w:numPr>
          <w:ilvl w:val="0"/>
          <w:numId w:val="37"/>
        </w:numPr>
        <w:rPr>
          <w:rFonts w:ascii="Arial" w:hAnsi="Arial" w:cs="Arial"/>
          <w:sz w:val="28"/>
          <w:szCs w:val="28"/>
        </w:rPr>
      </w:pPr>
      <w:r w:rsidRPr="001308C6">
        <w:rPr>
          <w:rFonts w:ascii="Arial" w:hAnsi="Arial" w:cs="Arial"/>
          <w:sz w:val="28"/>
          <w:szCs w:val="28"/>
        </w:rPr>
        <w:lastRenderedPageBreak/>
        <w:t xml:space="preserve">Change colours, contrast levels and font size. </w:t>
      </w:r>
    </w:p>
    <w:p w14:paraId="7C5A2230" w14:textId="77777777" w:rsidR="00C35481" w:rsidRPr="001308C6" w:rsidRDefault="00C35481" w:rsidP="00C35481">
      <w:pPr>
        <w:pStyle w:val="ListParagraph"/>
        <w:numPr>
          <w:ilvl w:val="0"/>
          <w:numId w:val="37"/>
        </w:numPr>
        <w:rPr>
          <w:rFonts w:ascii="Arial" w:hAnsi="Arial" w:cs="Arial"/>
          <w:sz w:val="28"/>
          <w:szCs w:val="28"/>
        </w:rPr>
      </w:pPr>
      <w:r w:rsidRPr="001308C6">
        <w:rPr>
          <w:rFonts w:ascii="Arial" w:hAnsi="Arial" w:cs="Arial"/>
          <w:sz w:val="28"/>
          <w:szCs w:val="28"/>
        </w:rPr>
        <w:t xml:space="preserve">Zoom in up to 300% without text spilling off the screen. </w:t>
      </w:r>
    </w:p>
    <w:p w14:paraId="28DE79E2" w14:textId="77777777" w:rsidR="00C35481" w:rsidRPr="001308C6" w:rsidRDefault="00C35481" w:rsidP="00C35481">
      <w:pPr>
        <w:pStyle w:val="ListParagraph"/>
        <w:numPr>
          <w:ilvl w:val="0"/>
          <w:numId w:val="37"/>
        </w:numPr>
        <w:rPr>
          <w:rFonts w:ascii="Arial" w:hAnsi="Arial" w:cs="Arial"/>
          <w:sz w:val="28"/>
          <w:szCs w:val="28"/>
        </w:rPr>
      </w:pPr>
      <w:r w:rsidRPr="001308C6">
        <w:rPr>
          <w:rFonts w:ascii="Arial" w:hAnsi="Arial" w:cs="Arial"/>
          <w:sz w:val="28"/>
          <w:szCs w:val="28"/>
        </w:rPr>
        <w:t xml:space="preserve">Access the policy from a smart phone, tablet, laptop, or PC. </w:t>
      </w:r>
    </w:p>
    <w:p w14:paraId="79F6A30C" w14:textId="77777777" w:rsidR="00C35481" w:rsidRDefault="00C35481" w:rsidP="00C35481">
      <w:pPr>
        <w:pStyle w:val="ListParagraph"/>
        <w:ind w:left="567"/>
        <w:rPr>
          <w:rFonts w:ascii="Arial" w:hAnsi="Arial" w:cs="Arial"/>
          <w:sz w:val="28"/>
          <w:szCs w:val="28"/>
        </w:rPr>
      </w:pPr>
    </w:p>
    <w:p w14:paraId="05D9FC4C" w14:textId="77777777" w:rsidR="00C35481" w:rsidRPr="001308C6" w:rsidRDefault="00C35481" w:rsidP="00C35481">
      <w:pPr>
        <w:pStyle w:val="ListParagraph"/>
        <w:ind w:left="567"/>
        <w:rPr>
          <w:rFonts w:ascii="Arial" w:hAnsi="Arial" w:cs="Arial"/>
          <w:sz w:val="28"/>
          <w:szCs w:val="28"/>
        </w:rPr>
      </w:pPr>
      <w:r w:rsidRPr="001308C6">
        <w:rPr>
          <w:rFonts w:ascii="Arial" w:hAnsi="Arial" w:cs="Arial"/>
          <w:sz w:val="28"/>
          <w:szCs w:val="28"/>
        </w:rPr>
        <w:t>Customers can also request that we make any other reasonable adjustments in the following ways:</w:t>
      </w:r>
    </w:p>
    <w:p w14:paraId="16B0A9AF" w14:textId="77777777" w:rsidR="00C35481" w:rsidRPr="001308C6" w:rsidRDefault="00C35481" w:rsidP="00C35481">
      <w:pPr>
        <w:pStyle w:val="ListParagraph"/>
        <w:numPr>
          <w:ilvl w:val="0"/>
          <w:numId w:val="39"/>
        </w:numPr>
        <w:rPr>
          <w:rFonts w:ascii="Arial" w:hAnsi="Arial" w:cs="Arial"/>
          <w:sz w:val="28"/>
          <w:szCs w:val="28"/>
        </w:rPr>
      </w:pPr>
      <w:r w:rsidRPr="001308C6">
        <w:rPr>
          <w:rFonts w:ascii="Arial" w:hAnsi="Arial" w:cs="Arial"/>
          <w:sz w:val="28"/>
          <w:szCs w:val="28"/>
        </w:rPr>
        <w:t>in person</w:t>
      </w:r>
    </w:p>
    <w:p w14:paraId="126A4949" w14:textId="77777777" w:rsidR="00C35481" w:rsidRPr="001308C6" w:rsidRDefault="00C35481" w:rsidP="00C35481">
      <w:pPr>
        <w:pStyle w:val="ListParagraph"/>
        <w:numPr>
          <w:ilvl w:val="0"/>
          <w:numId w:val="39"/>
        </w:numPr>
        <w:rPr>
          <w:rFonts w:ascii="Arial" w:hAnsi="Arial" w:cs="Arial"/>
          <w:sz w:val="28"/>
          <w:szCs w:val="28"/>
        </w:rPr>
      </w:pPr>
      <w:r w:rsidRPr="001308C6">
        <w:rPr>
          <w:rFonts w:ascii="Arial" w:hAnsi="Arial" w:cs="Arial"/>
          <w:sz w:val="28"/>
          <w:szCs w:val="28"/>
        </w:rPr>
        <w:t>in writing for example by email, by post, text</w:t>
      </w:r>
    </w:p>
    <w:p w14:paraId="128A3D87" w14:textId="77777777" w:rsidR="00C35481" w:rsidRPr="001308C6" w:rsidRDefault="00C35481" w:rsidP="00C35481">
      <w:pPr>
        <w:pStyle w:val="ListParagraph"/>
        <w:numPr>
          <w:ilvl w:val="0"/>
          <w:numId w:val="39"/>
        </w:numPr>
        <w:rPr>
          <w:rFonts w:ascii="Arial" w:hAnsi="Arial" w:cs="Arial"/>
          <w:sz w:val="28"/>
          <w:szCs w:val="28"/>
        </w:rPr>
      </w:pPr>
      <w:r w:rsidRPr="001308C6">
        <w:rPr>
          <w:rFonts w:ascii="Arial" w:hAnsi="Arial" w:cs="Arial"/>
          <w:sz w:val="28"/>
          <w:szCs w:val="28"/>
        </w:rPr>
        <w:t>by telephone</w:t>
      </w:r>
    </w:p>
    <w:p w14:paraId="5C672CDF" w14:textId="77777777" w:rsidR="00C35481" w:rsidRPr="001308C6" w:rsidRDefault="00C35481" w:rsidP="00C35481">
      <w:pPr>
        <w:pStyle w:val="ListParagraph"/>
        <w:numPr>
          <w:ilvl w:val="0"/>
          <w:numId w:val="39"/>
        </w:numPr>
        <w:rPr>
          <w:rFonts w:ascii="Arial" w:hAnsi="Arial" w:cs="Arial"/>
          <w:sz w:val="28"/>
          <w:szCs w:val="28"/>
        </w:rPr>
      </w:pPr>
      <w:r w:rsidRPr="001308C6">
        <w:rPr>
          <w:rFonts w:ascii="Arial" w:hAnsi="Arial" w:cs="Arial"/>
          <w:sz w:val="28"/>
          <w:szCs w:val="28"/>
        </w:rPr>
        <w:t>by a family member when we have been given permission to do so; and or</w:t>
      </w:r>
    </w:p>
    <w:p w14:paraId="7D315621" w14:textId="77777777" w:rsidR="00C35481" w:rsidRPr="001308C6" w:rsidRDefault="00C35481" w:rsidP="00C35481">
      <w:pPr>
        <w:pStyle w:val="ListParagraph"/>
        <w:numPr>
          <w:ilvl w:val="0"/>
          <w:numId w:val="39"/>
        </w:numPr>
        <w:rPr>
          <w:rFonts w:ascii="Arial" w:hAnsi="Arial" w:cs="Arial"/>
          <w:sz w:val="28"/>
          <w:szCs w:val="28"/>
        </w:rPr>
      </w:pPr>
      <w:r w:rsidRPr="001308C6">
        <w:rPr>
          <w:rFonts w:ascii="Arial" w:hAnsi="Arial" w:cs="Arial"/>
          <w:sz w:val="28"/>
          <w:szCs w:val="28"/>
        </w:rPr>
        <w:t>a member of staff may suggest for one to be made, when they are aware it will support the customer needs.</w:t>
      </w:r>
    </w:p>
    <w:p w14:paraId="68C21823" w14:textId="77777777" w:rsidR="00C35481" w:rsidRDefault="00C35481" w:rsidP="00C35481">
      <w:pPr>
        <w:pStyle w:val="ListParagraph"/>
        <w:ind w:left="567"/>
        <w:rPr>
          <w:rFonts w:ascii="Arial" w:hAnsi="Arial" w:cs="Arial"/>
          <w:sz w:val="28"/>
          <w:szCs w:val="28"/>
        </w:rPr>
      </w:pPr>
    </w:p>
    <w:p w14:paraId="23045192" w14:textId="5F977D8C" w:rsidR="00C35481" w:rsidRPr="00C35481" w:rsidRDefault="00C35481" w:rsidP="00C35481">
      <w:pPr>
        <w:pStyle w:val="ListParagraph"/>
        <w:ind w:left="567"/>
        <w:rPr>
          <w:rFonts w:ascii="Arial" w:hAnsi="Arial" w:cs="Arial"/>
          <w:sz w:val="28"/>
          <w:szCs w:val="28"/>
        </w:rPr>
      </w:pPr>
      <w:r w:rsidRPr="001308C6">
        <w:rPr>
          <w:rFonts w:ascii="Arial" w:hAnsi="Arial" w:cs="Arial"/>
          <w:sz w:val="28"/>
          <w:szCs w:val="28"/>
        </w:rPr>
        <w:t xml:space="preserve">For more information, please refer to Sandwell’s </w:t>
      </w:r>
      <w:hyperlink r:id="rId22" w:history="1">
        <w:r w:rsidRPr="001308C6">
          <w:rPr>
            <w:rStyle w:val="Hyperlink"/>
            <w:rFonts w:ascii="Arial" w:hAnsi="Arial" w:cs="Arial"/>
            <w:sz w:val="28"/>
            <w:szCs w:val="28"/>
          </w:rPr>
          <w:t>Reasonable Adjustments Policy</w:t>
        </w:r>
      </w:hyperlink>
      <w:r w:rsidRPr="001308C6">
        <w:rPr>
          <w:rFonts w:ascii="Arial" w:hAnsi="Arial" w:cs="Arial"/>
          <w:sz w:val="28"/>
          <w:szCs w:val="28"/>
        </w:rPr>
        <w:t>.</w:t>
      </w:r>
    </w:p>
    <w:p w14:paraId="179E70B0" w14:textId="77777777" w:rsidR="00C35481" w:rsidRPr="00A52669" w:rsidRDefault="00C35481" w:rsidP="00A52669">
      <w:pPr>
        <w:spacing w:before="240"/>
        <w:rPr>
          <w:rFonts w:ascii="Arial" w:hAnsi="Arial" w:cs="Arial"/>
          <w:sz w:val="28"/>
          <w:szCs w:val="28"/>
        </w:rPr>
      </w:pPr>
    </w:p>
    <w:p w14:paraId="19576790" w14:textId="55D8770C" w:rsidR="00574EA2" w:rsidRPr="00E55121" w:rsidRDefault="00574EA2" w:rsidP="00C35481">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15" w:name="_Toc192154818"/>
      <w:r w:rsidRPr="00E55121">
        <w:rPr>
          <w:rFonts w:ascii="Arial" w:eastAsiaTheme="majorEastAsia" w:hAnsi="Arial" w:cs="Arial"/>
          <w:b/>
          <w:bCs/>
          <w:color w:val="2F5496" w:themeColor="accent1" w:themeShade="BF"/>
          <w:sz w:val="28"/>
          <w:szCs w:val="28"/>
        </w:rPr>
        <w:t>Monitoring and Review</w:t>
      </w:r>
      <w:bookmarkEnd w:id="15"/>
      <w:r w:rsidRPr="00E55121">
        <w:rPr>
          <w:rFonts w:ascii="Arial" w:eastAsiaTheme="majorEastAsia" w:hAnsi="Arial" w:cs="Arial"/>
          <w:b/>
          <w:bCs/>
          <w:color w:val="2F5496" w:themeColor="accent1" w:themeShade="BF"/>
          <w:sz w:val="28"/>
          <w:szCs w:val="28"/>
        </w:rPr>
        <w:t xml:space="preserve"> </w:t>
      </w:r>
    </w:p>
    <w:p w14:paraId="3EF81854" w14:textId="77777777" w:rsidR="003A2A3E" w:rsidRPr="00E55121" w:rsidRDefault="003A2A3E" w:rsidP="003A2A3E">
      <w:pPr>
        <w:rPr>
          <w:rFonts w:ascii="Arial" w:hAnsi="Arial" w:cs="Arial"/>
          <w:sz w:val="28"/>
          <w:szCs w:val="28"/>
        </w:rPr>
      </w:pPr>
    </w:p>
    <w:p w14:paraId="585C5810" w14:textId="6E1929CC" w:rsidR="003A2A3E" w:rsidRPr="00E55121" w:rsidRDefault="00A73E80" w:rsidP="00C35481">
      <w:pPr>
        <w:pStyle w:val="ListParagraph"/>
        <w:numPr>
          <w:ilvl w:val="1"/>
          <w:numId w:val="1"/>
        </w:numPr>
        <w:ind w:left="567" w:hanging="567"/>
        <w:rPr>
          <w:rFonts w:ascii="Arial" w:hAnsi="Arial" w:cs="Arial"/>
          <w:sz w:val="28"/>
          <w:szCs w:val="28"/>
        </w:rPr>
      </w:pPr>
      <w:r w:rsidRPr="00E55121">
        <w:rPr>
          <w:rFonts w:ascii="Arial" w:hAnsi="Arial" w:cs="Arial"/>
          <w:sz w:val="28"/>
          <w:szCs w:val="28"/>
        </w:rPr>
        <w:t>This policy will be checked o</w:t>
      </w:r>
      <w:r w:rsidR="003A2A3E" w:rsidRPr="00E55121">
        <w:rPr>
          <w:rFonts w:ascii="Arial" w:hAnsi="Arial" w:cs="Arial"/>
          <w:sz w:val="28"/>
          <w:szCs w:val="28"/>
        </w:rPr>
        <w:t xml:space="preserve">n an annual basis to ensure that </w:t>
      </w:r>
      <w:r w:rsidRPr="00E55121">
        <w:rPr>
          <w:rFonts w:ascii="Arial" w:hAnsi="Arial" w:cs="Arial"/>
          <w:sz w:val="28"/>
          <w:szCs w:val="28"/>
        </w:rPr>
        <w:t xml:space="preserve">it is </w:t>
      </w:r>
      <w:r w:rsidR="003A2A3E" w:rsidRPr="00E55121">
        <w:rPr>
          <w:rFonts w:ascii="Arial" w:hAnsi="Arial" w:cs="Arial"/>
          <w:sz w:val="28"/>
          <w:szCs w:val="28"/>
        </w:rPr>
        <w:t>accurate</w:t>
      </w:r>
      <w:r w:rsidRPr="00E55121">
        <w:rPr>
          <w:rFonts w:ascii="Arial" w:hAnsi="Arial" w:cs="Arial"/>
          <w:sz w:val="28"/>
          <w:szCs w:val="28"/>
        </w:rPr>
        <w:t xml:space="preserve"> and that any links are up to date</w:t>
      </w:r>
      <w:r w:rsidR="00363476" w:rsidRPr="00E55121">
        <w:rPr>
          <w:rFonts w:ascii="Arial" w:hAnsi="Arial" w:cs="Arial"/>
          <w:sz w:val="28"/>
          <w:szCs w:val="28"/>
        </w:rPr>
        <w:t xml:space="preserve">. </w:t>
      </w:r>
      <w:r w:rsidRPr="00E55121">
        <w:rPr>
          <w:rFonts w:ascii="Arial" w:hAnsi="Arial" w:cs="Arial"/>
          <w:sz w:val="28"/>
          <w:szCs w:val="28"/>
        </w:rPr>
        <w:t>A comprehensive review of the policy will be undertaken after three years.</w:t>
      </w:r>
    </w:p>
    <w:p w14:paraId="1AF4364E" w14:textId="77777777" w:rsidR="00574EA2" w:rsidRPr="00E55121" w:rsidRDefault="00574EA2" w:rsidP="00574EA2">
      <w:pPr>
        <w:pStyle w:val="ListParagraph"/>
        <w:ind w:left="567"/>
        <w:rPr>
          <w:rFonts w:ascii="Arial" w:hAnsi="Arial" w:cs="Arial"/>
          <w:sz w:val="28"/>
          <w:szCs w:val="28"/>
        </w:rPr>
      </w:pPr>
    </w:p>
    <w:p w14:paraId="6FD3179A" w14:textId="6D6848C7" w:rsidR="00574EA2" w:rsidRPr="00E55121" w:rsidRDefault="00574EA2" w:rsidP="00C35481">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16" w:name="_Toc192154819"/>
      <w:r w:rsidRPr="00E55121">
        <w:rPr>
          <w:rFonts w:ascii="Arial" w:eastAsiaTheme="majorEastAsia" w:hAnsi="Arial" w:cs="Arial"/>
          <w:b/>
          <w:bCs/>
          <w:color w:val="2F5496" w:themeColor="accent1" w:themeShade="BF"/>
          <w:sz w:val="28"/>
          <w:szCs w:val="28"/>
        </w:rPr>
        <w:t xml:space="preserve">Policy </w:t>
      </w:r>
      <w:r w:rsidR="00FD71FB" w:rsidRPr="00E55121">
        <w:rPr>
          <w:rFonts w:ascii="Arial" w:eastAsiaTheme="majorEastAsia" w:hAnsi="Arial" w:cs="Arial"/>
          <w:b/>
          <w:bCs/>
          <w:color w:val="2F5496" w:themeColor="accent1" w:themeShade="BF"/>
          <w:sz w:val="28"/>
          <w:szCs w:val="28"/>
        </w:rPr>
        <w:t>Document Version Control</w:t>
      </w:r>
      <w:bookmarkEnd w:id="16"/>
      <w:r w:rsidRPr="00E55121">
        <w:rPr>
          <w:rFonts w:ascii="Arial" w:eastAsiaTheme="majorEastAsia" w:hAnsi="Arial" w:cs="Arial"/>
          <w:b/>
          <w:bCs/>
          <w:color w:val="2F5496" w:themeColor="accent1" w:themeShade="BF"/>
          <w:sz w:val="28"/>
          <w:szCs w:val="28"/>
        </w:rPr>
        <w:t xml:space="preserve"> </w:t>
      </w:r>
    </w:p>
    <w:p w14:paraId="5429745A" w14:textId="77777777" w:rsidR="0044074A" w:rsidRPr="00E55121" w:rsidRDefault="0044074A" w:rsidP="006172CC">
      <w:pPr>
        <w:rPr>
          <w:rFonts w:ascii="Arial" w:hAnsi="Arial" w:cs="Arial"/>
          <w:sz w:val="28"/>
          <w:szCs w:val="28"/>
        </w:rPr>
      </w:pPr>
    </w:p>
    <w:tbl>
      <w:tblPr>
        <w:tblStyle w:val="TableGrid"/>
        <w:tblW w:w="9209" w:type="dxa"/>
        <w:tblLook w:val="04A0" w:firstRow="1" w:lastRow="0" w:firstColumn="1" w:lastColumn="0" w:noHBand="0" w:noVBand="1"/>
      </w:tblPr>
      <w:tblGrid>
        <w:gridCol w:w="1395"/>
        <w:gridCol w:w="1618"/>
        <w:gridCol w:w="2850"/>
        <w:gridCol w:w="1536"/>
        <w:gridCol w:w="1810"/>
      </w:tblGrid>
      <w:tr w:rsidR="0044074A" w:rsidRPr="00E55121" w14:paraId="5734343F" w14:textId="77777777" w:rsidTr="00A73314">
        <w:trPr>
          <w:trHeight w:val="863"/>
        </w:trPr>
        <w:tc>
          <w:tcPr>
            <w:tcW w:w="1413" w:type="dxa"/>
          </w:tcPr>
          <w:p w14:paraId="2DEFD950" w14:textId="77777777" w:rsidR="0044074A" w:rsidRPr="00E55121" w:rsidRDefault="0044074A" w:rsidP="0044074A">
            <w:pPr>
              <w:spacing w:after="160" w:line="259" w:lineRule="auto"/>
              <w:rPr>
                <w:rFonts w:ascii="Arial" w:hAnsi="Arial" w:cs="Arial"/>
                <w:b/>
                <w:bCs/>
                <w:sz w:val="28"/>
                <w:szCs w:val="28"/>
              </w:rPr>
            </w:pPr>
            <w:r w:rsidRPr="00E55121">
              <w:rPr>
                <w:rFonts w:ascii="Arial" w:hAnsi="Arial" w:cs="Arial"/>
                <w:b/>
                <w:bCs/>
                <w:sz w:val="28"/>
                <w:szCs w:val="28"/>
              </w:rPr>
              <w:t>Version</w:t>
            </w:r>
          </w:p>
        </w:tc>
        <w:tc>
          <w:tcPr>
            <w:tcW w:w="1417" w:type="dxa"/>
          </w:tcPr>
          <w:p w14:paraId="65708BFB" w14:textId="77777777" w:rsidR="0044074A" w:rsidRPr="00E55121" w:rsidRDefault="0044074A" w:rsidP="0044074A">
            <w:pPr>
              <w:spacing w:after="160" w:line="259" w:lineRule="auto"/>
              <w:rPr>
                <w:rFonts w:ascii="Arial" w:hAnsi="Arial" w:cs="Arial"/>
                <w:b/>
                <w:bCs/>
                <w:sz w:val="28"/>
                <w:szCs w:val="28"/>
              </w:rPr>
            </w:pPr>
            <w:r w:rsidRPr="00E55121">
              <w:rPr>
                <w:rFonts w:ascii="Arial" w:hAnsi="Arial" w:cs="Arial"/>
                <w:b/>
                <w:bCs/>
                <w:sz w:val="28"/>
                <w:szCs w:val="28"/>
              </w:rPr>
              <w:t>Date</w:t>
            </w:r>
          </w:p>
        </w:tc>
        <w:tc>
          <w:tcPr>
            <w:tcW w:w="2977" w:type="dxa"/>
          </w:tcPr>
          <w:p w14:paraId="29B705AF" w14:textId="77777777" w:rsidR="0044074A" w:rsidRPr="00E55121" w:rsidRDefault="0044074A" w:rsidP="0044074A">
            <w:pPr>
              <w:spacing w:after="160" w:line="259" w:lineRule="auto"/>
              <w:rPr>
                <w:rFonts w:ascii="Arial" w:hAnsi="Arial" w:cs="Arial"/>
                <w:b/>
                <w:bCs/>
                <w:sz w:val="28"/>
                <w:szCs w:val="28"/>
              </w:rPr>
            </w:pPr>
            <w:r w:rsidRPr="00E55121">
              <w:rPr>
                <w:rFonts w:ascii="Arial" w:hAnsi="Arial" w:cs="Arial"/>
                <w:b/>
                <w:bCs/>
                <w:sz w:val="28"/>
                <w:szCs w:val="28"/>
              </w:rPr>
              <w:t>Description</w:t>
            </w:r>
          </w:p>
        </w:tc>
        <w:tc>
          <w:tcPr>
            <w:tcW w:w="1559" w:type="dxa"/>
          </w:tcPr>
          <w:p w14:paraId="6D61DAD2" w14:textId="77777777" w:rsidR="0044074A" w:rsidRPr="00E55121" w:rsidRDefault="0044074A" w:rsidP="0044074A">
            <w:pPr>
              <w:spacing w:after="160" w:line="259" w:lineRule="auto"/>
              <w:rPr>
                <w:rFonts w:ascii="Arial" w:hAnsi="Arial" w:cs="Arial"/>
                <w:b/>
                <w:bCs/>
                <w:sz w:val="28"/>
                <w:szCs w:val="28"/>
              </w:rPr>
            </w:pPr>
            <w:r w:rsidRPr="00E55121">
              <w:rPr>
                <w:rFonts w:ascii="Arial" w:hAnsi="Arial" w:cs="Arial"/>
                <w:b/>
                <w:bCs/>
                <w:sz w:val="28"/>
                <w:szCs w:val="28"/>
              </w:rPr>
              <w:t>Updated By</w:t>
            </w:r>
          </w:p>
        </w:tc>
        <w:tc>
          <w:tcPr>
            <w:tcW w:w="1843" w:type="dxa"/>
          </w:tcPr>
          <w:p w14:paraId="5E1498BB" w14:textId="77777777" w:rsidR="0044074A" w:rsidRPr="00E55121" w:rsidRDefault="0044074A" w:rsidP="0044074A">
            <w:pPr>
              <w:spacing w:after="160" w:line="259" w:lineRule="auto"/>
              <w:rPr>
                <w:rFonts w:ascii="Arial" w:hAnsi="Arial" w:cs="Arial"/>
                <w:b/>
                <w:bCs/>
                <w:sz w:val="28"/>
                <w:szCs w:val="28"/>
              </w:rPr>
            </w:pPr>
            <w:r w:rsidRPr="00E55121">
              <w:rPr>
                <w:rFonts w:ascii="Arial" w:hAnsi="Arial" w:cs="Arial"/>
                <w:b/>
                <w:bCs/>
                <w:sz w:val="28"/>
                <w:szCs w:val="28"/>
              </w:rPr>
              <w:t>Approved By</w:t>
            </w:r>
          </w:p>
        </w:tc>
      </w:tr>
      <w:tr w:rsidR="00A52669" w:rsidRPr="00E55121" w14:paraId="57E58C45" w14:textId="77777777" w:rsidTr="00A73314">
        <w:trPr>
          <w:trHeight w:val="863"/>
        </w:trPr>
        <w:tc>
          <w:tcPr>
            <w:tcW w:w="1413" w:type="dxa"/>
          </w:tcPr>
          <w:p w14:paraId="08C52776" w14:textId="1CE67377" w:rsidR="00A52669" w:rsidRPr="00E55121" w:rsidRDefault="00A52669" w:rsidP="00A52669">
            <w:pPr>
              <w:spacing w:after="160" w:line="259" w:lineRule="auto"/>
              <w:rPr>
                <w:rFonts w:ascii="Arial" w:hAnsi="Arial" w:cs="Arial"/>
                <w:sz w:val="28"/>
                <w:szCs w:val="28"/>
              </w:rPr>
            </w:pPr>
            <w:r>
              <w:rPr>
                <w:rFonts w:ascii="Arial" w:hAnsi="Arial" w:cs="Arial"/>
                <w:sz w:val="28"/>
                <w:szCs w:val="28"/>
              </w:rPr>
              <w:t>1.0</w:t>
            </w:r>
          </w:p>
        </w:tc>
        <w:tc>
          <w:tcPr>
            <w:tcW w:w="1417" w:type="dxa"/>
          </w:tcPr>
          <w:p w14:paraId="0E8793CA" w14:textId="4FE85E04" w:rsidR="00A52669" w:rsidRPr="00E55121" w:rsidRDefault="00A52669" w:rsidP="00A52669">
            <w:pPr>
              <w:spacing w:after="160" w:line="259" w:lineRule="auto"/>
              <w:rPr>
                <w:rFonts w:ascii="Arial" w:hAnsi="Arial" w:cs="Arial"/>
                <w:sz w:val="28"/>
                <w:szCs w:val="28"/>
              </w:rPr>
            </w:pPr>
            <w:r>
              <w:rPr>
                <w:rFonts w:ascii="Arial" w:hAnsi="Arial" w:cs="Arial"/>
                <w:sz w:val="28"/>
                <w:szCs w:val="28"/>
              </w:rPr>
              <w:t>07.05.2025</w:t>
            </w:r>
          </w:p>
        </w:tc>
        <w:tc>
          <w:tcPr>
            <w:tcW w:w="2977" w:type="dxa"/>
          </w:tcPr>
          <w:p w14:paraId="023D6F86" w14:textId="206BABBA" w:rsidR="00A52669" w:rsidRPr="00E55121" w:rsidRDefault="00A52669" w:rsidP="00A52669">
            <w:pPr>
              <w:spacing w:after="160" w:line="259" w:lineRule="auto"/>
              <w:rPr>
                <w:rFonts w:ascii="Arial" w:hAnsi="Arial" w:cs="Arial"/>
                <w:sz w:val="28"/>
                <w:szCs w:val="28"/>
              </w:rPr>
            </w:pPr>
            <w:r>
              <w:rPr>
                <w:rFonts w:ascii="Arial" w:hAnsi="Arial" w:cs="Arial"/>
                <w:sz w:val="28"/>
                <w:szCs w:val="28"/>
              </w:rPr>
              <w:t>Document approved at Cabinet.</w:t>
            </w:r>
          </w:p>
        </w:tc>
        <w:tc>
          <w:tcPr>
            <w:tcW w:w="1559" w:type="dxa"/>
          </w:tcPr>
          <w:p w14:paraId="09EC1191" w14:textId="5DA7C41A" w:rsidR="00A52669" w:rsidRPr="00E55121" w:rsidRDefault="00A52669" w:rsidP="00A52669">
            <w:pPr>
              <w:spacing w:after="160" w:line="259" w:lineRule="auto"/>
              <w:rPr>
                <w:rFonts w:ascii="Arial" w:hAnsi="Arial" w:cs="Arial"/>
                <w:sz w:val="28"/>
                <w:szCs w:val="28"/>
              </w:rPr>
            </w:pPr>
            <w:r>
              <w:rPr>
                <w:rFonts w:ascii="Arial" w:hAnsi="Arial" w:cs="Arial"/>
                <w:sz w:val="28"/>
                <w:szCs w:val="28"/>
              </w:rPr>
              <w:t>Louis Bebb</w:t>
            </w:r>
          </w:p>
        </w:tc>
        <w:tc>
          <w:tcPr>
            <w:tcW w:w="1843" w:type="dxa"/>
          </w:tcPr>
          <w:p w14:paraId="406AAFC2" w14:textId="081B08DE" w:rsidR="00A52669" w:rsidRPr="00E55121" w:rsidRDefault="00A52669" w:rsidP="00A52669">
            <w:pPr>
              <w:spacing w:after="160" w:line="259" w:lineRule="auto"/>
              <w:rPr>
                <w:rFonts w:ascii="Arial" w:hAnsi="Arial" w:cs="Arial"/>
                <w:sz w:val="28"/>
                <w:szCs w:val="28"/>
              </w:rPr>
            </w:pPr>
            <w:r>
              <w:rPr>
                <w:rFonts w:ascii="Arial" w:hAnsi="Arial" w:cs="Arial"/>
                <w:sz w:val="28"/>
                <w:szCs w:val="28"/>
              </w:rPr>
              <w:t>Cabinet</w:t>
            </w:r>
          </w:p>
        </w:tc>
      </w:tr>
      <w:tr w:rsidR="00A52669" w:rsidRPr="00E55121" w14:paraId="5F7AF182" w14:textId="77777777" w:rsidTr="00A73314">
        <w:trPr>
          <w:trHeight w:val="863"/>
        </w:trPr>
        <w:tc>
          <w:tcPr>
            <w:tcW w:w="1413" w:type="dxa"/>
          </w:tcPr>
          <w:p w14:paraId="34D74332" w14:textId="01463640" w:rsidR="00A52669" w:rsidRPr="00E55121" w:rsidRDefault="00A52669" w:rsidP="00A52669">
            <w:pPr>
              <w:rPr>
                <w:rFonts w:ascii="Arial" w:hAnsi="Arial" w:cs="Arial"/>
                <w:sz w:val="28"/>
                <w:szCs w:val="28"/>
              </w:rPr>
            </w:pPr>
            <w:r>
              <w:rPr>
                <w:rFonts w:ascii="Arial" w:hAnsi="Arial" w:cs="Arial"/>
                <w:sz w:val="28"/>
                <w:szCs w:val="28"/>
              </w:rPr>
              <w:t>2.0</w:t>
            </w:r>
          </w:p>
        </w:tc>
        <w:tc>
          <w:tcPr>
            <w:tcW w:w="1417" w:type="dxa"/>
          </w:tcPr>
          <w:p w14:paraId="413992FB" w14:textId="77777777" w:rsidR="00A52669" w:rsidRPr="00E55121" w:rsidRDefault="00A52669" w:rsidP="00A52669">
            <w:pPr>
              <w:rPr>
                <w:rFonts w:ascii="Arial" w:hAnsi="Arial" w:cs="Arial"/>
                <w:sz w:val="28"/>
                <w:szCs w:val="28"/>
              </w:rPr>
            </w:pPr>
          </w:p>
        </w:tc>
        <w:tc>
          <w:tcPr>
            <w:tcW w:w="2977" w:type="dxa"/>
          </w:tcPr>
          <w:p w14:paraId="58C87B67" w14:textId="77777777" w:rsidR="00A52669" w:rsidRPr="00E55121" w:rsidRDefault="00A52669" w:rsidP="00A52669">
            <w:pPr>
              <w:rPr>
                <w:rFonts w:ascii="Arial" w:hAnsi="Arial" w:cs="Arial"/>
                <w:sz w:val="28"/>
                <w:szCs w:val="28"/>
              </w:rPr>
            </w:pPr>
          </w:p>
        </w:tc>
        <w:tc>
          <w:tcPr>
            <w:tcW w:w="1559" w:type="dxa"/>
          </w:tcPr>
          <w:p w14:paraId="1E32FE8E" w14:textId="77777777" w:rsidR="00A52669" w:rsidRPr="00E55121" w:rsidRDefault="00A52669" w:rsidP="00A52669">
            <w:pPr>
              <w:rPr>
                <w:rFonts w:ascii="Arial" w:hAnsi="Arial" w:cs="Arial"/>
                <w:sz w:val="28"/>
                <w:szCs w:val="28"/>
              </w:rPr>
            </w:pPr>
          </w:p>
        </w:tc>
        <w:tc>
          <w:tcPr>
            <w:tcW w:w="1843" w:type="dxa"/>
          </w:tcPr>
          <w:p w14:paraId="255C42C9" w14:textId="77777777" w:rsidR="00A52669" w:rsidRPr="00E55121" w:rsidRDefault="00A52669" w:rsidP="00A52669">
            <w:pPr>
              <w:rPr>
                <w:rFonts w:ascii="Arial" w:hAnsi="Arial" w:cs="Arial"/>
                <w:sz w:val="28"/>
                <w:szCs w:val="28"/>
              </w:rPr>
            </w:pPr>
          </w:p>
        </w:tc>
      </w:tr>
    </w:tbl>
    <w:p w14:paraId="3AF89A78" w14:textId="77777777" w:rsidR="00775A60" w:rsidRDefault="00775A60"/>
    <w:sectPr w:rsidR="00775A60" w:rsidSect="00BD3B65">
      <w:footerReference w:type="default" r:id="rId2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648EE" w14:textId="77777777" w:rsidR="00DD0EAC" w:rsidRDefault="00DD0EAC" w:rsidP="00BD3B65">
      <w:pPr>
        <w:spacing w:after="0" w:line="240" w:lineRule="auto"/>
      </w:pPr>
      <w:r>
        <w:separator/>
      </w:r>
    </w:p>
  </w:endnote>
  <w:endnote w:type="continuationSeparator" w:id="0">
    <w:p w14:paraId="5D9A7A5C" w14:textId="77777777" w:rsidR="00DD0EAC" w:rsidRDefault="00DD0EAC" w:rsidP="00BD3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96212268"/>
      <w:docPartObj>
        <w:docPartGallery w:val="Page Numbers (Bottom of Page)"/>
        <w:docPartUnique/>
      </w:docPartObj>
    </w:sdtPr>
    <w:sdtEndPr>
      <w:rPr>
        <w:noProof/>
      </w:rPr>
    </w:sdtEndPr>
    <w:sdtContent>
      <w:p w14:paraId="4A3034A4" w14:textId="678ABB96" w:rsidR="00BD3B65" w:rsidRPr="00FA7848" w:rsidRDefault="00BD3B65">
        <w:pPr>
          <w:pStyle w:val="Footer"/>
          <w:jc w:val="right"/>
          <w:rPr>
            <w:rFonts w:ascii="Arial" w:hAnsi="Arial" w:cs="Arial"/>
          </w:rPr>
        </w:pPr>
        <w:r w:rsidRPr="00FA7848">
          <w:rPr>
            <w:rFonts w:ascii="Arial" w:hAnsi="Arial" w:cs="Arial"/>
          </w:rPr>
          <w:fldChar w:fldCharType="begin"/>
        </w:r>
        <w:r w:rsidRPr="00FA7848">
          <w:rPr>
            <w:rFonts w:ascii="Arial" w:hAnsi="Arial" w:cs="Arial"/>
          </w:rPr>
          <w:instrText xml:space="preserve"> PAGE   \* MERGEFORMAT </w:instrText>
        </w:r>
        <w:r w:rsidRPr="00FA7848">
          <w:rPr>
            <w:rFonts w:ascii="Arial" w:hAnsi="Arial" w:cs="Arial"/>
          </w:rPr>
          <w:fldChar w:fldCharType="separate"/>
        </w:r>
        <w:r w:rsidRPr="00FA7848">
          <w:rPr>
            <w:rFonts w:ascii="Arial" w:hAnsi="Arial" w:cs="Arial"/>
            <w:noProof/>
          </w:rPr>
          <w:t>2</w:t>
        </w:r>
        <w:r w:rsidRPr="00FA7848">
          <w:rPr>
            <w:rFonts w:ascii="Arial" w:hAnsi="Arial" w:cs="Arial"/>
            <w:noProof/>
          </w:rPr>
          <w:fldChar w:fldCharType="end"/>
        </w:r>
      </w:p>
    </w:sdtContent>
  </w:sdt>
  <w:p w14:paraId="3BE39740" w14:textId="77777777" w:rsidR="00BD3B65" w:rsidRDefault="00BD3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1A04D" w14:textId="77777777" w:rsidR="00DD0EAC" w:rsidRDefault="00DD0EAC" w:rsidP="00BD3B65">
      <w:pPr>
        <w:spacing w:after="0" w:line="240" w:lineRule="auto"/>
      </w:pPr>
      <w:r>
        <w:separator/>
      </w:r>
    </w:p>
  </w:footnote>
  <w:footnote w:type="continuationSeparator" w:id="0">
    <w:p w14:paraId="7DD6D681" w14:textId="77777777" w:rsidR="00DD0EAC" w:rsidRDefault="00DD0EAC" w:rsidP="00BD3B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45E8"/>
    <w:multiLevelType w:val="multilevel"/>
    <w:tmpl w:val="157E0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653C6"/>
    <w:multiLevelType w:val="hybridMultilevel"/>
    <w:tmpl w:val="356CD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52941"/>
    <w:multiLevelType w:val="hybridMultilevel"/>
    <w:tmpl w:val="9FFAACF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CC468E8"/>
    <w:multiLevelType w:val="hybridMultilevel"/>
    <w:tmpl w:val="90F81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65B9C"/>
    <w:multiLevelType w:val="hybridMultilevel"/>
    <w:tmpl w:val="729AF266"/>
    <w:lvl w:ilvl="0" w:tplc="08090001">
      <w:start w:val="1"/>
      <w:numFmt w:val="bullet"/>
      <w:lvlText w:val=""/>
      <w:lvlJc w:val="left"/>
      <w:pPr>
        <w:ind w:left="426" w:hanging="360"/>
      </w:pPr>
      <w:rPr>
        <w:rFonts w:ascii="Symbol" w:hAnsi="Symbo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5" w15:restartNumberingAfterBreak="0">
    <w:nsid w:val="0F7A5C6C"/>
    <w:multiLevelType w:val="hybridMultilevel"/>
    <w:tmpl w:val="C2189EE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104D03DF"/>
    <w:multiLevelType w:val="hybridMultilevel"/>
    <w:tmpl w:val="7E4A6EC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15FB6B5A"/>
    <w:multiLevelType w:val="multilevel"/>
    <w:tmpl w:val="48B00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3D3AEA"/>
    <w:multiLevelType w:val="hybridMultilevel"/>
    <w:tmpl w:val="A3407F48"/>
    <w:lvl w:ilvl="0" w:tplc="20747B8A">
      <w:numFmt w:val="bullet"/>
      <w:lvlText w:val="•"/>
      <w:lvlJc w:val="left"/>
      <w:pPr>
        <w:ind w:left="1494" w:hanging="360"/>
      </w:pPr>
      <w:rPr>
        <w:rFonts w:ascii="Arial" w:eastAsiaTheme="minorHAnsi"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17C5A8E"/>
    <w:multiLevelType w:val="hybridMultilevel"/>
    <w:tmpl w:val="6770BDF0"/>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224862BC"/>
    <w:multiLevelType w:val="multilevel"/>
    <w:tmpl w:val="21063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841992"/>
    <w:multiLevelType w:val="hybridMultilevel"/>
    <w:tmpl w:val="554A71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7EC533B"/>
    <w:multiLevelType w:val="multilevel"/>
    <w:tmpl w:val="ABD8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380FC7"/>
    <w:multiLevelType w:val="hybridMultilevel"/>
    <w:tmpl w:val="F6CCA4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FEC362E"/>
    <w:multiLevelType w:val="multilevel"/>
    <w:tmpl w:val="6A5814C0"/>
    <w:lvl w:ilvl="0">
      <w:start w:val="8"/>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308224EA"/>
    <w:multiLevelType w:val="hybridMultilevel"/>
    <w:tmpl w:val="D8247EB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15:restartNumberingAfterBreak="0">
    <w:nsid w:val="30CD6B9F"/>
    <w:multiLevelType w:val="multilevel"/>
    <w:tmpl w:val="1202374E"/>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30FE3740"/>
    <w:multiLevelType w:val="hybridMultilevel"/>
    <w:tmpl w:val="9DAA292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32DF41C6"/>
    <w:multiLevelType w:val="hybridMultilevel"/>
    <w:tmpl w:val="1128A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DE7010"/>
    <w:multiLevelType w:val="multilevel"/>
    <w:tmpl w:val="1202374E"/>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2125BA8"/>
    <w:multiLevelType w:val="hybridMultilevel"/>
    <w:tmpl w:val="F75046B8"/>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43153D6D"/>
    <w:multiLevelType w:val="multilevel"/>
    <w:tmpl w:val="1202374E"/>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4000724"/>
    <w:multiLevelType w:val="hybridMultilevel"/>
    <w:tmpl w:val="F8DE174E"/>
    <w:lvl w:ilvl="0" w:tplc="20747B8A">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 w15:restartNumberingAfterBreak="0">
    <w:nsid w:val="487B6153"/>
    <w:multiLevelType w:val="hybridMultilevel"/>
    <w:tmpl w:val="1C6A9570"/>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593" w:hanging="360"/>
      </w:pPr>
      <w:rPr>
        <w:rFonts w:ascii="Courier New" w:hAnsi="Courier New" w:cs="Courier New" w:hint="default"/>
      </w:rPr>
    </w:lvl>
    <w:lvl w:ilvl="2" w:tplc="FFFFFFFF" w:tentative="1">
      <w:start w:val="1"/>
      <w:numFmt w:val="bullet"/>
      <w:lvlText w:val=""/>
      <w:lvlJc w:val="left"/>
      <w:pPr>
        <w:ind w:left="2313" w:hanging="360"/>
      </w:pPr>
      <w:rPr>
        <w:rFonts w:ascii="Wingdings" w:hAnsi="Wingdings" w:hint="default"/>
      </w:rPr>
    </w:lvl>
    <w:lvl w:ilvl="3" w:tplc="FFFFFFFF" w:tentative="1">
      <w:start w:val="1"/>
      <w:numFmt w:val="bullet"/>
      <w:lvlText w:val=""/>
      <w:lvlJc w:val="left"/>
      <w:pPr>
        <w:ind w:left="3033" w:hanging="360"/>
      </w:pPr>
      <w:rPr>
        <w:rFonts w:ascii="Symbol" w:hAnsi="Symbol" w:hint="default"/>
      </w:rPr>
    </w:lvl>
    <w:lvl w:ilvl="4" w:tplc="FFFFFFFF" w:tentative="1">
      <w:start w:val="1"/>
      <w:numFmt w:val="bullet"/>
      <w:lvlText w:val="o"/>
      <w:lvlJc w:val="left"/>
      <w:pPr>
        <w:ind w:left="3753" w:hanging="360"/>
      </w:pPr>
      <w:rPr>
        <w:rFonts w:ascii="Courier New" w:hAnsi="Courier New" w:cs="Courier New" w:hint="default"/>
      </w:rPr>
    </w:lvl>
    <w:lvl w:ilvl="5" w:tplc="FFFFFFFF" w:tentative="1">
      <w:start w:val="1"/>
      <w:numFmt w:val="bullet"/>
      <w:lvlText w:val=""/>
      <w:lvlJc w:val="left"/>
      <w:pPr>
        <w:ind w:left="4473" w:hanging="360"/>
      </w:pPr>
      <w:rPr>
        <w:rFonts w:ascii="Wingdings" w:hAnsi="Wingdings" w:hint="default"/>
      </w:rPr>
    </w:lvl>
    <w:lvl w:ilvl="6" w:tplc="FFFFFFFF" w:tentative="1">
      <w:start w:val="1"/>
      <w:numFmt w:val="bullet"/>
      <w:lvlText w:val=""/>
      <w:lvlJc w:val="left"/>
      <w:pPr>
        <w:ind w:left="5193" w:hanging="360"/>
      </w:pPr>
      <w:rPr>
        <w:rFonts w:ascii="Symbol" w:hAnsi="Symbol" w:hint="default"/>
      </w:rPr>
    </w:lvl>
    <w:lvl w:ilvl="7" w:tplc="FFFFFFFF" w:tentative="1">
      <w:start w:val="1"/>
      <w:numFmt w:val="bullet"/>
      <w:lvlText w:val="o"/>
      <w:lvlJc w:val="left"/>
      <w:pPr>
        <w:ind w:left="5913" w:hanging="360"/>
      </w:pPr>
      <w:rPr>
        <w:rFonts w:ascii="Courier New" w:hAnsi="Courier New" w:cs="Courier New" w:hint="default"/>
      </w:rPr>
    </w:lvl>
    <w:lvl w:ilvl="8" w:tplc="FFFFFFFF" w:tentative="1">
      <w:start w:val="1"/>
      <w:numFmt w:val="bullet"/>
      <w:lvlText w:val=""/>
      <w:lvlJc w:val="left"/>
      <w:pPr>
        <w:ind w:left="6633" w:hanging="360"/>
      </w:pPr>
      <w:rPr>
        <w:rFonts w:ascii="Wingdings" w:hAnsi="Wingdings" w:hint="default"/>
      </w:rPr>
    </w:lvl>
  </w:abstractNum>
  <w:abstractNum w:abstractNumId="24" w15:restartNumberingAfterBreak="0">
    <w:nsid w:val="48CC09DB"/>
    <w:multiLevelType w:val="hybridMultilevel"/>
    <w:tmpl w:val="94C0121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4C0A6660"/>
    <w:multiLevelType w:val="hybridMultilevel"/>
    <w:tmpl w:val="97BCA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065C0"/>
    <w:multiLevelType w:val="hybridMultilevel"/>
    <w:tmpl w:val="776A8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DB2262"/>
    <w:multiLevelType w:val="hybridMultilevel"/>
    <w:tmpl w:val="AA7A7DF6"/>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8" w15:restartNumberingAfterBreak="0">
    <w:nsid w:val="517E1A16"/>
    <w:multiLevelType w:val="multilevel"/>
    <w:tmpl w:val="F4F29132"/>
    <w:lvl w:ilvl="0">
      <w:start w:val="1"/>
      <w:numFmt w:val="bullet"/>
      <w:lvlText w:val=""/>
      <w:lvlJc w:val="left"/>
      <w:pPr>
        <w:ind w:left="927" w:hanging="360"/>
      </w:pPr>
      <w:rPr>
        <w:rFonts w:ascii="Symbol" w:hAnsi="Symbol" w:hint="default"/>
      </w:rPr>
    </w:lvl>
    <w:lvl w:ilvl="1">
      <w:start w:val="1"/>
      <w:numFmt w:val="bullet"/>
      <w:lvlText w:val=""/>
      <w:lvlJc w:val="left"/>
      <w:pPr>
        <w:ind w:left="927" w:hanging="360"/>
      </w:pPr>
      <w:rPr>
        <w:rFonts w:ascii="Symbol" w:hAnsi="Symbol"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9" w15:restartNumberingAfterBreak="0">
    <w:nsid w:val="532A47A9"/>
    <w:multiLevelType w:val="hybridMultilevel"/>
    <w:tmpl w:val="A3684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E74BB2"/>
    <w:multiLevelType w:val="multilevel"/>
    <w:tmpl w:val="7F544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9E5CF9"/>
    <w:multiLevelType w:val="hybridMultilevel"/>
    <w:tmpl w:val="F4EA3D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A3089F"/>
    <w:multiLevelType w:val="hybridMultilevel"/>
    <w:tmpl w:val="EB0832F6"/>
    <w:lvl w:ilvl="0" w:tplc="A6BADAF0">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2A771FF"/>
    <w:multiLevelType w:val="hybridMultilevel"/>
    <w:tmpl w:val="14F8EC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02064A"/>
    <w:multiLevelType w:val="hybridMultilevel"/>
    <w:tmpl w:val="E33407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6A758EF"/>
    <w:multiLevelType w:val="hybridMultilevel"/>
    <w:tmpl w:val="33582D94"/>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 w15:restartNumberingAfterBreak="0">
    <w:nsid w:val="67AE3F97"/>
    <w:multiLevelType w:val="hybridMultilevel"/>
    <w:tmpl w:val="79BE050E"/>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7" w15:restartNumberingAfterBreak="0">
    <w:nsid w:val="67C70BDF"/>
    <w:multiLevelType w:val="multilevel"/>
    <w:tmpl w:val="854085A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val="0"/>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6C1C2DF4"/>
    <w:multiLevelType w:val="hybridMultilevel"/>
    <w:tmpl w:val="53626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063C6D"/>
    <w:multiLevelType w:val="multilevel"/>
    <w:tmpl w:val="D8C2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9F2B9B"/>
    <w:multiLevelType w:val="hybridMultilevel"/>
    <w:tmpl w:val="4F109C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E9511B5"/>
    <w:multiLevelType w:val="hybridMultilevel"/>
    <w:tmpl w:val="FAB44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0960DA"/>
    <w:multiLevelType w:val="multilevel"/>
    <w:tmpl w:val="F4F29132"/>
    <w:lvl w:ilvl="0">
      <w:start w:val="1"/>
      <w:numFmt w:val="bullet"/>
      <w:lvlText w:val=""/>
      <w:lvlJc w:val="left"/>
      <w:pPr>
        <w:ind w:left="927" w:hanging="360"/>
      </w:pPr>
      <w:rPr>
        <w:rFonts w:ascii="Symbol" w:hAnsi="Symbol" w:hint="default"/>
      </w:rPr>
    </w:lvl>
    <w:lvl w:ilvl="1">
      <w:start w:val="1"/>
      <w:numFmt w:val="bullet"/>
      <w:lvlText w:val=""/>
      <w:lvlJc w:val="left"/>
      <w:pPr>
        <w:ind w:left="927" w:hanging="360"/>
      </w:pPr>
      <w:rPr>
        <w:rFonts w:ascii="Symbol" w:hAnsi="Symbol"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74330DDD"/>
    <w:multiLevelType w:val="hybridMultilevel"/>
    <w:tmpl w:val="152C9E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49F3BF4"/>
    <w:multiLevelType w:val="hybridMultilevel"/>
    <w:tmpl w:val="603EA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F51511"/>
    <w:multiLevelType w:val="multilevel"/>
    <w:tmpl w:val="D37C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6444D9"/>
    <w:multiLevelType w:val="hybridMultilevel"/>
    <w:tmpl w:val="FC3640B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16cid:durableId="894924342">
    <w:abstractNumId w:val="37"/>
  </w:num>
  <w:num w:numId="2" w16cid:durableId="1662345125">
    <w:abstractNumId w:val="2"/>
  </w:num>
  <w:num w:numId="3" w16cid:durableId="502009116">
    <w:abstractNumId w:val="22"/>
  </w:num>
  <w:num w:numId="4" w16cid:durableId="1060327139">
    <w:abstractNumId w:val="8"/>
  </w:num>
  <w:num w:numId="5" w16cid:durableId="1830632842">
    <w:abstractNumId w:val="23"/>
  </w:num>
  <w:num w:numId="6" w16cid:durableId="1268000838">
    <w:abstractNumId w:val="32"/>
  </w:num>
  <w:num w:numId="7" w16cid:durableId="349265136">
    <w:abstractNumId w:val="17"/>
  </w:num>
  <w:num w:numId="8" w16cid:durableId="738093429">
    <w:abstractNumId w:val="44"/>
  </w:num>
  <w:num w:numId="9" w16cid:durableId="1589340753">
    <w:abstractNumId w:val="41"/>
  </w:num>
  <w:num w:numId="10" w16cid:durableId="803356586">
    <w:abstractNumId w:val="11"/>
  </w:num>
  <w:num w:numId="11" w16cid:durableId="366879894">
    <w:abstractNumId w:val="29"/>
  </w:num>
  <w:num w:numId="12" w16cid:durableId="175317168">
    <w:abstractNumId w:val="13"/>
  </w:num>
  <w:num w:numId="13" w16cid:durableId="557204568">
    <w:abstractNumId w:val="18"/>
  </w:num>
  <w:num w:numId="14" w16cid:durableId="2033417670">
    <w:abstractNumId w:val="38"/>
  </w:num>
  <w:num w:numId="15" w16cid:durableId="1922132938">
    <w:abstractNumId w:val="40"/>
  </w:num>
  <w:num w:numId="16" w16cid:durableId="1612785677">
    <w:abstractNumId w:val="15"/>
  </w:num>
  <w:num w:numId="17" w16cid:durableId="1216086888">
    <w:abstractNumId w:val="34"/>
  </w:num>
  <w:num w:numId="18" w16cid:durableId="1324427138">
    <w:abstractNumId w:val="33"/>
  </w:num>
  <w:num w:numId="19" w16cid:durableId="940407949">
    <w:abstractNumId w:val="4"/>
  </w:num>
  <w:num w:numId="20" w16cid:durableId="1319504158">
    <w:abstractNumId w:val="46"/>
  </w:num>
  <w:num w:numId="21" w16cid:durableId="46494276">
    <w:abstractNumId w:val="31"/>
  </w:num>
  <w:num w:numId="22" w16cid:durableId="515310077">
    <w:abstractNumId w:val="36"/>
  </w:num>
  <w:num w:numId="23" w16cid:durableId="486744356">
    <w:abstractNumId w:val="3"/>
  </w:num>
  <w:num w:numId="24" w16cid:durableId="624458746">
    <w:abstractNumId w:val="43"/>
  </w:num>
  <w:num w:numId="25" w16cid:durableId="870532827">
    <w:abstractNumId w:val="45"/>
  </w:num>
  <w:num w:numId="26" w16cid:durableId="918293838">
    <w:abstractNumId w:val="5"/>
  </w:num>
  <w:num w:numId="27" w16cid:durableId="2099326528">
    <w:abstractNumId w:val="7"/>
  </w:num>
  <w:num w:numId="28" w16cid:durableId="390272715">
    <w:abstractNumId w:val="6"/>
  </w:num>
  <w:num w:numId="29" w16cid:durableId="1107581989">
    <w:abstractNumId w:val="39"/>
  </w:num>
  <w:num w:numId="30" w16cid:durableId="1077441727">
    <w:abstractNumId w:val="21"/>
  </w:num>
  <w:num w:numId="31" w16cid:durableId="87577683">
    <w:abstractNumId w:val="19"/>
  </w:num>
  <w:num w:numId="32" w16cid:durableId="391735687">
    <w:abstractNumId w:val="16"/>
  </w:num>
  <w:num w:numId="33" w16cid:durableId="67772954">
    <w:abstractNumId w:val="28"/>
  </w:num>
  <w:num w:numId="34" w16cid:durableId="2128615587">
    <w:abstractNumId w:val="35"/>
  </w:num>
  <w:num w:numId="35" w16cid:durableId="917129904">
    <w:abstractNumId w:val="14"/>
  </w:num>
  <w:num w:numId="36" w16cid:durableId="1045984306">
    <w:abstractNumId w:val="42"/>
  </w:num>
  <w:num w:numId="37" w16cid:durableId="611547165">
    <w:abstractNumId w:val="24"/>
  </w:num>
  <w:num w:numId="38" w16cid:durableId="1684627557">
    <w:abstractNumId w:val="20"/>
  </w:num>
  <w:num w:numId="39" w16cid:durableId="1136878309">
    <w:abstractNumId w:val="9"/>
  </w:num>
  <w:num w:numId="40" w16cid:durableId="998534154">
    <w:abstractNumId w:val="0"/>
  </w:num>
  <w:num w:numId="41" w16cid:durableId="408116942">
    <w:abstractNumId w:val="25"/>
  </w:num>
  <w:num w:numId="42" w16cid:durableId="1344162922">
    <w:abstractNumId w:val="12"/>
  </w:num>
  <w:num w:numId="43" w16cid:durableId="1726104585">
    <w:abstractNumId w:val="26"/>
  </w:num>
  <w:num w:numId="44" w16cid:durableId="1790198455">
    <w:abstractNumId w:val="10"/>
  </w:num>
  <w:num w:numId="45" w16cid:durableId="1402289065">
    <w:abstractNumId w:val="1"/>
  </w:num>
  <w:num w:numId="46" w16cid:durableId="492719831">
    <w:abstractNumId w:val="30"/>
  </w:num>
  <w:num w:numId="47" w16cid:durableId="84994999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70B"/>
    <w:rsid w:val="00007746"/>
    <w:rsid w:val="0001191E"/>
    <w:rsid w:val="0001628A"/>
    <w:rsid w:val="000B01DF"/>
    <w:rsid w:val="000B1576"/>
    <w:rsid w:val="000D0FE6"/>
    <w:rsid w:val="000E3008"/>
    <w:rsid w:val="000E50A8"/>
    <w:rsid w:val="00121DC3"/>
    <w:rsid w:val="001308C6"/>
    <w:rsid w:val="001C1F3F"/>
    <w:rsid w:val="001D316A"/>
    <w:rsid w:val="001D6288"/>
    <w:rsid w:val="001F4960"/>
    <w:rsid w:val="0021051C"/>
    <w:rsid w:val="00222360"/>
    <w:rsid w:val="00236900"/>
    <w:rsid w:val="0023797E"/>
    <w:rsid w:val="00244ADC"/>
    <w:rsid w:val="002541AE"/>
    <w:rsid w:val="002B36DC"/>
    <w:rsid w:val="002D24EC"/>
    <w:rsid w:val="002E50E6"/>
    <w:rsid w:val="002F18F0"/>
    <w:rsid w:val="003253F2"/>
    <w:rsid w:val="00330869"/>
    <w:rsid w:val="00331693"/>
    <w:rsid w:val="003337B7"/>
    <w:rsid w:val="00355828"/>
    <w:rsid w:val="00363476"/>
    <w:rsid w:val="00376AE6"/>
    <w:rsid w:val="00393656"/>
    <w:rsid w:val="0039730E"/>
    <w:rsid w:val="003A1541"/>
    <w:rsid w:val="003A2A3E"/>
    <w:rsid w:val="003B1EB8"/>
    <w:rsid w:val="003C1810"/>
    <w:rsid w:val="003D2B21"/>
    <w:rsid w:val="00426DC0"/>
    <w:rsid w:val="0044074A"/>
    <w:rsid w:val="00474EDC"/>
    <w:rsid w:val="00492BB1"/>
    <w:rsid w:val="004A7F7B"/>
    <w:rsid w:val="004B3504"/>
    <w:rsid w:val="00561839"/>
    <w:rsid w:val="00570B22"/>
    <w:rsid w:val="00574EA2"/>
    <w:rsid w:val="005B5C87"/>
    <w:rsid w:val="005C3652"/>
    <w:rsid w:val="005F7F01"/>
    <w:rsid w:val="00600946"/>
    <w:rsid w:val="006172CC"/>
    <w:rsid w:val="0062144B"/>
    <w:rsid w:val="00634692"/>
    <w:rsid w:val="00635137"/>
    <w:rsid w:val="00665317"/>
    <w:rsid w:val="0068684E"/>
    <w:rsid w:val="006A1F7D"/>
    <w:rsid w:val="006A33E5"/>
    <w:rsid w:val="006C5FE7"/>
    <w:rsid w:val="007017D0"/>
    <w:rsid w:val="0071105A"/>
    <w:rsid w:val="00723E33"/>
    <w:rsid w:val="00744E00"/>
    <w:rsid w:val="00764FD3"/>
    <w:rsid w:val="00775A60"/>
    <w:rsid w:val="007C4824"/>
    <w:rsid w:val="007E11D6"/>
    <w:rsid w:val="0085070B"/>
    <w:rsid w:val="0085574F"/>
    <w:rsid w:val="00866512"/>
    <w:rsid w:val="00870FA7"/>
    <w:rsid w:val="00875740"/>
    <w:rsid w:val="0088058A"/>
    <w:rsid w:val="00925D80"/>
    <w:rsid w:val="009551F7"/>
    <w:rsid w:val="00994E5A"/>
    <w:rsid w:val="009A2924"/>
    <w:rsid w:val="009A3C26"/>
    <w:rsid w:val="00A00C18"/>
    <w:rsid w:val="00A33417"/>
    <w:rsid w:val="00A42C8F"/>
    <w:rsid w:val="00A51045"/>
    <w:rsid w:val="00A52669"/>
    <w:rsid w:val="00A62D63"/>
    <w:rsid w:val="00A644EF"/>
    <w:rsid w:val="00A73E80"/>
    <w:rsid w:val="00AA61DE"/>
    <w:rsid w:val="00AB63DD"/>
    <w:rsid w:val="00B2179C"/>
    <w:rsid w:val="00B63737"/>
    <w:rsid w:val="00B755D7"/>
    <w:rsid w:val="00B862F3"/>
    <w:rsid w:val="00BA460F"/>
    <w:rsid w:val="00BC2C77"/>
    <w:rsid w:val="00BD3B65"/>
    <w:rsid w:val="00BE6DA1"/>
    <w:rsid w:val="00C30AD9"/>
    <w:rsid w:val="00C35481"/>
    <w:rsid w:val="00C54A75"/>
    <w:rsid w:val="00C62417"/>
    <w:rsid w:val="00C76C03"/>
    <w:rsid w:val="00C963D5"/>
    <w:rsid w:val="00CC1C8F"/>
    <w:rsid w:val="00D14EFA"/>
    <w:rsid w:val="00D259C9"/>
    <w:rsid w:val="00D314EB"/>
    <w:rsid w:val="00D338B8"/>
    <w:rsid w:val="00D3700B"/>
    <w:rsid w:val="00D43132"/>
    <w:rsid w:val="00D57A8A"/>
    <w:rsid w:val="00D603AC"/>
    <w:rsid w:val="00D62F6A"/>
    <w:rsid w:val="00D975D6"/>
    <w:rsid w:val="00DC3EDD"/>
    <w:rsid w:val="00DD0EAC"/>
    <w:rsid w:val="00DD7CAE"/>
    <w:rsid w:val="00DE2676"/>
    <w:rsid w:val="00DE66A2"/>
    <w:rsid w:val="00DF05C6"/>
    <w:rsid w:val="00DF7731"/>
    <w:rsid w:val="00E17E89"/>
    <w:rsid w:val="00E55121"/>
    <w:rsid w:val="00E80242"/>
    <w:rsid w:val="00E92AB3"/>
    <w:rsid w:val="00EA6229"/>
    <w:rsid w:val="00EB19EE"/>
    <w:rsid w:val="00EB3896"/>
    <w:rsid w:val="00F015C5"/>
    <w:rsid w:val="00F228BD"/>
    <w:rsid w:val="00F41316"/>
    <w:rsid w:val="00F60898"/>
    <w:rsid w:val="00F66B89"/>
    <w:rsid w:val="00F700E2"/>
    <w:rsid w:val="00F72EC1"/>
    <w:rsid w:val="00F75E40"/>
    <w:rsid w:val="00FA3985"/>
    <w:rsid w:val="00FA7848"/>
    <w:rsid w:val="00FC170A"/>
    <w:rsid w:val="00FD71FB"/>
    <w:rsid w:val="00FE774C"/>
    <w:rsid w:val="190496DB"/>
    <w:rsid w:val="1A047838"/>
    <w:rsid w:val="250DE4A7"/>
    <w:rsid w:val="462CB800"/>
    <w:rsid w:val="5163D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26ED7"/>
  <w15:chartTrackingRefBased/>
  <w15:docId w15:val="{D7619E83-20C1-4ACB-B9CA-BFE81B709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C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C1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00C18"/>
    <w:pPr>
      <w:outlineLvl w:val="9"/>
    </w:pPr>
    <w:rPr>
      <w:lang w:val="en-US"/>
    </w:rPr>
  </w:style>
  <w:style w:type="paragraph" w:styleId="TOC1">
    <w:name w:val="toc 1"/>
    <w:basedOn w:val="Normal"/>
    <w:next w:val="Normal"/>
    <w:autoRedefine/>
    <w:uiPriority w:val="39"/>
    <w:unhideWhenUsed/>
    <w:rsid w:val="0023797E"/>
    <w:pPr>
      <w:tabs>
        <w:tab w:val="left" w:pos="567"/>
        <w:tab w:val="right" w:leader="dot" w:pos="9016"/>
      </w:tabs>
      <w:spacing w:after="100"/>
    </w:pPr>
  </w:style>
  <w:style w:type="character" w:styleId="Hyperlink">
    <w:name w:val="Hyperlink"/>
    <w:basedOn w:val="DefaultParagraphFont"/>
    <w:uiPriority w:val="99"/>
    <w:unhideWhenUsed/>
    <w:rsid w:val="00A00C18"/>
    <w:rPr>
      <w:color w:val="0563C1" w:themeColor="hyperlink"/>
      <w:u w:val="single"/>
    </w:rPr>
  </w:style>
  <w:style w:type="paragraph" w:styleId="ListParagraph">
    <w:name w:val="List Paragraph"/>
    <w:basedOn w:val="Normal"/>
    <w:uiPriority w:val="34"/>
    <w:qFormat/>
    <w:rsid w:val="00775A60"/>
    <w:pPr>
      <w:ind w:left="720"/>
      <w:contextualSpacing/>
    </w:pPr>
  </w:style>
  <w:style w:type="table" w:styleId="TableGrid">
    <w:name w:val="Table Grid"/>
    <w:basedOn w:val="TableNormal"/>
    <w:uiPriority w:val="39"/>
    <w:rsid w:val="00440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A6229"/>
    <w:rPr>
      <w:color w:val="605E5C"/>
      <w:shd w:val="clear" w:color="auto" w:fill="E1DFDD"/>
    </w:rPr>
  </w:style>
  <w:style w:type="paragraph" w:styleId="Header">
    <w:name w:val="header"/>
    <w:basedOn w:val="Normal"/>
    <w:link w:val="HeaderChar"/>
    <w:uiPriority w:val="99"/>
    <w:unhideWhenUsed/>
    <w:rsid w:val="00BD3B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B65"/>
  </w:style>
  <w:style w:type="paragraph" w:styleId="Footer">
    <w:name w:val="footer"/>
    <w:basedOn w:val="Normal"/>
    <w:link w:val="FooterChar"/>
    <w:uiPriority w:val="99"/>
    <w:unhideWhenUsed/>
    <w:rsid w:val="00BD3B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B65"/>
  </w:style>
  <w:style w:type="character" w:styleId="FollowedHyperlink">
    <w:name w:val="FollowedHyperlink"/>
    <w:basedOn w:val="DefaultParagraphFont"/>
    <w:uiPriority w:val="99"/>
    <w:semiHidden/>
    <w:unhideWhenUsed/>
    <w:rsid w:val="000E50A8"/>
    <w:rPr>
      <w:color w:val="954F72" w:themeColor="followedHyperlink"/>
      <w:u w:val="single"/>
    </w:rPr>
  </w:style>
  <w:style w:type="character" w:styleId="CommentReference">
    <w:name w:val="annotation reference"/>
    <w:basedOn w:val="DefaultParagraphFont"/>
    <w:uiPriority w:val="99"/>
    <w:semiHidden/>
    <w:unhideWhenUsed/>
    <w:rsid w:val="00B755D7"/>
    <w:rPr>
      <w:sz w:val="16"/>
      <w:szCs w:val="16"/>
    </w:rPr>
  </w:style>
  <w:style w:type="paragraph" w:styleId="CommentText">
    <w:name w:val="annotation text"/>
    <w:basedOn w:val="Normal"/>
    <w:link w:val="CommentTextChar"/>
    <w:uiPriority w:val="99"/>
    <w:unhideWhenUsed/>
    <w:rsid w:val="00B755D7"/>
    <w:pPr>
      <w:spacing w:line="240" w:lineRule="auto"/>
    </w:pPr>
    <w:rPr>
      <w:sz w:val="20"/>
      <w:szCs w:val="20"/>
    </w:rPr>
  </w:style>
  <w:style w:type="character" w:customStyle="1" w:styleId="CommentTextChar">
    <w:name w:val="Comment Text Char"/>
    <w:basedOn w:val="DefaultParagraphFont"/>
    <w:link w:val="CommentText"/>
    <w:uiPriority w:val="99"/>
    <w:rsid w:val="00B755D7"/>
    <w:rPr>
      <w:sz w:val="20"/>
      <w:szCs w:val="20"/>
    </w:rPr>
  </w:style>
  <w:style w:type="paragraph" w:styleId="CommentSubject">
    <w:name w:val="annotation subject"/>
    <w:basedOn w:val="CommentText"/>
    <w:next w:val="CommentText"/>
    <w:link w:val="CommentSubjectChar"/>
    <w:uiPriority w:val="99"/>
    <w:semiHidden/>
    <w:unhideWhenUsed/>
    <w:rsid w:val="00B755D7"/>
    <w:rPr>
      <w:b/>
      <w:bCs/>
    </w:rPr>
  </w:style>
  <w:style w:type="character" w:customStyle="1" w:styleId="CommentSubjectChar">
    <w:name w:val="Comment Subject Char"/>
    <w:basedOn w:val="CommentTextChar"/>
    <w:link w:val="CommentSubject"/>
    <w:uiPriority w:val="99"/>
    <w:semiHidden/>
    <w:rsid w:val="00B755D7"/>
    <w:rPr>
      <w:b/>
      <w:bCs/>
      <w:sz w:val="20"/>
      <w:szCs w:val="20"/>
    </w:rPr>
  </w:style>
  <w:style w:type="paragraph" w:styleId="NormalWeb">
    <w:name w:val="Normal (Web)"/>
    <w:basedOn w:val="Normal"/>
    <w:uiPriority w:val="99"/>
    <w:semiHidden/>
    <w:unhideWhenUsed/>
    <w:rsid w:val="00994E5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03700">
      <w:bodyDiv w:val="1"/>
      <w:marLeft w:val="0"/>
      <w:marRight w:val="0"/>
      <w:marTop w:val="0"/>
      <w:marBottom w:val="0"/>
      <w:divBdr>
        <w:top w:val="none" w:sz="0" w:space="0" w:color="auto"/>
        <w:left w:val="none" w:sz="0" w:space="0" w:color="auto"/>
        <w:bottom w:val="none" w:sz="0" w:space="0" w:color="auto"/>
        <w:right w:val="none" w:sz="0" w:space="0" w:color="auto"/>
      </w:divBdr>
    </w:div>
    <w:div w:id="247615017">
      <w:bodyDiv w:val="1"/>
      <w:marLeft w:val="0"/>
      <w:marRight w:val="0"/>
      <w:marTop w:val="0"/>
      <w:marBottom w:val="0"/>
      <w:divBdr>
        <w:top w:val="none" w:sz="0" w:space="0" w:color="auto"/>
        <w:left w:val="none" w:sz="0" w:space="0" w:color="auto"/>
        <w:bottom w:val="none" w:sz="0" w:space="0" w:color="auto"/>
        <w:right w:val="none" w:sz="0" w:space="0" w:color="auto"/>
      </w:divBdr>
    </w:div>
    <w:div w:id="253756480">
      <w:bodyDiv w:val="1"/>
      <w:marLeft w:val="0"/>
      <w:marRight w:val="0"/>
      <w:marTop w:val="0"/>
      <w:marBottom w:val="0"/>
      <w:divBdr>
        <w:top w:val="none" w:sz="0" w:space="0" w:color="auto"/>
        <w:left w:val="none" w:sz="0" w:space="0" w:color="auto"/>
        <w:bottom w:val="none" w:sz="0" w:space="0" w:color="auto"/>
        <w:right w:val="none" w:sz="0" w:space="0" w:color="auto"/>
      </w:divBdr>
    </w:div>
    <w:div w:id="470903086">
      <w:bodyDiv w:val="1"/>
      <w:marLeft w:val="0"/>
      <w:marRight w:val="0"/>
      <w:marTop w:val="0"/>
      <w:marBottom w:val="0"/>
      <w:divBdr>
        <w:top w:val="none" w:sz="0" w:space="0" w:color="auto"/>
        <w:left w:val="none" w:sz="0" w:space="0" w:color="auto"/>
        <w:bottom w:val="none" w:sz="0" w:space="0" w:color="auto"/>
        <w:right w:val="none" w:sz="0" w:space="0" w:color="auto"/>
      </w:divBdr>
    </w:div>
    <w:div w:id="478546543">
      <w:bodyDiv w:val="1"/>
      <w:marLeft w:val="0"/>
      <w:marRight w:val="0"/>
      <w:marTop w:val="0"/>
      <w:marBottom w:val="0"/>
      <w:divBdr>
        <w:top w:val="none" w:sz="0" w:space="0" w:color="auto"/>
        <w:left w:val="none" w:sz="0" w:space="0" w:color="auto"/>
        <w:bottom w:val="none" w:sz="0" w:space="0" w:color="auto"/>
        <w:right w:val="none" w:sz="0" w:space="0" w:color="auto"/>
      </w:divBdr>
    </w:div>
    <w:div w:id="928662839">
      <w:bodyDiv w:val="1"/>
      <w:marLeft w:val="0"/>
      <w:marRight w:val="0"/>
      <w:marTop w:val="0"/>
      <w:marBottom w:val="0"/>
      <w:divBdr>
        <w:top w:val="none" w:sz="0" w:space="0" w:color="auto"/>
        <w:left w:val="none" w:sz="0" w:space="0" w:color="auto"/>
        <w:bottom w:val="none" w:sz="0" w:space="0" w:color="auto"/>
        <w:right w:val="none" w:sz="0" w:space="0" w:color="auto"/>
      </w:divBdr>
    </w:div>
    <w:div w:id="943222049">
      <w:bodyDiv w:val="1"/>
      <w:marLeft w:val="0"/>
      <w:marRight w:val="0"/>
      <w:marTop w:val="0"/>
      <w:marBottom w:val="0"/>
      <w:divBdr>
        <w:top w:val="none" w:sz="0" w:space="0" w:color="auto"/>
        <w:left w:val="none" w:sz="0" w:space="0" w:color="auto"/>
        <w:bottom w:val="none" w:sz="0" w:space="0" w:color="auto"/>
        <w:right w:val="none" w:sz="0" w:space="0" w:color="auto"/>
      </w:divBdr>
      <w:divsChild>
        <w:div w:id="789054652">
          <w:marLeft w:val="0"/>
          <w:marRight w:val="0"/>
          <w:marTop w:val="0"/>
          <w:marBottom w:val="0"/>
          <w:divBdr>
            <w:top w:val="none" w:sz="0" w:space="0" w:color="auto"/>
            <w:left w:val="none" w:sz="0" w:space="0" w:color="auto"/>
            <w:bottom w:val="none" w:sz="0" w:space="0" w:color="auto"/>
            <w:right w:val="none" w:sz="0" w:space="0" w:color="auto"/>
          </w:divBdr>
        </w:div>
        <w:div w:id="384721364">
          <w:marLeft w:val="0"/>
          <w:marRight w:val="0"/>
          <w:marTop w:val="0"/>
          <w:marBottom w:val="0"/>
          <w:divBdr>
            <w:top w:val="none" w:sz="0" w:space="0" w:color="auto"/>
            <w:left w:val="none" w:sz="0" w:space="0" w:color="auto"/>
            <w:bottom w:val="none" w:sz="0" w:space="0" w:color="auto"/>
            <w:right w:val="none" w:sz="0" w:space="0" w:color="auto"/>
          </w:divBdr>
          <w:divsChild>
            <w:div w:id="1907034837">
              <w:marLeft w:val="0"/>
              <w:marRight w:val="0"/>
              <w:marTop w:val="30"/>
              <w:marBottom w:val="30"/>
              <w:divBdr>
                <w:top w:val="none" w:sz="0" w:space="0" w:color="auto"/>
                <w:left w:val="none" w:sz="0" w:space="0" w:color="auto"/>
                <w:bottom w:val="none" w:sz="0" w:space="0" w:color="auto"/>
                <w:right w:val="none" w:sz="0" w:space="0" w:color="auto"/>
              </w:divBdr>
              <w:divsChild>
                <w:div w:id="1231697339">
                  <w:marLeft w:val="0"/>
                  <w:marRight w:val="0"/>
                  <w:marTop w:val="0"/>
                  <w:marBottom w:val="0"/>
                  <w:divBdr>
                    <w:top w:val="none" w:sz="0" w:space="0" w:color="auto"/>
                    <w:left w:val="none" w:sz="0" w:space="0" w:color="auto"/>
                    <w:bottom w:val="none" w:sz="0" w:space="0" w:color="auto"/>
                    <w:right w:val="none" w:sz="0" w:space="0" w:color="auto"/>
                  </w:divBdr>
                  <w:divsChild>
                    <w:div w:id="758134796">
                      <w:marLeft w:val="0"/>
                      <w:marRight w:val="0"/>
                      <w:marTop w:val="0"/>
                      <w:marBottom w:val="0"/>
                      <w:divBdr>
                        <w:top w:val="none" w:sz="0" w:space="0" w:color="auto"/>
                        <w:left w:val="none" w:sz="0" w:space="0" w:color="auto"/>
                        <w:bottom w:val="none" w:sz="0" w:space="0" w:color="auto"/>
                        <w:right w:val="none" w:sz="0" w:space="0" w:color="auto"/>
                      </w:divBdr>
                    </w:div>
                  </w:divsChild>
                </w:div>
                <w:div w:id="346979056">
                  <w:marLeft w:val="0"/>
                  <w:marRight w:val="0"/>
                  <w:marTop w:val="0"/>
                  <w:marBottom w:val="0"/>
                  <w:divBdr>
                    <w:top w:val="none" w:sz="0" w:space="0" w:color="auto"/>
                    <w:left w:val="none" w:sz="0" w:space="0" w:color="auto"/>
                    <w:bottom w:val="none" w:sz="0" w:space="0" w:color="auto"/>
                    <w:right w:val="none" w:sz="0" w:space="0" w:color="auto"/>
                  </w:divBdr>
                  <w:divsChild>
                    <w:div w:id="1345667744">
                      <w:marLeft w:val="0"/>
                      <w:marRight w:val="0"/>
                      <w:marTop w:val="0"/>
                      <w:marBottom w:val="0"/>
                      <w:divBdr>
                        <w:top w:val="none" w:sz="0" w:space="0" w:color="auto"/>
                        <w:left w:val="none" w:sz="0" w:space="0" w:color="auto"/>
                        <w:bottom w:val="none" w:sz="0" w:space="0" w:color="auto"/>
                        <w:right w:val="none" w:sz="0" w:space="0" w:color="auto"/>
                      </w:divBdr>
                    </w:div>
                  </w:divsChild>
                </w:div>
                <w:div w:id="658725934">
                  <w:marLeft w:val="0"/>
                  <w:marRight w:val="0"/>
                  <w:marTop w:val="0"/>
                  <w:marBottom w:val="0"/>
                  <w:divBdr>
                    <w:top w:val="none" w:sz="0" w:space="0" w:color="auto"/>
                    <w:left w:val="none" w:sz="0" w:space="0" w:color="auto"/>
                    <w:bottom w:val="none" w:sz="0" w:space="0" w:color="auto"/>
                    <w:right w:val="none" w:sz="0" w:space="0" w:color="auto"/>
                  </w:divBdr>
                  <w:divsChild>
                    <w:div w:id="1871603517">
                      <w:marLeft w:val="0"/>
                      <w:marRight w:val="0"/>
                      <w:marTop w:val="0"/>
                      <w:marBottom w:val="0"/>
                      <w:divBdr>
                        <w:top w:val="none" w:sz="0" w:space="0" w:color="auto"/>
                        <w:left w:val="none" w:sz="0" w:space="0" w:color="auto"/>
                        <w:bottom w:val="none" w:sz="0" w:space="0" w:color="auto"/>
                        <w:right w:val="none" w:sz="0" w:space="0" w:color="auto"/>
                      </w:divBdr>
                    </w:div>
                  </w:divsChild>
                </w:div>
                <w:div w:id="1369723628">
                  <w:marLeft w:val="0"/>
                  <w:marRight w:val="0"/>
                  <w:marTop w:val="0"/>
                  <w:marBottom w:val="0"/>
                  <w:divBdr>
                    <w:top w:val="none" w:sz="0" w:space="0" w:color="auto"/>
                    <w:left w:val="none" w:sz="0" w:space="0" w:color="auto"/>
                    <w:bottom w:val="none" w:sz="0" w:space="0" w:color="auto"/>
                    <w:right w:val="none" w:sz="0" w:space="0" w:color="auto"/>
                  </w:divBdr>
                  <w:divsChild>
                    <w:div w:id="1781485229">
                      <w:marLeft w:val="0"/>
                      <w:marRight w:val="0"/>
                      <w:marTop w:val="0"/>
                      <w:marBottom w:val="0"/>
                      <w:divBdr>
                        <w:top w:val="none" w:sz="0" w:space="0" w:color="auto"/>
                        <w:left w:val="none" w:sz="0" w:space="0" w:color="auto"/>
                        <w:bottom w:val="none" w:sz="0" w:space="0" w:color="auto"/>
                        <w:right w:val="none" w:sz="0" w:space="0" w:color="auto"/>
                      </w:divBdr>
                    </w:div>
                  </w:divsChild>
                </w:div>
                <w:div w:id="1401639590">
                  <w:marLeft w:val="0"/>
                  <w:marRight w:val="0"/>
                  <w:marTop w:val="0"/>
                  <w:marBottom w:val="0"/>
                  <w:divBdr>
                    <w:top w:val="none" w:sz="0" w:space="0" w:color="auto"/>
                    <w:left w:val="none" w:sz="0" w:space="0" w:color="auto"/>
                    <w:bottom w:val="none" w:sz="0" w:space="0" w:color="auto"/>
                    <w:right w:val="none" w:sz="0" w:space="0" w:color="auto"/>
                  </w:divBdr>
                  <w:divsChild>
                    <w:div w:id="1473402798">
                      <w:marLeft w:val="0"/>
                      <w:marRight w:val="0"/>
                      <w:marTop w:val="0"/>
                      <w:marBottom w:val="0"/>
                      <w:divBdr>
                        <w:top w:val="none" w:sz="0" w:space="0" w:color="auto"/>
                        <w:left w:val="none" w:sz="0" w:space="0" w:color="auto"/>
                        <w:bottom w:val="none" w:sz="0" w:space="0" w:color="auto"/>
                        <w:right w:val="none" w:sz="0" w:space="0" w:color="auto"/>
                      </w:divBdr>
                    </w:div>
                  </w:divsChild>
                </w:div>
                <w:div w:id="909271949">
                  <w:marLeft w:val="0"/>
                  <w:marRight w:val="0"/>
                  <w:marTop w:val="0"/>
                  <w:marBottom w:val="0"/>
                  <w:divBdr>
                    <w:top w:val="none" w:sz="0" w:space="0" w:color="auto"/>
                    <w:left w:val="none" w:sz="0" w:space="0" w:color="auto"/>
                    <w:bottom w:val="none" w:sz="0" w:space="0" w:color="auto"/>
                    <w:right w:val="none" w:sz="0" w:space="0" w:color="auto"/>
                  </w:divBdr>
                  <w:divsChild>
                    <w:div w:id="1060057953">
                      <w:marLeft w:val="0"/>
                      <w:marRight w:val="0"/>
                      <w:marTop w:val="0"/>
                      <w:marBottom w:val="0"/>
                      <w:divBdr>
                        <w:top w:val="none" w:sz="0" w:space="0" w:color="auto"/>
                        <w:left w:val="none" w:sz="0" w:space="0" w:color="auto"/>
                        <w:bottom w:val="none" w:sz="0" w:space="0" w:color="auto"/>
                        <w:right w:val="none" w:sz="0" w:space="0" w:color="auto"/>
                      </w:divBdr>
                    </w:div>
                  </w:divsChild>
                </w:div>
                <w:div w:id="356660615">
                  <w:marLeft w:val="0"/>
                  <w:marRight w:val="0"/>
                  <w:marTop w:val="0"/>
                  <w:marBottom w:val="0"/>
                  <w:divBdr>
                    <w:top w:val="none" w:sz="0" w:space="0" w:color="auto"/>
                    <w:left w:val="none" w:sz="0" w:space="0" w:color="auto"/>
                    <w:bottom w:val="none" w:sz="0" w:space="0" w:color="auto"/>
                    <w:right w:val="none" w:sz="0" w:space="0" w:color="auto"/>
                  </w:divBdr>
                  <w:divsChild>
                    <w:div w:id="788933756">
                      <w:marLeft w:val="0"/>
                      <w:marRight w:val="0"/>
                      <w:marTop w:val="0"/>
                      <w:marBottom w:val="0"/>
                      <w:divBdr>
                        <w:top w:val="none" w:sz="0" w:space="0" w:color="auto"/>
                        <w:left w:val="none" w:sz="0" w:space="0" w:color="auto"/>
                        <w:bottom w:val="none" w:sz="0" w:space="0" w:color="auto"/>
                        <w:right w:val="none" w:sz="0" w:space="0" w:color="auto"/>
                      </w:divBdr>
                    </w:div>
                  </w:divsChild>
                </w:div>
                <w:div w:id="1769740853">
                  <w:marLeft w:val="0"/>
                  <w:marRight w:val="0"/>
                  <w:marTop w:val="0"/>
                  <w:marBottom w:val="0"/>
                  <w:divBdr>
                    <w:top w:val="none" w:sz="0" w:space="0" w:color="auto"/>
                    <w:left w:val="none" w:sz="0" w:space="0" w:color="auto"/>
                    <w:bottom w:val="none" w:sz="0" w:space="0" w:color="auto"/>
                    <w:right w:val="none" w:sz="0" w:space="0" w:color="auto"/>
                  </w:divBdr>
                  <w:divsChild>
                    <w:div w:id="574166814">
                      <w:marLeft w:val="0"/>
                      <w:marRight w:val="0"/>
                      <w:marTop w:val="0"/>
                      <w:marBottom w:val="0"/>
                      <w:divBdr>
                        <w:top w:val="none" w:sz="0" w:space="0" w:color="auto"/>
                        <w:left w:val="none" w:sz="0" w:space="0" w:color="auto"/>
                        <w:bottom w:val="none" w:sz="0" w:space="0" w:color="auto"/>
                        <w:right w:val="none" w:sz="0" w:space="0" w:color="auto"/>
                      </w:divBdr>
                    </w:div>
                  </w:divsChild>
                </w:div>
                <w:div w:id="1970625897">
                  <w:marLeft w:val="0"/>
                  <w:marRight w:val="0"/>
                  <w:marTop w:val="0"/>
                  <w:marBottom w:val="0"/>
                  <w:divBdr>
                    <w:top w:val="none" w:sz="0" w:space="0" w:color="auto"/>
                    <w:left w:val="none" w:sz="0" w:space="0" w:color="auto"/>
                    <w:bottom w:val="none" w:sz="0" w:space="0" w:color="auto"/>
                    <w:right w:val="none" w:sz="0" w:space="0" w:color="auto"/>
                  </w:divBdr>
                  <w:divsChild>
                    <w:div w:id="1829319163">
                      <w:marLeft w:val="0"/>
                      <w:marRight w:val="0"/>
                      <w:marTop w:val="0"/>
                      <w:marBottom w:val="0"/>
                      <w:divBdr>
                        <w:top w:val="none" w:sz="0" w:space="0" w:color="auto"/>
                        <w:left w:val="none" w:sz="0" w:space="0" w:color="auto"/>
                        <w:bottom w:val="none" w:sz="0" w:space="0" w:color="auto"/>
                        <w:right w:val="none" w:sz="0" w:space="0" w:color="auto"/>
                      </w:divBdr>
                    </w:div>
                  </w:divsChild>
                </w:div>
                <w:div w:id="2033412042">
                  <w:marLeft w:val="0"/>
                  <w:marRight w:val="0"/>
                  <w:marTop w:val="0"/>
                  <w:marBottom w:val="0"/>
                  <w:divBdr>
                    <w:top w:val="none" w:sz="0" w:space="0" w:color="auto"/>
                    <w:left w:val="none" w:sz="0" w:space="0" w:color="auto"/>
                    <w:bottom w:val="none" w:sz="0" w:space="0" w:color="auto"/>
                    <w:right w:val="none" w:sz="0" w:space="0" w:color="auto"/>
                  </w:divBdr>
                  <w:divsChild>
                    <w:div w:id="443547981">
                      <w:marLeft w:val="0"/>
                      <w:marRight w:val="0"/>
                      <w:marTop w:val="0"/>
                      <w:marBottom w:val="0"/>
                      <w:divBdr>
                        <w:top w:val="none" w:sz="0" w:space="0" w:color="auto"/>
                        <w:left w:val="none" w:sz="0" w:space="0" w:color="auto"/>
                        <w:bottom w:val="none" w:sz="0" w:space="0" w:color="auto"/>
                        <w:right w:val="none" w:sz="0" w:space="0" w:color="auto"/>
                      </w:divBdr>
                    </w:div>
                  </w:divsChild>
                </w:div>
                <w:div w:id="2074161429">
                  <w:marLeft w:val="0"/>
                  <w:marRight w:val="0"/>
                  <w:marTop w:val="0"/>
                  <w:marBottom w:val="0"/>
                  <w:divBdr>
                    <w:top w:val="none" w:sz="0" w:space="0" w:color="auto"/>
                    <w:left w:val="none" w:sz="0" w:space="0" w:color="auto"/>
                    <w:bottom w:val="none" w:sz="0" w:space="0" w:color="auto"/>
                    <w:right w:val="none" w:sz="0" w:space="0" w:color="auto"/>
                  </w:divBdr>
                  <w:divsChild>
                    <w:div w:id="1318458739">
                      <w:marLeft w:val="0"/>
                      <w:marRight w:val="0"/>
                      <w:marTop w:val="0"/>
                      <w:marBottom w:val="0"/>
                      <w:divBdr>
                        <w:top w:val="none" w:sz="0" w:space="0" w:color="auto"/>
                        <w:left w:val="none" w:sz="0" w:space="0" w:color="auto"/>
                        <w:bottom w:val="none" w:sz="0" w:space="0" w:color="auto"/>
                        <w:right w:val="none" w:sz="0" w:space="0" w:color="auto"/>
                      </w:divBdr>
                    </w:div>
                  </w:divsChild>
                </w:div>
                <w:div w:id="2078550959">
                  <w:marLeft w:val="0"/>
                  <w:marRight w:val="0"/>
                  <w:marTop w:val="0"/>
                  <w:marBottom w:val="0"/>
                  <w:divBdr>
                    <w:top w:val="none" w:sz="0" w:space="0" w:color="auto"/>
                    <w:left w:val="none" w:sz="0" w:space="0" w:color="auto"/>
                    <w:bottom w:val="none" w:sz="0" w:space="0" w:color="auto"/>
                    <w:right w:val="none" w:sz="0" w:space="0" w:color="auto"/>
                  </w:divBdr>
                  <w:divsChild>
                    <w:div w:id="258873792">
                      <w:marLeft w:val="0"/>
                      <w:marRight w:val="0"/>
                      <w:marTop w:val="0"/>
                      <w:marBottom w:val="0"/>
                      <w:divBdr>
                        <w:top w:val="none" w:sz="0" w:space="0" w:color="auto"/>
                        <w:left w:val="none" w:sz="0" w:space="0" w:color="auto"/>
                        <w:bottom w:val="none" w:sz="0" w:space="0" w:color="auto"/>
                        <w:right w:val="none" w:sz="0" w:space="0" w:color="auto"/>
                      </w:divBdr>
                    </w:div>
                  </w:divsChild>
                </w:div>
                <w:div w:id="1867331439">
                  <w:marLeft w:val="0"/>
                  <w:marRight w:val="0"/>
                  <w:marTop w:val="0"/>
                  <w:marBottom w:val="0"/>
                  <w:divBdr>
                    <w:top w:val="none" w:sz="0" w:space="0" w:color="auto"/>
                    <w:left w:val="none" w:sz="0" w:space="0" w:color="auto"/>
                    <w:bottom w:val="none" w:sz="0" w:space="0" w:color="auto"/>
                    <w:right w:val="none" w:sz="0" w:space="0" w:color="auto"/>
                  </w:divBdr>
                  <w:divsChild>
                    <w:div w:id="1663391643">
                      <w:marLeft w:val="0"/>
                      <w:marRight w:val="0"/>
                      <w:marTop w:val="0"/>
                      <w:marBottom w:val="0"/>
                      <w:divBdr>
                        <w:top w:val="none" w:sz="0" w:space="0" w:color="auto"/>
                        <w:left w:val="none" w:sz="0" w:space="0" w:color="auto"/>
                        <w:bottom w:val="none" w:sz="0" w:space="0" w:color="auto"/>
                        <w:right w:val="none" w:sz="0" w:space="0" w:color="auto"/>
                      </w:divBdr>
                    </w:div>
                  </w:divsChild>
                </w:div>
                <w:div w:id="1695573715">
                  <w:marLeft w:val="0"/>
                  <w:marRight w:val="0"/>
                  <w:marTop w:val="0"/>
                  <w:marBottom w:val="0"/>
                  <w:divBdr>
                    <w:top w:val="none" w:sz="0" w:space="0" w:color="auto"/>
                    <w:left w:val="none" w:sz="0" w:space="0" w:color="auto"/>
                    <w:bottom w:val="none" w:sz="0" w:space="0" w:color="auto"/>
                    <w:right w:val="none" w:sz="0" w:space="0" w:color="auto"/>
                  </w:divBdr>
                  <w:divsChild>
                    <w:div w:id="1109668450">
                      <w:marLeft w:val="0"/>
                      <w:marRight w:val="0"/>
                      <w:marTop w:val="0"/>
                      <w:marBottom w:val="0"/>
                      <w:divBdr>
                        <w:top w:val="none" w:sz="0" w:space="0" w:color="auto"/>
                        <w:left w:val="none" w:sz="0" w:space="0" w:color="auto"/>
                        <w:bottom w:val="none" w:sz="0" w:space="0" w:color="auto"/>
                        <w:right w:val="none" w:sz="0" w:space="0" w:color="auto"/>
                      </w:divBdr>
                    </w:div>
                  </w:divsChild>
                </w:div>
                <w:div w:id="1326319263">
                  <w:marLeft w:val="0"/>
                  <w:marRight w:val="0"/>
                  <w:marTop w:val="0"/>
                  <w:marBottom w:val="0"/>
                  <w:divBdr>
                    <w:top w:val="none" w:sz="0" w:space="0" w:color="auto"/>
                    <w:left w:val="none" w:sz="0" w:space="0" w:color="auto"/>
                    <w:bottom w:val="none" w:sz="0" w:space="0" w:color="auto"/>
                    <w:right w:val="none" w:sz="0" w:space="0" w:color="auto"/>
                  </w:divBdr>
                  <w:divsChild>
                    <w:div w:id="1156258877">
                      <w:marLeft w:val="0"/>
                      <w:marRight w:val="0"/>
                      <w:marTop w:val="0"/>
                      <w:marBottom w:val="0"/>
                      <w:divBdr>
                        <w:top w:val="none" w:sz="0" w:space="0" w:color="auto"/>
                        <w:left w:val="none" w:sz="0" w:space="0" w:color="auto"/>
                        <w:bottom w:val="none" w:sz="0" w:space="0" w:color="auto"/>
                        <w:right w:val="none" w:sz="0" w:space="0" w:color="auto"/>
                      </w:divBdr>
                    </w:div>
                  </w:divsChild>
                </w:div>
                <w:div w:id="854880347">
                  <w:marLeft w:val="0"/>
                  <w:marRight w:val="0"/>
                  <w:marTop w:val="0"/>
                  <w:marBottom w:val="0"/>
                  <w:divBdr>
                    <w:top w:val="none" w:sz="0" w:space="0" w:color="auto"/>
                    <w:left w:val="none" w:sz="0" w:space="0" w:color="auto"/>
                    <w:bottom w:val="none" w:sz="0" w:space="0" w:color="auto"/>
                    <w:right w:val="none" w:sz="0" w:space="0" w:color="auto"/>
                  </w:divBdr>
                  <w:divsChild>
                    <w:div w:id="432285280">
                      <w:marLeft w:val="0"/>
                      <w:marRight w:val="0"/>
                      <w:marTop w:val="0"/>
                      <w:marBottom w:val="0"/>
                      <w:divBdr>
                        <w:top w:val="none" w:sz="0" w:space="0" w:color="auto"/>
                        <w:left w:val="none" w:sz="0" w:space="0" w:color="auto"/>
                        <w:bottom w:val="none" w:sz="0" w:space="0" w:color="auto"/>
                        <w:right w:val="none" w:sz="0" w:space="0" w:color="auto"/>
                      </w:divBdr>
                    </w:div>
                  </w:divsChild>
                </w:div>
                <w:div w:id="2099982393">
                  <w:marLeft w:val="0"/>
                  <w:marRight w:val="0"/>
                  <w:marTop w:val="0"/>
                  <w:marBottom w:val="0"/>
                  <w:divBdr>
                    <w:top w:val="none" w:sz="0" w:space="0" w:color="auto"/>
                    <w:left w:val="none" w:sz="0" w:space="0" w:color="auto"/>
                    <w:bottom w:val="none" w:sz="0" w:space="0" w:color="auto"/>
                    <w:right w:val="none" w:sz="0" w:space="0" w:color="auto"/>
                  </w:divBdr>
                  <w:divsChild>
                    <w:div w:id="1815944911">
                      <w:marLeft w:val="0"/>
                      <w:marRight w:val="0"/>
                      <w:marTop w:val="0"/>
                      <w:marBottom w:val="0"/>
                      <w:divBdr>
                        <w:top w:val="none" w:sz="0" w:space="0" w:color="auto"/>
                        <w:left w:val="none" w:sz="0" w:space="0" w:color="auto"/>
                        <w:bottom w:val="none" w:sz="0" w:space="0" w:color="auto"/>
                        <w:right w:val="none" w:sz="0" w:space="0" w:color="auto"/>
                      </w:divBdr>
                    </w:div>
                  </w:divsChild>
                </w:div>
                <w:div w:id="1040782961">
                  <w:marLeft w:val="0"/>
                  <w:marRight w:val="0"/>
                  <w:marTop w:val="0"/>
                  <w:marBottom w:val="0"/>
                  <w:divBdr>
                    <w:top w:val="none" w:sz="0" w:space="0" w:color="auto"/>
                    <w:left w:val="none" w:sz="0" w:space="0" w:color="auto"/>
                    <w:bottom w:val="none" w:sz="0" w:space="0" w:color="auto"/>
                    <w:right w:val="none" w:sz="0" w:space="0" w:color="auto"/>
                  </w:divBdr>
                  <w:divsChild>
                    <w:div w:id="312101311">
                      <w:marLeft w:val="0"/>
                      <w:marRight w:val="0"/>
                      <w:marTop w:val="0"/>
                      <w:marBottom w:val="0"/>
                      <w:divBdr>
                        <w:top w:val="none" w:sz="0" w:space="0" w:color="auto"/>
                        <w:left w:val="none" w:sz="0" w:space="0" w:color="auto"/>
                        <w:bottom w:val="none" w:sz="0" w:space="0" w:color="auto"/>
                        <w:right w:val="none" w:sz="0" w:space="0" w:color="auto"/>
                      </w:divBdr>
                    </w:div>
                  </w:divsChild>
                </w:div>
                <w:div w:id="2088918855">
                  <w:marLeft w:val="0"/>
                  <w:marRight w:val="0"/>
                  <w:marTop w:val="0"/>
                  <w:marBottom w:val="0"/>
                  <w:divBdr>
                    <w:top w:val="none" w:sz="0" w:space="0" w:color="auto"/>
                    <w:left w:val="none" w:sz="0" w:space="0" w:color="auto"/>
                    <w:bottom w:val="none" w:sz="0" w:space="0" w:color="auto"/>
                    <w:right w:val="none" w:sz="0" w:space="0" w:color="auto"/>
                  </w:divBdr>
                  <w:divsChild>
                    <w:div w:id="1787848234">
                      <w:marLeft w:val="0"/>
                      <w:marRight w:val="0"/>
                      <w:marTop w:val="0"/>
                      <w:marBottom w:val="0"/>
                      <w:divBdr>
                        <w:top w:val="none" w:sz="0" w:space="0" w:color="auto"/>
                        <w:left w:val="none" w:sz="0" w:space="0" w:color="auto"/>
                        <w:bottom w:val="none" w:sz="0" w:space="0" w:color="auto"/>
                        <w:right w:val="none" w:sz="0" w:space="0" w:color="auto"/>
                      </w:divBdr>
                    </w:div>
                  </w:divsChild>
                </w:div>
                <w:div w:id="634217645">
                  <w:marLeft w:val="0"/>
                  <w:marRight w:val="0"/>
                  <w:marTop w:val="0"/>
                  <w:marBottom w:val="0"/>
                  <w:divBdr>
                    <w:top w:val="none" w:sz="0" w:space="0" w:color="auto"/>
                    <w:left w:val="none" w:sz="0" w:space="0" w:color="auto"/>
                    <w:bottom w:val="none" w:sz="0" w:space="0" w:color="auto"/>
                    <w:right w:val="none" w:sz="0" w:space="0" w:color="auto"/>
                  </w:divBdr>
                  <w:divsChild>
                    <w:div w:id="94647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591295">
      <w:bodyDiv w:val="1"/>
      <w:marLeft w:val="0"/>
      <w:marRight w:val="0"/>
      <w:marTop w:val="0"/>
      <w:marBottom w:val="0"/>
      <w:divBdr>
        <w:top w:val="none" w:sz="0" w:space="0" w:color="auto"/>
        <w:left w:val="none" w:sz="0" w:space="0" w:color="auto"/>
        <w:bottom w:val="none" w:sz="0" w:space="0" w:color="auto"/>
        <w:right w:val="none" w:sz="0" w:space="0" w:color="auto"/>
      </w:divBdr>
    </w:div>
    <w:div w:id="1442915152">
      <w:bodyDiv w:val="1"/>
      <w:marLeft w:val="0"/>
      <w:marRight w:val="0"/>
      <w:marTop w:val="0"/>
      <w:marBottom w:val="0"/>
      <w:divBdr>
        <w:top w:val="none" w:sz="0" w:space="0" w:color="auto"/>
        <w:left w:val="none" w:sz="0" w:space="0" w:color="auto"/>
        <w:bottom w:val="none" w:sz="0" w:space="0" w:color="auto"/>
        <w:right w:val="none" w:sz="0" w:space="0" w:color="auto"/>
      </w:divBdr>
    </w:div>
    <w:div w:id="1756978139">
      <w:bodyDiv w:val="1"/>
      <w:marLeft w:val="0"/>
      <w:marRight w:val="0"/>
      <w:marTop w:val="0"/>
      <w:marBottom w:val="0"/>
      <w:divBdr>
        <w:top w:val="none" w:sz="0" w:space="0" w:color="auto"/>
        <w:left w:val="none" w:sz="0" w:space="0" w:color="auto"/>
        <w:bottom w:val="none" w:sz="0" w:space="0" w:color="auto"/>
        <w:right w:val="none" w:sz="0" w:space="0" w:color="auto"/>
      </w:divBdr>
    </w:div>
    <w:div w:id="202625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sandwell.gov.uk/downloads/file/419/housing-allocations-policy" TargetMode="External"/><Relationship Id="rId3" Type="http://schemas.openxmlformats.org/officeDocument/2006/relationships/customXml" Target="../customXml/item3.xml"/><Relationship Id="rId21" Type="http://schemas.openxmlformats.org/officeDocument/2006/relationships/hyperlink" Target="https://www.sandwell.gov.uk/council/report-fraud/2"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sandwell.moderngov.co.uk/documents/s16297/5b%20-%20Counter%20Fraud%20Strategy.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andwell.moderngov.co.uk/documents/s16298/5c%20-%20New%20Anti%20Fraud%20and%20Corruption%20Policy.pdf" TargetMode="External"/><Relationship Id="rId20" Type="http://schemas.openxmlformats.org/officeDocument/2006/relationships/hyperlink" Target="https://www.sandwell.gov.uk/tenanthandbook/downloads/file/2/tenancy-conditions-april-202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fraud_investigation@sandwell.gov.u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andwell.gov.uk/tenanthandboo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sandwell.gov.uk/AchieveForms/?mode=fill&amp;consentMessage=yes&amp;form_uri=sandbox-publish://AF-Process-46ffca70-4f42-4477-8f9f-c34d87fd10aa/AF-Stage-74389d1a-d565-487a-b13d-d4ab5b140378/definition.json&amp;process=1&amp;process_uri=sandbox-processes://AF-Process-46ffca70-4f42-4477-8f9f-c34d87fd10aa&amp;process_id=AF-Process-46ffca70-4f42-4477-8f9f-c34d87fd10aa" TargetMode="External"/><Relationship Id="rId22" Type="http://schemas.openxmlformats.org/officeDocument/2006/relationships/hyperlink" Target="https://www.sandwell.gov.uk/downloads/download/154/reasonable-adjustments-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2EB4250032AE429BE7074B82D72F3D" ma:contentTypeVersion="12" ma:contentTypeDescription="Create a new document." ma:contentTypeScope="" ma:versionID="48a879befa20dfb6ef29941c8e12ed74">
  <xsd:schema xmlns:xsd="http://www.w3.org/2001/XMLSchema" xmlns:xs="http://www.w3.org/2001/XMLSchema" xmlns:p="http://schemas.microsoft.com/office/2006/metadata/properties" xmlns:ns2="a9425197-31e1-4d34-8419-48789e20a78a" xmlns:ns3="0a2ace62-6eff-49e2-8365-79ba2d40e546" targetNamespace="http://schemas.microsoft.com/office/2006/metadata/properties" ma:root="true" ma:fieldsID="0eaf677bdab3aff1af73e144fd74314b" ns2:_="" ns3:_="">
    <xsd:import namespace="a9425197-31e1-4d34-8419-48789e20a78a"/>
    <xsd:import namespace="0a2ace62-6eff-49e2-8365-79ba2d40e54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bjectDetectorVersions" minOccurs="0"/>
                <xsd:element ref="ns3:SharedWithUsers" minOccurs="0"/>
                <xsd:element ref="ns3:SharedWithDetail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25197-31e1-4d34-8419-48789e20a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0981484-d518-4359-b9c0-888202caf10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Comments" ma:index="19"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2ace62-6eff-49e2-8365-79ba2d40e54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275abb-9ed6-4981-8d7f-0690533e6f1f}" ma:internalName="TaxCatchAll" ma:showField="CatchAllData" ma:web="0a2ace62-6eff-49e2-8365-79ba2d40e54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425197-31e1-4d34-8419-48789e20a78a">
      <Terms xmlns="http://schemas.microsoft.com/office/infopath/2007/PartnerControls"/>
    </lcf76f155ced4ddcb4097134ff3c332f>
    <TaxCatchAll xmlns="0a2ace62-6eff-49e2-8365-79ba2d40e546" xsi:nil="true"/>
    <Comments xmlns="a9425197-31e1-4d34-8419-48789e20a78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E4F1E-96E2-456D-9281-AE281EDD2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25197-31e1-4d34-8419-48789e20a78a"/>
    <ds:schemaRef ds:uri="0a2ace62-6eff-49e2-8365-79ba2d40e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1A7F9D-762D-4946-A4FF-6C5D6403435A}">
  <ds:schemaRefs>
    <ds:schemaRef ds:uri="http://schemas.microsoft.com/sharepoint/v3/contenttype/forms"/>
  </ds:schemaRefs>
</ds:datastoreItem>
</file>

<file path=customXml/itemProps3.xml><?xml version="1.0" encoding="utf-8"?>
<ds:datastoreItem xmlns:ds="http://schemas.openxmlformats.org/officeDocument/2006/customXml" ds:itemID="{FCAF9542-9BC3-4806-8BD9-F80C1983F222}">
  <ds:schemaRefs>
    <ds:schemaRef ds:uri="http://schemas.microsoft.com/office/2006/metadata/properties"/>
    <ds:schemaRef ds:uri="http://schemas.microsoft.com/office/infopath/2007/PartnerControls"/>
    <ds:schemaRef ds:uri="a9425197-31e1-4d34-8419-48789e20a78a"/>
    <ds:schemaRef ds:uri="0a2ace62-6eff-49e2-8365-79ba2d40e546"/>
  </ds:schemaRefs>
</ds:datastoreItem>
</file>

<file path=customXml/itemProps4.xml><?xml version="1.0" encoding="utf-8"?>
<ds:datastoreItem xmlns:ds="http://schemas.openxmlformats.org/officeDocument/2006/customXml" ds:itemID="{594F59D8-581C-4D6E-9489-C27631395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1951</Words>
  <Characters>12156</Characters>
  <Application>Microsoft Office Word</Application>
  <DocSecurity>0</DocSecurity>
  <Lines>506</Lines>
  <Paragraphs>266</Paragraphs>
  <ScaleCrop>false</ScaleCrop>
  <Company>Sandwell Metropolitan Borough Council</Company>
  <LinksUpToDate>false</LinksUpToDate>
  <CharactersWithSpaces>13841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Bebb</dc:creator>
  <cp:keywords/>
  <dc:description/>
  <cp:lastModifiedBy>Louis Bebb</cp:lastModifiedBy>
  <cp:revision>2</cp:revision>
  <dcterms:created xsi:type="dcterms:W3CDTF">2026-03-17T13:23:00Z</dcterms:created>
  <dcterms:modified xsi:type="dcterms:W3CDTF">2026-03-17T13:23:00Z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0x010100482EB4250032AE429BE7074B82D72F3D</vt:lpwstr>
  </property>
  <property fmtid="{D5CDD505-2E9C-101B-9397-08002B2CF9AE}" pid="3" name="MediaServiceImageTags">
    <vt:lpwstr/>
  </property>
</Properties>
</file>