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5517" w14:textId="45571924" w:rsidR="00CF4F6F" w:rsidRPr="004E00E8" w:rsidRDefault="00CF4F6F" w:rsidP="004E00E8">
      <w:pPr>
        <w:spacing w:after="0" w:line="240" w:lineRule="auto"/>
        <w:jc w:val="center"/>
        <w:textAlignment w:val="baseline"/>
        <w:rPr>
          <w:rFonts w:ascii="Segoe UI" w:eastAsia="Times New Roman" w:hAnsi="Segoe UI" w:cs="Segoe UI"/>
          <w:b/>
          <w:bCs/>
          <w:color w:val="000000"/>
          <w:sz w:val="72"/>
          <w:szCs w:val="72"/>
          <w:lang w:eastAsia="en-GB"/>
        </w:rPr>
      </w:pPr>
      <w:r>
        <w:rPr>
          <w:rFonts w:ascii="Arial" w:eastAsia="Times New Roman" w:hAnsi="Arial" w:cs="Arial"/>
          <w:b/>
          <w:bCs/>
          <w:color w:val="000000"/>
          <w:sz w:val="72"/>
          <w:szCs w:val="72"/>
          <w:lang w:eastAsia="en-GB"/>
        </w:rPr>
        <w:t>Tenancy Sustainment Policy</w:t>
      </w:r>
    </w:p>
    <w:p w14:paraId="3086BAF0" w14:textId="77777777" w:rsidR="004E00E8" w:rsidRDefault="00CF4F6F" w:rsidP="004E00E8">
      <w:pPr>
        <w:spacing w:after="0" w:line="240" w:lineRule="auto"/>
        <w:jc w:val="center"/>
        <w:textAlignment w:val="baseline"/>
        <w:rPr>
          <w:rFonts w:ascii="Segoe UI" w:eastAsia="Times New Roman" w:hAnsi="Segoe UI" w:cs="Segoe UI"/>
          <w:b/>
          <w:bCs/>
          <w:color w:val="000000"/>
          <w:sz w:val="18"/>
          <w:szCs w:val="18"/>
          <w:u w:val="single"/>
          <w:lang w:eastAsia="en-GB"/>
        </w:rPr>
      </w:pPr>
      <w:r>
        <w:rPr>
          <w:noProof/>
        </w:rPr>
        <w:drawing>
          <wp:inline distT="0" distB="0" distL="0" distR="0" wp14:anchorId="4F83182A" wp14:editId="0C87CA72">
            <wp:extent cx="5047643" cy="1347871"/>
            <wp:effectExtent l="0" t="0" r="63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7973" cy="1358640"/>
                    </a:xfrm>
                    <a:prstGeom prst="rect">
                      <a:avLst/>
                    </a:prstGeom>
                    <a:noFill/>
                  </pic:spPr>
                </pic:pic>
              </a:graphicData>
            </a:graphic>
          </wp:inline>
        </w:drawing>
      </w:r>
    </w:p>
    <w:p w14:paraId="0EBC59D1" w14:textId="77777777" w:rsidR="004E00E8" w:rsidRDefault="004E00E8" w:rsidP="004E00E8">
      <w:pPr>
        <w:spacing w:after="0" w:line="240" w:lineRule="auto"/>
        <w:jc w:val="center"/>
        <w:textAlignment w:val="baseline"/>
        <w:rPr>
          <w:rFonts w:ascii="Segoe UI" w:eastAsia="Times New Roman" w:hAnsi="Segoe UI" w:cs="Segoe UI"/>
          <w:b/>
          <w:bCs/>
          <w:color w:val="000000"/>
          <w:sz w:val="18"/>
          <w:szCs w:val="18"/>
          <w:u w:val="single"/>
          <w:lang w:eastAsia="en-GB"/>
        </w:rPr>
      </w:pPr>
    </w:p>
    <w:p w14:paraId="0BAAF95C" w14:textId="77777777" w:rsidR="004E00E8" w:rsidRDefault="004E00E8" w:rsidP="004E00E8">
      <w:pPr>
        <w:spacing w:after="0" w:line="240" w:lineRule="auto"/>
        <w:jc w:val="center"/>
        <w:textAlignment w:val="baseline"/>
        <w:rPr>
          <w:rFonts w:ascii="Segoe UI" w:eastAsia="Times New Roman" w:hAnsi="Segoe UI" w:cs="Segoe UI"/>
          <w:b/>
          <w:bCs/>
          <w:color w:val="000000"/>
          <w:sz w:val="18"/>
          <w:szCs w:val="18"/>
          <w:u w:val="single"/>
          <w:lang w:eastAsia="en-GB"/>
        </w:rPr>
      </w:pPr>
    </w:p>
    <w:p w14:paraId="102137EA" w14:textId="6ACE694F" w:rsidR="00CF4F6F" w:rsidRDefault="00CF4F6F" w:rsidP="004E00E8">
      <w:pPr>
        <w:spacing w:after="0" w:line="240" w:lineRule="auto"/>
        <w:jc w:val="center"/>
        <w:textAlignment w:val="baseline"/>
        <w:rPr>
          <w:rFonts w:ascii="Segoe UI" w:eastAsia="Times New Roman" w:hAnsi="Segoe UI" w:cs="Segoe UI"/>
          <w:b/>
          <w:bCs/>
          <w:color w:val="000000"/>
          <w:sz w:val="18"/>
          <w:szCs w:val="18"/>
          <w:u w:val="single"/>
          <w:lang w:eastAsia="en-GB"/>
        </w:rPr>
      </w:pPr>
      <w:r w:rsidRPr="00DD7CAE">
        <w:rPr>
          <w:noProof/>
        </w:rPr>
        <w:drawing>
          <wp:inline distT="0" distB="0" distL="0" distR="0" wp14:anchorId="6A22977B" wp14:editId="4C1A379A">
            <wp:extent cx="573151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71450"/>
                    </a:xfrm>
                    <a:prstGeom prst="rect">
                      <a:avLst/>
                    </a:prstGeom>
                    <a:noFill/>
                    <a:ln>
                      <a:noFill/>
                    </a:ln>
                  </pic:spPr>
                </pic:pic>
              </a:graphicData>
            </a:graphic>
          </wp:inline>
        </w:drawing>
      </w:r>
    </w:p>
    <w:tbl>
      <w:tblPr>
        <w:tblpPr w:leftFromText="180" w:rightFromText="180" w:vertAnchor="text" w:horzAnchor="margin" w:tblpY="8"/>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0B15AF" w:rsidRPr="0085070B" w14:paraId="07BC5B28" w14:textId="77777777" w:rsidTr="000B15A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0BB6F31D" w14:textId="28C766D8" w:rsidR="000B15AF" w:rsidRPr="00F5385E" w:rsidRDefault="000B15AF" w:rsidP="000B15AF">
            <w:pPr>
              <w:spacing w:after="0" w:line="240" w:lineRule="auto"/>
              <w:ind w:left="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04994A19" w14:textId="4DF2955D" w:rsidR="000B15AF" w:rsidRPr="00F5385E" w:rsidRDefault="000B15AF" w:rsidP="000B15AF">
            <w:pPr>
              <w:spacing w:after="0" w:line="240" w:lineRule="auto"/>
              <w:ind w:left="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32"/>
                <w:szCs w:val="32"/>
                <w:lang w:eastAsia="en-GB"/>
              </w:rPr>
              <w:t>Tenancy Sustainment Policy</w:t>
            </w:r>
          </w:p>
        </w:tc>
      </w:tr>
      <w:tr w:rsidR="000B15AF" w:rsidRPr="0085070B" w14:paraId="27032C3D" w14:textId="77777777" w:rsidTr="000B15A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6001B83D" w14:textId="0066536B" w:rsidR="000B15AF" w:rsidRPr="00F5385E" w:rsidRDefault="000B15AF" w:rsidP="000B15AF">
            <w:pPr>
              <w:spacing w:after="0" w:line="240" w:lineRule="auto"/>
              <w:ind w:firstLine="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3D05EA88" w14:textId="709AD781" w:rsidR="000B15AF" w:rsidRPr="00F5385E" w:rsidRDefault="000B15AF" w:rsidP="000B15AF">
            <w:pPr>
              <w:spacing w:after="0" w:line="240" w:lineRule="auto"/>
              <w:ind w:left="98"/>
              <w:textAlignment w:val="baseline"/>
              <w:rPr>
                <w:rFonts w:ascii="Arial" w:eastAsia="Times New Roman" w:hAnsi="Arial" w:cs="Arial"/>
                <w:i/>
                <w:iCs/>
                <w:color w:val="000000"/>
                <w:sz w:val="28"/>
                <w:szCs w:val="28"/>
                <w:lang w:eastAsia="en-GB"/>
              </w:rPr>
            </w:pPr>
            <w:r w:rsidRPr="006A65CF">
              <w:rPr>
                <w:rFonts w:ascii="Arial" w:eastAsia="Times New Roman" w:hAnsi="Arial" w:cs="Arial"/>
                <w:i/>
                <w:iCs/>
                <w:color w:val="000000"/>
                <w:sz w:val="32"/>
                <w:szCs w:val="32"/>
                <w:lang w:eastAsia="en-GB"/>
              </w:rPr>
              <w:t>Jim Brennan, Head of Tenancy and Estate Management</w:t>
            </w:r>
          </w:p>
        </w:tc>
      </w:tr>
      <w:tr w:rsidR="000B15AF" w:rsidRPr="00DD7CAE" w14:paraId="235887CE" w14:textId="77777777" w:rsidTr="001F45A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3FC4E8EA" w14:textId="7F4A736F" w:rsidR="000B15AF" w:rsidRPr="00F5385E" w:rsidRDefault="000B15AF" w:rsidP="000B15AF">
            <w:pPr>
              <w:spacing w:after="0" w:line="240" w:lineRule="auto"/>
              <w:ind w:firstLine="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tcPr>
          <w:p w14:paraId="0028412A" w14:textId="663B766A" w:rsidR="000B15AF" w:rsidRPr="00F5385E" w:rsidRDefault="000B15AF" w:rsidP="000B15AF">
            <w:pPr>
              <w:spacing w:after="0" w:line="240" w:lineRule="auto"/>
              <w:ind w:left="-15" w:firstLine="98"/>
              <w:textAlignment w:val="baseline"/>
              <w:rPr>
                <w:rFonts w:ascii="Arial" w:eastAsia="Times New Roman" w:hAnsi="Arial" w:cs="Arial"/>
                <w:color w:val="000000"/>
                <w:sz w:val="28"/>
                <w:szCs w:val="28"/>
                <w:lang w:eastAsia="en-GB"/>
              </w:rPr>
            </w:pPr>
            <w:r w:rsidRPr="006A65CF">
              <w:rPr>
                <w:rFonts w:ascii="Arial" w:eastAsia="Times New Roman" w:hAnsi="Arial" w:cs="Arial"/>
                <w:i/>
                <w:iCs/>
                <w:color w:val="000000"/>
                <w:sz w:val="32"/>
                <w:szCs w:val="32"/>
                <w:lang w:eastAsia="en-GB"/>
              </w:rPr>
              <w:t>Cabinet</w:t>
            </w:r>
          </w:p>
        </w:tc>
      </w:tr>
      <w:tr w:rsidR="000B15AF" w:rsidRPr="0085070B" w14:paraId="7D84D3DE" w14:textId="77777777" w:rsidTr="000B15A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165EAF60" w14:textId="123A9B8C" w:rsidR="000B15AF" w:rsidRPr="00F5385E" w:rsidRDefault="000B15AF" w:rsidP="000B15AF">
            <w:pPr>
              <w:spacing w:after="0" w:line="240" w:lineRule="auto"/>
              <w:ind w:firstLine="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Status   </w:t>
            </w:r>
          </w:p>
        </w:tc>
        <w:tc>
          <w:tcPr>
            <w:tcW w:w="2520" w:type="dxa"/>
            <w:tcBorders>
              <w:top w:val="single" w:sz="6" w:space="0" w:color="000000"/>
              <w:left w:val="single" w:sz="6" w:space="0" w:color="000000"/>
              <w:bottom w:val="single" w:sz="6" w:space="0" w:color="000000"/>
              <w:right w:val="single" w:sz="6" w:space="0" w:color="000000"/>
            </w:tcBorders>
          </w:tcPr>
          <w:p w14:paraId="497AA6F4" w14:textId="6D6E17EF" w:rsidR="000B15AF" w:rsidRPr="00F5385E" w:rsidRDefault="000B15AF" w:rsidP="000B15AF">
            <w:pPr>
              <w:spacing w:after="0" w:line="240" w:lineRule="auto"/>
              <w:ind w:firstLine="98"/>
              <w:textAlignment w:val="baseline"/>
              <w:rPr>
                <w:rFonts w:ascii="Arial" w:eastAsia="Times New Roman" w:hAnsi="Arial" w:cs="Arial"/>
                <w:i/>
                <w:iCs/>
                <w:color w:val="000000"/>
                <w:sz w:val="28"/>
                <w:szCs w:val="28"/>
                <w:lang w:eastAsia="en-GB"/>
              </w:rPr>
            </w:pPr>
            <w:r w:rsidRPr="006A65CF">
              <w:rPr>
                <w:rFonts w:ascii="Arial" w:eastAsia="Times New Roman" w:hAnsi="Arial" w:cs="Arial"/>
                <w:i/>
                <w:iCs/>
                <w:color w:val="000000"/>
                <w:sz w:val="32"/>
                <w:szCs w:val="32"/>
                <w:lang w:eastAsia="en-GB"/>
              </w:rPr>
              <w:t>Final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0163B782" w14:textId="33991001" w:rsidR="000B15AF" w:rsidRPr="00F5385E" w:rsidRDefault="000B15AF" w:rsidP="000B15AF">
            <w:pPr>
              <w:spacing w:after="0" w:line="240" w:lineRule="auto"/>
              <w:ind w:firstLine="98"/>
              <w:textAlignment w:val="baseline"/>
              <w:rPr>
                <w:rFonts w:ascii="Times New Roman" w:eastAsia="Times New Roman" w:hAnsi="Times New Roman" w:cs="Times New Roman"/>
                <w:color w:val="000000"/>
                <w:sz w:val="28"/>
                <w:szCs w:val="28"/>
                <w:lang w:eastAsia="en-GB"/>
              </w:rPr>
            </w:pPr>
            <w:r w:rsidRPr="00F015C5">
              <w:rPr>
                <w:rFonts w:ascii="Arial" w:eastAsia="Times New Roman" w:hAnsi="Arial" w:cs="Arial"/>
                <w:color w:val="000000"/>
                <w:sz w:val="32"/>
                <w:szCs w:val="32"/>
                <w:lang w:eastAsia="en-GB"/>
              </w:rPr>
              <w:t>Version   </w:t>
            </w:r>
          </w:p>
        </w:tc>
        <w:tc>
          <w:tcPr>
            <w:tcW w:w="2160" w:type="dxa"/>
            <w:tcBorders>
              <w:top w:val="single" w:sz="6" w:space="0" w:color="000000"/>
              <w:left w:val="single" w:sz="6" w:space="0" w:color="000000"/>
              <w:bottom w:val="single" w:sz="6" w:space="0" w:color="000000"/>
              <w:right w:val="single" w:sz="6" w:space="0" w:color="000000"/>
            </w:tcBorders>
            <w:shd w:val="clear" w:color="auto" w:fill="auto"/>
          </w:tcPr>
          <w:p w14:paraId="6983BA09" w14:textId="1207CAA9" w:rsidR="000B15AF" w:rsidRPr="00F5385E" w:rsidRDefault="000B15AF" w:rsidP="000B15AF">
            <w:pPr>
              <w:spacing w:after="0" w:line="240" w:lineRule="auto"/>
              <w:ind w:left="96" w:firstLine="2"/>
              <w:textAlignment w:val="baseline"/>
              <w:rPr>
                <w:rFonts w:ascii="Times New Roman" w:eastAsia="Times New Roman" w:hAnsi="Times New Roman" w:cs="Times New Roman"/>
                <w:i/>
                <w:iCs/>
                <w:color w:val="000000"/>
                <w:sz w:val="28"/>
                <w:szCs w:val="28"/>
                <w:lang w:eastAsia="en-GB"/>
              </w:rPr>
            </w:pPr>
            <w:r w:rsidRPr="00F56BC0">
              <w:rPr>
                <w:rFonts w:ascii="Arial" w:eastAsia="Times New Roman" w:hAnsi="Arial" w:cs="Arial"/>
                <w:i/>
                <w:iCs/>
                <w:color w:val="000000"/>
                <w:sz w:val="32"/>
                <w:szCs w:val="32"/>
                <w:lang w:eastAsia="en-GB"/>
              </w:rPr>
              <w:t>1</w:t>
            </w:r>
            <w:r>
              <w:rPr>
                <w:rFonts w:ascii="Arial" w:eastAsia="Times New Roman" w:hAnsi="Arial" w:cs="Arial"/>
                <w:i/>
                <w:iCs/>
                <w:color w:val="000000"/>
                <w:sz w:val="32"/>
                <w:szCs w:val="32"/>
                <w:lang w:eastAsia="en-GB"/>
              </w:rPr>
              <w:t>.0</w:t>
            </w:r>
          </w:p>
        </w:tc>
      </w:tr>
      <w:tr w:rsidR="000B15AF" w:rsidRPr="0085070B" w14:paraId="42279DD8" w14:textId="77777777" w:rsidTr="000B15A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6BC0E6D4" w14:textId="4FF67622" w:rsidR="000B15AF" w:rsidRPr="00F5385E" w:rsidRDefault="000B15AF" w:rsidP="000B15AF">
            <w:pPr>
              <w:spacing w:after="0" w:line="240" w:lineRule="auto"/>
              <w:ind w:firstLine="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tcPr>
          <w:p w14:paraId="62644488" w14:textId="3D1ECDCB" w:rsidR="000B15AF" w:rsidRPr="00F5385E" w:rsidRDefault="000B15AF" w:rsidP="000B15AF">
            <w:pPr>
              <w:spacing w:after="0" w:line="240" w:lineRule="auto"/>
              <w:ind w:firstLine="98"/>
              <w:textAlignment w:val="baseline"/>
              <w:rPr>
                <w:rFonts w:ascii="Arial" w:eastAsia="Times New Roman" w:hAnsi="Arial" w:cs="Arial"/>
                <w:i/>
                <w:iCs/>
                <w:color w:val="000000"/>
                <w:sz w:val="28"/>
                <w:szCs w:val="28"/>
                <w:lang w:eastAsia="en-GB"/>
              </w:rPr>
            </w:pPr>
            <w:r w:rsidRPr="006A65CF">
              <w:rPr>
                <w:rFonts w:ascii="Arial" w:eastAsia="Times New Roman" w:hAnsi="Arial" w:cs="Arial"/>
                <w:i/>
                <w:iCs/>
                <w:sz w:val="32"/>
                <w:szCs w:val="32"/>
                <w:lang w:eastAsia="en-GB"/>
              </w:rPr>
              <w:t>14.05.2025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3BA5F670" w14:textId="61C9BD9C" w:rsidR="000B15AF" w:rsidRPr="00F5385E" w:rsidRDefault="000B15AF" w:rsidP="000B15AF">
            <w:pPr>
              <w:spacing w:after="0" w:line="240" w:lineRule="auto"/>
              <w:ind w:right="36" w:firstLine="98"/>
              <w:textAlignment w:val="baseline"/>
              <w:rPr>
                <w:rFonts w:ascii="Times New Roman" w:eastAsia="Times New Roman" w:hAnsi="Times New Roman" w:cs="Times New Roman"/>
                <w:color w:val="000000"/>
                <w:sz w:val="28"/>
                <w:szCs w:val="28"/>
                <w:lang w:eastAsia="en-GB"/>
              </w:rPr>
            </w:pPr>
            <w:r w:rsidRPr="00F015C5">
              <w:rPr>
                <w:rFonts w:ascii="Arial" w:eastAsia="Times New Roman" w:hAnsi="Arial" w:cs="Arial"/>
                <w:color w:val="000000"/>
                <w:sz w:val="32"/>
                <w:szCs w:val="32"/>
                <w:lang w:eastAsia="en-GB"/>
              </w:rPr>
              <w:t xml:space="preserve">Approved </w:t>
            </w:r>
            <w:r>
              <w:rPr>
                <w:rFonts w:ascii="Arial" w:eastAsia="Times New Roman" w:hAnsi="Arial" w:cs="Arial"/>
                <w:color w:val="000000"/>
                <w:sz w:val="32"/>
                <w:szCs w:val="32"/>
                <w:lang w:eastAsia="en-GB"/>
              </w:rPr>
              <w:t xml:space="preserve">   </w:t>
            </w:r>
            <w:r w:rsidRPr="00F015C5">
              <w:rPr>
                <w:rFonts w:ascii="Arial" w:eastAsia="Times New Roman" w:hAnsi="Arial" w:cs="Arial"/>
                <w:color w:val="000000"/>
                <w:sz w:val="32"/>
                <w:szCs w:val="32"/>
                <w:lang w:eastAsia="en-GB"/>
              </w:rPr>
              <w:t>on   </w:t>
            </w:r>
          </w:p>
        </w:tc>
        <w:tc>
          <w:tcPr>
            <w:tcW w:w="2160" w:type="dxa"/>
            <w:tcBorders>
              <w:top w:val="single" w:sz="6" w:space="0" w:color="000000"/>
              <w:left w:val="single" w:sz="6" w:space="0" w:color="000000"/>
              <w:bottom w:val="single" w:sz="6" w:space="0" w:color="000000"/>
              <w:right w:val="single" w:sz="6" w:space="0" w:color="000000"/>
            </w:tcBorders>
          </w:tcPr>
          <w:p w14:paraId="68EC0924" w14:textId="137BF3D9" w:rsidR="000B15AF" w:rsidRPr="00F5385E" w:rsidRDefault="000B15AF" w:rsidP="000B15AF">
            <w:pPr>
              <w:spacing w:after="0" w:line="240" w:lineRule="auto"/>
              <w:ind w:firstLine="98"/>
              <w:textAlignment w:val="baseline"/>
              <w:rPr>
                <w:rFonts w:ascii="Times New Roman" w:eastAsia="Times New Roman" w:hAnsi="Times New Roman" w:cs="Times New Roman"/>
                <w:i/>
                <w:iCs/>
                <w:color w:val="000000"/>
                <w:sz w:val="28"/>
                <w:szCs w:val="28"/>
                <w:lang w:eastAsia="en-GB"/>
              </w:rPr>
            </w:pPr>
            <w:r w:rsidRPr="006A65CF">
              <w:rPr>
                <w:rFonts w:ascii="Arial" w:eastAsia="Times New Roman" w:hAnsi="Arial" w:cs="Arial"/>
                <w:i/>
                <w:iCs/>
                <w:sz w:val="32"/>
                <w:szCs w:val="32"/>
                <w:lang w:eastAsia="en-GB"/>
              </w:rPr>
              <w:t>07.05.2025</w:t>
            </w:r>
          </w:p>
        </w:tc>
      </w:tr>
      <w:tr w:rsidR="000B15AF" w:rsidRPr="0085070B" w14:paraId="4FC22E32" w14:textId="77777777" w:rsidTr="000B15AF">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15468E12" w14:textId="77777777" w:rsidR="000B15AF" w:rsidRDefault="000B15AF" w:rsidP="000B15AF">
            <w:pPr>
              <w:spacing w:after="0" w:line="240" w:lineRule="auto"/>
              <w:ind w:left="274" w:hanging="142"/>
              <w:textAlignment w:val="baseline"/>
              <w:rPr>
                <w:rFonts w:ascii="Arial" w:eastAsia="Times New Roman" w:hAnsi="Arial" w:cs="Arial"/>
                <w:color w:val="000000"/>
                <w:sz w:val="32"/>
                <w:szCs w:val="32"/>
                <w:lang w:eastAsia="en-GB"/>
              </w:rPr>
            </w:pPr>
            <w:r w:rsidRPr="00F015C5">
              <w:rPr>
                <w:rFonts w:ascii="Arial" w:eastAsia="Times New Roman" w:hAnsi="Arial" w:cs="Arial"/>
                <w:color w:val="000000"/>
                <w:sz w:val="32"/>
                <w:szCs w:val="32"/>
                <w:lang w:eastAsia="en-GB"/>
              </w:rPr>
              <w:t>Last</w:t>
            </w:r>
          </w:p>
          <w:p w14:paraId="04DF334D" w14:textId="4EC511E5" w:rsidR="000B15AF" w:rsidRPr="00F5385E" w:rsidRDefault="000B15AF" w:rsidP="000B15AF">
            <w:pPr>
              <w:spacing w:after="0" w:line="240" w:lineRule="auto"/>
              <w:ind w:firstLine="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updated   </w:t>
            </w:r>
          </w:p>
        </w:tc>
        <w:tc>
          <w:tcPr>
            <w:tcW w:w="2520" w:type="dxa"/>
            <w:tcBorders>
              <w:top w:val="single" w:sz="6" w:space="0" w:color="000000"/>
              <w:left w:val="single" w:sz="6" w:space="0" w:color="000000"/>
              <w:bottom w:val="single" w:sz="6" w:space="0" w:color="000000"/>
              <w:right w:val="single" w:sz="6" w:space="0" w:color="000000"/>
            </w:tcBorders>
          </w:tcPr>
          <w:p w14:paraId="01BFBD8F" w14:textId="794C515C" w:rsidR="000B15AF" w:rsidRPr="00F5385E" w:rsidRDefault="000B15AF" w:rsidP="000B15AF">
            <w:pPr>
              <w:spacing w:after="0" w:line="240" w:lineRule="auto"/>
              <w:ind w:firstLine="98"/>
              <w:textAlignment w:val="baseline"/>
              <w:rPr>
                <w:rFonts w:ascii="Arial" w:eastAsia="Times New Roman" w:hAnsi="Arial" w:cs="Arial"/>
                <w:color w:val="000000"/>
                <w:sz w:val="28"/>
                <w:szCs w:val="28"/>
                <w:lang w:eastAsia="en-GB"/>
              </w:rPr>
            </w:pPr>
            <w:r w:rsidRPr="006A65CF">
              <w:rPr>
                <w:rFonts w:ascii="Arial" w:eastAsia="Times New Roman" w:hAnsi="Arial" w:cs="Arial"/>
                <w:i/>
                <w:iCs/>
                <w:color w:val="000000"/>
                <w:sz w:val="32"/>
                <w:szCs w:val="32"/>
                <w:lang w:eastAsia="en-GB"/>
              </w:rPr>
              <w:t xml:space="preserve">22.04.2025 </w:t>
            </w:r>
          </w:p>
        </w:tc>
        <w:tc>
          <w:tcPr>
            <w:tcW w:w="2160" w:type="dxa"/>
            <w:tcBorders>
              <w:top w:val="single" w:sz="6" w:space="0" w:color="000000"/>
              <w:left w:val="single" w:sz="6" w:space="0" w:color="000000"/>
              <w:bottom w:val="single" w:sz="6" w:space="0" w:color="000000"/>
              <w:right w:val="single" w:sz="6" w:space="0" w:color="000000"/>
            </w:tcBorders>
            <w:shd w:val="clear" w:color="auto" w:fill="C5E0B3"/>
          </w:tcPr>
          <w:p w14:paraId="33D7CD59" w14:textId="7FDA2816" w:rsidR="000B15AF" w:rsidRPr="00F5385E" w:rsidRDefault="000B15AF" w:rsidP="000B15AF">
            <w:pPr>
              <w:spacing w:after="0" w:line="240" w:lineRule="auto"/>
              <w:ind w:left="130"/>
              <w:textAlignment w:val="baseline"/>
              <w:rPr>
                <w:rFonts w:ascii="Times New Roman" w:eastAsia="Times New Roman" w:hAnsi="Times New Roman" w:cs="Times New Roman"/>
                <w:color w:val="000000"/>
                <w:sz w:val="28"/>
                <w:szCs w:val="28"/>
                <w:lang w:eastAsia="en-GB"/>
              </w:rPr>
            </w:pPr>
            <w:r w:rsidRPr="00F015C5">
              <w:rPr>
                <w:rFonts w:ascii="Arial" w:eastAsia="Times New Roman" w:hAnsi="Arial" w:cs="Arial"/>
                <w:color w:val="000000"/>
                <w:sz w:val="32"/>
                <w:szCs w:val="32"/>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tcPr>
          <w:p w14:paraId="78EDA43A" w14:textId="6F40C2F5" w:rsidR="000B15AF" w:rsidRPr="00F5385E" w:rsidRDefault="000B15AF" w:rsidP="000B15AF">
            <w:pPr>
              <w:spacing w:after="0" w:line="240" w:lineRule="auto"/>
              <w:ind w:firstLine="98"/>
              <w:textAlignment w:val="baseline"/>
              <w:rPr>
                <w:rFonts w:ascii="Times New Roman" w:eastAsia="Times New Roman" w:hAnsi="Times New Roman" w:cs="Times New Roman"/>
                <w:i/>
                <w:iCs/>
                <w:color w:val="000000"/>
                <w:sz w:val="28"/>
                <w:szCs w:val="28"/>
                <w:lang w:eastAsia="en-GB"/>
              </w:rPr>
            </w:pPr>
            <w:r>
              <w:rPr>
                <w:rFonts w:ascii="Arial" w:eastAsia="Times New Roman" w:hAnsi="Arial" w:cs="Arial"/>
                <w:i/>
                <w:iCs/>
                <w:color w:val="000000"/>
                <w:sz w:val="32"/>
                <w:szCs w:val="32"/>
                <w:lang w:eastAsia="en-GB"/>
              </w:rPr>
              <w:t>Louis Bebb</w:t>
            </w:r>
            <w:r w:rsidRPr="006A65CF">
              <w:rPr>
                <w:rFonts w:ascii="Arial" w:eastAsia="Times New Roman" w:hAnsi="Arial" w:cs="Arial"/>
                <w:i/>
                <w:iCs/>
                <w:color w:val="000000"/>
                <w:sz w:val="32"/>
                <w:szCs w:val="32"/>
                <w:lang w:eastAsia="en-GB"/>
              </w:rPr>
              <w:t xml:space="preserve"> </w:t>
            </w:r>
          </w:p>
        </w:tc>
      </w:tr>
      <w:tr w:rsidR="000B15AF" w:rsidRPr="0085070B" w14:paraId="023F3169" w14:textId="77777777" w:rsidTr="001F45AB">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7730802" w14:textId="4471CF3A" w:rsidR="000B15AF" w:rsidRPr="00F5385E" w:rsidRDefault="000B15AF" w:rsidP="000B15AF">
            <w:pPr>
              <w:spacing w:after="0" w:line="240" w:lineRule="auto"/>
              <w:ind w:firstLine="132"/>
              <w:textAlignment w:val="baseline"/>
              <w:rPr>
                <w:rFonts w:ascii="Arial" w:eastAsia="Times New Roman" w:hAnsi="Arial" w:cs="Arial"/>
                <w:color w:val="000000"/>
                <w:sz w:val="28"/>
                <w:szCs w:val="28"/>
                <w:lang w:eastAsia="en-GB"/>
              </w:rPr>
            </w:pPr>
            <w:r w:rsidRPr="00F015C5">
              <w:rPr>
                <w:rFonts w:ascii="Arial" w:eastAsia="Times New Roman" w:hAnsi="Arial" w:cs="Arial"/>
                <w:color w:val="000000"/>
                <w:sz w:val="32"/>
                <w:szCs w:val="32"/>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071862" w14:textId="5D27ABB3" w:rsidR="000B15AF" w:rsidRPr="00F5385E" w:rsidRDefault="000B15AF" w:rsidP="000B15AF">
            <w:pPr>
              <w:spacing w:after="0" w:line="240" w:lineRule="auto"/>
              <w:ind w:left="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32"/>
                <w:szCs w:val="32"/>
                <w:lang w:eastAsia="en-GB"/>
              </w:rPr>
              <w:t>3 years from effective date.</w:t>
            </w:r>
          </w:p>
        </w:tc>
      </w:tr>
      <w:tr w:rsidR="000B15AF" w:rsidRPr="0085070B" w14:paraId="46E1D66B" w14:textId="77777777" w:rsidTr="001F45AB">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D573966" w14:textId="77777777" w:rsidR="000B15AF" w:rsidRPr="000B15AF" w:rsidRDefault="000B15AF" w:rsidP="000B15AF">
            <w:pPr>
              <w:spacing w:after="0" w:line="240" w:lineRule="auto"/>
              <w:ind w:firstLine="132"/>
              <w:textAlignment w:val="baseline"/>
              <w:rPr>
                <w:rFonts w:ascii="Arial" w:eastAsia="Times New Roman" w:hAnsi="Arial" w:cs="Arial"/>
                <w:color w:val="000000"/>
                <w:sz w:val="32"/>
                <w:szCs w:val="32"/>
                <w:lang w:eastAsia="en-GB"/>
              </w:rPr>
            </w:pPr>
            <w:r w:rsidRPr="000B15AF">
              <w:rPr>
                <w:rFonts w:ascii="Arial" w:eastAsia="Times New Roman" w:hAnsi="Arial" w:cs="Arial"/>
                <w:color w:val="000000"/>
                <w:sz w:val="32"/>
                <w:szCs w:val="32"/>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641D700" w14:textId="7356F79C" w:rsidR="000B15AF" w:rsidRPr="000B15AF" w:rsidRDefault="000B15AF" w:rsidP="000B15AF">
            <w:pPr>
              <w:spacing w:after="0" w:line="240" w:lineRule="auto"/>
              <w:ind w:left="98"/>
              <w:textAlignment w:val="baseline"/>
              <w:rPr>
                <w:rFonts w:ascii="Arial" w:eastAsia="Times New Roman" w:hAnsi="Arial" w:cs="Arial"/>
                <w:i/>
                <w:iCs/>
                <w:color w:val="000000"/>
                <w:sz w:val="32"/>
                <w:szCs w:val="32"/>
                <w:lang w:eastAsia="en-GB"/>
              </w:rPr>
            </w:pPr>
            <w:r w:rsidRPr="000B15AF">
              <w:rPr>
                <w:rFonts w:ascii="Arial" w:eastAsia="Times New Roman" w:hAnsi="Arial" w:cs="Arial"/>
                <w:i/>
                <w:iCs/>
                <w:color w:val="000000"/>
                <w:sz w:val="32"/>
                <w:szCs w:val="32"/>
                <w:lang w:eastAsia="en-GB"/>
              </w:rPr>
              <w:t>The Tenancy Sustainment Policy outlines Sandwell Council’s strategy for helping residents manage and maintain their tenancies successfully. It establishes frameworks to identify vulnerable households, offer support to those facing challenges, and connect them with advocacy services that provide guidance and assistance. The policy also aims to prevent homelessness and reduce the risk of tenancy breakdowns, such as abandonment, eviction, or early termination.</w:t>
            </w:r>
          </w:p>
        </w:tc>
      </w:tr>
    </w:tbl>
    <w:p w14:paraId="7F9DAA23" w14:textId="77777777" w:rsidR="00F5385E" w:rsidRDefault="00F5385E" w:rsidP="00CF4F6F"/>
    <w:sdt>
      <w:sdtPr>
        <w:rPr>
          <w:rFonts w:ascii="Arial" w:eastAsiaTheme="minorHAnsi" w:hAnsi="Arial" w:cs="Arial"/>
          <w:color w:val="auto"/>
          <w:sz w:val="22"/>
          <w:szCs w:val="22"/>
          <w:lang w:val="en-GB"/>
        </w:rPr>
        <w:id w:val="71088094"/>
        <w:docPartObj>
          <w:docPartGallery w:val="Table of Contents"/>
          <w:docPartUnique/>
        </w:docPartObj>
      </w:sdtPr>
      <w:sdtEndPr>
        <w:rPr>
          <w:b/>
          <w:bCs/>
          <w:noProof/>
        </w:rPr>
      </w:sdtEndPr>
      <w:sdtContent>
        <w:p w14:paraId="3CC69F81" w14:textId="74C95ED3" w:rsidR="0076687A" w:rsidRPr="00184044" w:rsidRDefault="00CF4F6F" w:rsidP="00184044">
          <w:pPr>
            <w:pStyle w:val="TOCHeading"/>
            <w:jc w:val="center"/>
            <w:rPr>
              <w:rFonts w:ascii="Arial" w:hAnsi="Arial" w:cs="Arial"/>
              <w:b/>
              <w:bCs/>
              <w:color w:val="auto"/>
              <w:u w:val="single"/>
            </w:rPr>
          </w:pPr>
          <w:r w:rsidRPr="00904543">
            <w:rPr>
              <w:rFonts w:ascii="Arial" w:hAnsi="Arial" w:cs="Arial"/>
              <w:b/>
              <w:bCs/>
              <w:color w:val="auto"/>
              <w:u w:val="single"/>
            </w:rPr>
            <w:t>Contents</w:t>
          </w:r>
        </w:p>
        <w:p w14:paraId="3B4C751A" w14:textId="077C288C" w:rsidR="00FA6893" w:rsidRPr="00FA6893" w:rsidRDefault="00CF4F6F">
          <w:pPr>
            <w:pStyle w:val="TOC1"/>
            <w:tabs>
              <w:tab w:val="left" w:pos="440"/>
              <w:tab w:val="right" w:leader="dot" w:pos="9016"/>
            </w:tabs>
            <w:rPr>
              <w:rFonts w:eastAsiaTheme="minorEastAsia"/>
              <w:noProof/>
              <w:kern w:val="2"/>
              <w:sz w:val="28"/>
              <w:szCs w:val="28"/>
              <w:lang w:eastAsia="en-GB"/>
              <w14:ligatures w14:val="standardContextual"/>
            </w:rPr>
          </w:pPr>
          <w:r w:rsidRPr="00FA6893">
            <w:rPr>
              <w:rFonts w:ascii="Arial" w:hAnsi="Arial" w:cs="Arial"/>
              <w:b/>
              <w:bCs/>
              <w:sz w:val="28"/>
              <w:szCs w:val="28"/>
            </w:rPr>
            <w:fldChar w:fldCharType="begin"/>
          </w:r>
          <w:r w:rsidRPr="00FA6893">
            <w:rPr>
              <w:rFonts w:ascii="Arial" w:hAnsi="Arial" w:cs="Arial"/>
              <w:b/>
              <w:bCs/>
              <w:sz w:val="28"/>
              <w:szCs w:val="28"/>
            </w:rPr>
            <w:instrText xml:space="preserve"> TOC \o "1-3" \h \z \u </w:instrText>
          </w:r>
          <w:r w:rsidRPr="00FA6893">
            <w:rPr>
              <w:rFonts w:ascii="Arial" w:hAnsi="Arial" w:cs="Arial"/>
              <w:b/>
              <w:bCs/>
              <w:sz w:val="28"/>
              <w:szCs w:val="28"/>
            </w:rPr>
            <w:fldChar w:fldCharType="separate"/>
          </w:r>
          <w:hyperlink w:anchor="_Toc192110654" w:history="1">
            <w:r w:rsidR="00FA6893" w:rsidRPr="00FA6893">
              <w:rPr>
                <w:rStyle w:val="Hyperlink"/>
                <w:rFonts w:ascii="Arial" w:eastAsiaTheme="majorEastAsia" w:hAnsi="Arial" w:cs="Arial"/>
                <w:b/>
                <w:bCs/>
                <w:noProof/>
                <w:sz w:val="28"/>
                <w:szCs w:val="28"/>
              </w:rPr>
              <w:t>1.</w:t>
            </w:r>
            <w:r w:rsidR="00FA6893" w:rsidRPr="00FA6893">
              <w:rPr>
                <w:rFonts w:eastAsiaTheme="minorEastAsia"/>
                <w:noProof/>
                <w:kern w:val="2"/>
                <w:sz w:val="28"/>
                <w:szCs w:val="28"/>
                <w:lang w:eastAsia="en-GB"/>
                <w14:ligatures w14:val="standardContextual"/>
              </w:rPr>
              <w:tab/>
            </w:r>
            <w:r w:rsidR="00FA6893" w:rsidRPr="00FA6893">
              <w:rPr>
                <w:rStyle w:val="Hyperlink"/>
                <w:rFonts w:ascii="Arial" w:eastAsiaTheme="majorEastAsia" w:hAnsi="Arial" w:cs="Arial"/>
                <w:b/>
                <w:bCs/>
                <w:noProof/>
                <w:sz w:val="28"/>
                <w:szCs w:val="28"/>
              </w:rPr>
              <w:t>Purpose</w:t>
            </w:r>
            <w:r w:rsidR="00FA6893" w:rsidRPr="00FA6893">
              <w:rPr>
                <w:noProof/>
                <w:webHidden/>
                <w:sz w:val="28"/>
                <w:szCs w:val="28"/>
              </w:rPr>
              <w:tab/>
            </w:r>
            <w:r w:rsidR="00FA6893" w:rsidRPr="00FA6893">
              <w:rPr>
                <w:noProof/>
                <w:webHidden/>
                <w:sz w:val="28"/>
                <w:szCs w:val="28"/>
              </w:rPr>
              <w:fldChar w:fldCharType="begin"/>
            </w:r>
            <w:r w:rsidR="00FA6893" w:rsidRPr="00FA6893">
              <w:rPr>
                <w:noProof/>
                <w:webHidden/>
                <w:sz w:val="28"/>
                <w:szCs w:val="28"/>
              </w:rPr>
              <w:instrText xml:space="preserve"> PAGEREF _Toc192110654 \h </w:instrText>
            </w:r>
            <w:r w:rsidR="00FA6893" w:rsidRPr="00FA6893">
              <w:rPr>
                <w:noProof/>
                <w:webHidden/>
                <w:sz w:val="28"/>
                <w:szCs w:val="28"/>
              </w:rPr>
            </w:r>
            <w:r w:rsidR="00FA6893" w:rsidRPr="00FA6893">
              <w:rPr>
                <w:noProof/>
                <w:webHidden/>
                <w:sz w:val="28"/>
                <w:szCs w:val="28"/>
              </w:rPr>
              <w:fldChar w:fldCharType="separate"/>
            </w:r>
            <w:r w:rsidR="003C18A7">
              <w:rPr>
                <w:noProof/>
                <w:webHidden/>
                <w:sz w:val="28"/>
                <w:szCs w:val="28"/>
              </w:rPr>
              <w:t>3</w:t>
            </w:r>
            <w:r w:rsidR="00FA6893" w:rsidRPr="00FA6893">
              <w:rPr>
                <w:noProof/>
                <w:webHidden/>
                <w:sz w:val="28"/>
                <w:szCs w:val="28"/>
              </w:rPr>
              <w:fldChar w:fldCharType="end"/>
            </w:r>
          </w:hyperlink>
        </w:p>
        <w:p w14:paraId="7F353F4F" w14:textId="055C2CAA"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55" w:history="1">
            <w:r w:rsidRPr="00FA6893">
              <w:rPr>
                <w:rStyle w:val="Hyperlink"/>
                <w:rFonts w:ascii="Arial" w:eastAsiaTheme="majorEastAsia" w:hAnsi="Arial" w:cs="Arial"/>
                <w:b/>
                <w:bCs/>
                <w:noProof/>
                <w:sz w:val="28"/>
                <w:szCs w:val="28"/>
              </w:rPr>
              <w:t>2.</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Scope</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_Toc192110655 \h </w:instrText>
            </w:r>
            <w:r w:rsidRPr="00FA6893">
              <w:rPr>
                <w:noProof/>
                <w:webHidden/>
                <w:sz w:val="28"/>
                <w:szCs w:val="28"/>
              </w:rPr>
            </w:r>
            <w:r w:rsidRPr="00FA6893">
              <w:rPr>
                <w:noProof/>
                <w:webHidden/>
                <w:sz w:val="28"/>
                <w:szCs w:val="28"/>
              </w:rPr>
              <w:fldChar w:fldCharType="separate"/>
            </w:r>
            <w:r w:rsidR="003C18A7">
              <w:rPr>
                <w:noProof/>
                <w:webHidden/>
                <w:sz w:val="28"/>
                <w:szCs w:val="28"/>
              </w:rPr>
              <w:t>3</w:t>
            </w:r>
            <w:r w:rsidRPr="00FA6893">
              <w:rPr>
                <w:noProof/>
                <w:webHidden/>
                <w:sz w:val="28"/>
                <w:szCs w:val="28"/>
              </w:rPr>
              <w:fldChar w:fldCharType="end"/>
            </w:r>
          </w:hyperlink>
        </w:p>
        <w:p w14:paraId="38CAA3E0" w14:textId="02162D13"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56" w:history="1">
            <w:r w:rsidRPr="00FA6893">
              <w:rPr>
                <w:rStyle w:val="Hyperlink"/>
                <w:rFonts w:ascii="Arial" w:eastAsiaTheme="majorEastAsia" w:hAnsi="Arial" w:cs="Arial"/>
                <w:b/>
                <w:bCs/>
                <w:noProof/>
                <w:sz w:val="28"/>
                <w:szCs w:val="28"/>
              </w:rPr>
              <w:t>3.</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What is Tenancy Sustainment to Sandwell Council?</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_Toc192110656 \h </w:instrText>
            </w:r>
            <w:r w:rsidRPr="00FA6893">
              <w:rPr>
                <w:noProof/>
                <w:webHidden/>
                <w:sz w:val="28"/>
                <w:szCs w:val="28"/>
              </w:rPr>
            </w:r>
            <w:r w:rsidRPr="00FA6893">
              <w:rPr>
                <w:noProof/>
                <w:webHidden/>
                <w:sz w:val="28"/>
                <w:szCs w:val="28"/>
              </w:rPr>
              <w:fldChar w:fldCharType="separate"/>
            </w:r>
            <w:r w:rsidR="003C18A7">
              <w:rPr>
                <w:noProof/>
                <w:webHidden/>
                <w:sz w:val="28"/>
                <w:szCs w:val="28"/>
              </w:rPr>
              <w:t>3</w:t>
            </w:r>
            <w:r w:rsidRPr="00FA6893">
              <w:rPr>
                <w:noProof/>
                <w:webHidden/>
                <w:sz w:val="28"/>
                <w:szCs w:val="28"/>
              </w:rPr>
              <w:fldChar w:fldCharType="end"/>
            </w:r>
          </w:hyperlink>
        </w:p>
        <w:p w14:paraId="50FD8AB0" w14:textId="380F712C"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57" w:history="1">
            <w:r w:rsidRPr="00FA6893">
              <w:rPr>
                <w:rStyle w:val="Hyperlink"/>
                <w:rFonts w:ascii="Arial" w:hAnsi="Arial" w:cs="Arial"/>
                <w:b/>
                <w:bCs/>
                <w:noProof/>
                <w:sz w:val="28"/>
                <w:szCs w:val="28"/>
              </w:rPr>
              <w:t>4.</w:t>
            </w:r>
            <w:r w:rsidRPr="00FA6893">
              <w:rPr>
                <w:rFonts w:eastAsiaTheme="minorEastAsia"/>
                <w:noProof/>
                <w:kern w:val="2"/>
                <w:sz w:val="28"/>
                <w:szCs w:val="28"/>
                <w:lang w:eastAsia="en-GB"/>
                <w14:ligatures w14:val="standardContextual"/>
              </w:rPr>
              <w:tab/>
            </w:r>
            <w:r w:rsidRPr="00FA6893">
              <w:rPr>
                <w:rStyle w:val="Hyperlink"/>
                <w:rFonts w:ascii="Arial" w:hAnsi="Arial" w:cs="Arial"/>
                <w:b/>
                <w:bCs/>
                <w:noProof/>
                <w:sz w:val="28"/>
                <w:szCs w:val="28"/>
              </w:rPr>
              <w:t>Policy Statement</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_Toc192110657 \h </w:instrText>
            </w:r>
            <w:r w:rsidRPr="00FA6893">
              <w:rPr>
                <w:noProof/>
                <w:webHidden/>
                <w:sz w:val="28"/>
                <w:szCs w:val="28"/>
              </w:rPr>
            </w:r>
            <w:r w:rsidRPr="00FA6893">
              <w:rPr>
                <w:noProof/>
                <w:webHidden/>
                <w:sz w:val="28"/>
                <w:szCs w:val="28"/>
              </w:rPr>
              <w:fldChar w:fldCharType="separate"/>
            </w:r>
            <w:r w:rsidR="003C18A7">
              <w:rPr>
                <w:noProof/>
                <w:webHidden/>
                <w:sz w:val="28"/>
                <w:szCs w:val="28"/>
              </w:rPr>
              <w:t>5</w:t>
            </w:r>
            <w:r w:rsidRPr="00FA6893">
              <w:rPr>
                <w:noProof/>
                <w:webHidden/>
                <w:sz w:val="28"/>
                <w:szCs w:val="28"/>
              </w:rPr>
              <w:fldChar w:fldCharType="end"/>
            </w:r>
          </w:hyperlink>
        </w:p>
        <w:p w14:paraId="29BE5243" w14:textId="5D615691" w:rsidR="00FA6893" w:rsidRPr="00FA6893" w:rsidRDefault="00FA6893" w:rsidP="00FA6893">
          <w:pPr>
            <w:pStyle w:val="TOC2"/>
            <w:rPr>
              <w:rFonts w:eastAsiaTheme="minorEastAsia"/>
              <w:noProof/>
              <w:kern w:val="2"/>
              <w:sz w:val="28"/>
              <w:szCs w:val="28"/>
              <w:lang w:eastAsia="en-GB"/>
              <w14:ligatures w14:val="standardContextual"/>
            </w:rPr>
          </w:pPr>
          <w:hyperlink w:anchor="_Toc192110658" w:history="1">
            <w:r w:rsidRPr="00FA6893">
              <w:rPr>
                <w:rStyle w:val="Hyperlink"/>
                <w:rFonts w:ascii="Arial" w:hAnsi="Arial" w:cs="Arial"/>
                <w:b/>
                <w:bCs/>
                <w:noProof/>
                <w:sz w:val="28"/>
                <w:szCs w:val="28"/>
              </w:rPr>
              <w:t xml:space="preserve">4.1 </w:t>
            </w:r>
            <w:r w:rsidRPr="00FA6893">
              <w:rPr>
                <w:rStyle w:val="Hyperlink"/>
                <w:rFonts w:ascii="Arial" w:hAnsi="Arial" w:cs="Arial"/>
                <w:noProof/>
                <w:sz w:val="28"/>
                <w:szCs w:val="28"/>
              </w:rPr>
              <w:t>Tenancy Allocation</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_Toc192110658 \h </w:instrText>
            </w:r>
            <w:r w:rsidRPr="00FA6893">
              <w:rPr>
                <w:noProof/>
                <w:webHidden/>
                <w:sz w:val="28"/>
                <w:szCs w:val="28"/>
              </w:rPr>
            </w:r>
            <w:r w:rsidRPr="00FA6893">
              <w:rPr>
                <w:noProof/>
                <w:webHidden/>
                <w:sz w:val="28"/>
                <w:szCs w:val="28"/>
              </w:rPr>
              <w:fldChar w:fldCharType="separate"/>
            </w:r>
            <w:r w:rsidR="003C18A7">
              <w:rPr>
                <w:noProof/>
                <w:webHidden/>
                <w:sz w:val="28"/>
                <w:szCs w:val="28"/>
              </w:rPr>
              <w:t>5</w:t>
            </w:r>
            <w:r w:rsidRPr="00FA6893">
              <w:rPr>
                <w:noProof/>
                <w:webHidden/>
                <w:sz w:val="28"/>
                <w:szCs w:val="28"/>
              </w:rPr>
              <w:fldChar w:fldCharType="end"/>
            </w:r>
          </w:hyperlink>
        </w:p>
        <w:p w14:paraId="0566A365" w14:textId="1894B673" w:rsidR="00FA6893" w:rsidRPr="00FA6893" w:rsidRDefault="00FA6893" w:rsidP="00FA6893">
          <w:pPr>
            <w:pStyle w:val="TOC1"/>
            <w:tabs>
              <w:tab w:val="right" w:leader="dot" w:pos="9016"/>
            </w:tabs>
            <w:ind w:firstLine="142"/>
            <w:rPr>
              <w:rFonts w:eastAsiaTheme="minorEastAsia"/>
              <w:noProof/>
              <w:kern w:val="2"/>
              <w:sz w:val="28"/>
              <w:szCs w:val="28"/>
              <w:lang w:eastAsia="en-GB"/>
              <w14:ligatures w14:val="standardContextual"/>
            </w:rPr>
          </w:pPr>
          <w:hyperlink w:anchor="_Toc192110659" w:history="1">
            <w:r w:rsidRPr="00FA6893">
              <w:rPr>
                <w:rStyle w:val="Hyperlink"/>
                <w:rFonts w:ascii="Arial" w:hAnsi="Arial" w:cs="Arial"/>
                <w:b/>
                <w:bCs/>
                <w:noProof/>
                <w:sz w:val="28"/>
                <w:szCs w:val="28"/>
              </w:rPr>
              <w:t xml:space="preserve">4.2 </w:t>
            </w:r>
            <w:r w:rsidRPr="00FA6893">
              <w:rPr>
                <w:rStyle w:val="Hyperlink"/>
                <w:rFonts w:ascii="Arial" w:hAnsi="Arial" w:cs="Arial"/>
                <w:noProof/>
                <w:sz w:val="28"/>
                <w:szCs w:val="28"/>
              </w:rPr>
              <w:t>Supporting Tenants to Sustain Tenancies</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_Toc192110659 \h </w:instrText>
            </w:r>
            <w:r w:rsidRPr="00FA6893">
              <w:rPr>
                <w:noProof/>
                <w:webHidden/>
                <w:sz w:val="28"/>
                <w:szCs w:val="28"/>
              </w:rPr>
            </w:r>
            <w:r w:rsidRPr="00FA6893">
              <w:rPr>
                <w:noProof/>
                <w:webHidden/>
                <w:sz w:val="28"/>
                <w:szCs w:val="28"/>
              </w:rPr>
              <w:fldChar w:fldCharType="separate"/>
            </w:r>
            <w:r w:rsidR="003C18A7">
              <w:rPr>
                <w:noProof/>
                <w:webHidden/>
                <w:sz w:val="28"/>
                <w:szCs w:val="28"/>
              </w:rPr>
              <w:t>7</w:t>
            </w:r>
            <w:r w:rsidRPr="00FA6893">
              <w:rPr>
                <w:noProof/>
                <w:webHidden/>
                <w:sz w:val="28"/>
                <w:szCs w:val="28"/>
              </w:rPr>
              <w:fldChar w:fldCharType="end"/>
            </w:r>
          </w:hyperlink>
        </w:p>
        <w:p w14:paraId="4B83DF1E" w14:textId="4FF7E7EF"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63" w:history="1">
            <w:r w:rsidRPr="00FA6893">
              <w:rPr>
                <w:rStyle w:val="Hyperlink"/>
                <w:rFonts w:ascii="Arial" w:eastAsiaTheme="majorEastAsia" w:hAnsi="Arial" w:cs="Arial"/>
                <w:b/>
                <w:bCs/>
                <w:noProof/>
                <w:sz w:val="28"/>
                <w:szCs w:val="28"/>
              </w:rPr>
              <w:t>5.</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Related Documents</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_Toc192110663 \h </w:instrText>
            </w:r>
            <w:r w:rsidRPr="00FA6893">
              <w:rPr>
                <w:noProof/>
                <w:webHidden/>
                <w:sz w:val="28"/>
                <w:szCs w:val="28"/>
              </w:rPr>
            </w:r>
            <w:r w:rsidRPr="00FA6893">
              <w:rPr>
                <w:noProof/>
                <w:webHidden/>
                <w:sz w:val="28"/>
                <w:szCs w:val="28"/>
              </w:rPr>
              <w:fldChar w:fldCharType="separate"/>
            </w:r>
            <w:r w:rsidR="003C18A7">
              <w:rPr>
                <w:noProof/>
                <w:webHidden/>
                <w:sz w:val="28"/>
                <w:szCs w:val="28"/>
              </w:rPr>
              <w:t>11</w:t>
            </w:r>
            <w:r w:rsidRPr="00FA6893">
              <w:rPr>
                <w:noProof/>
                <w:webHidden/>
                <w:sz w:val="28"/>
                <w:szCs w:val="28"/>
              </w:rPr>
              <w:fldChar w:fldCharType="end"/>
            </w:r>
          </w:hyperlink>
        </w:p>
        <w:p w14:paraId="1D135B11" w14:textId="511F8D8F"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64" w:history="1">
            <w:r w:rsidRPr="00FA6893">
              <w:rPr>
                <w:rStyle w:val="Hyperlink"/>
                <w:rFonts w:ascii="Arial" w:eastAsiaTheme="majorEastAsia" w:hAnsi="Arial" w:cs="Arial"/>
                <w:b/>
                <w:bCs/>
                <w:noProof/>
                <w:sz w:val="28"/>
                <w:szCs w:val="28"/>
              </w:rPr>
              <w:t>6.</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Development of Policy</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_Toc192110664 \h </w:instrText>
            </w:r>
            <w:r w:rsidRPr="00FA6893">
              <w:rPr>
                <w:noProof/>
                <w:webHidden/>
                <w:sz w:val="28"/>
                <w:szCs w:val="28"/>
              </w:rPr>
            </w:r>
            <w:r w:rsidRPr="00FA6893">
              <w:rPr>
                <w:noProof/>
                <w:webHidden/>
                <w:sz w:val="28"/>
                <w:szCs w:val="28"/>
              </w:rPr>
              <w:fldChar w:fldCharType="separate"/>
            </w:r>
            <w:r w:rsidR="003C18A7">
              <w:rPr>
                <w:noProof/>
                <w:webHidden/>
                <w:sz w:val="28"/>
                <w:szCs w:val="28"/>
              </w:rPr>
              <w:t>11</w:t>
            </w:r>
            <w:r w:rsidRPr="00FA6893">
              <w:rPr>
                <w:noProof/>
                <w:webHidden/>
                <w:sz w:val="28"/>
                <w:szCs w:val="28"/>
              </w:rPr>
              <w:fldChar w:fldCharType="end"/>
            </w:r>
          </w:hyperlink>
        </w:p>
        <w:p w14:paraId="0A995480" w14:textId="2F6B0444"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65" w:history="1">
            <w:r w:rsidRPr="00FA6893">
              <w:rPr>
                <w:rStyle w:val="Hyperlink"/>
                <w:rFonts w:ascii="Arial" w:eastAsiaTheme="majorEastAsia" w:hAnsi="Arial" w:cs="Arial"/>
                <w:b/>
                <w:bCs/>
                <w:noProof/>
                <w:sz w:val="28"/>
                <w:szCs w:val="28"/>
              </w:rPr>
              <w:t>7.</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Legal Framework</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_Toc192110665 \h </w:instrText>
            </w:r>
            <w:r w:rsidRPr="00FA6893">
              <w:rPr>
                <w:noProof/>
                <w:webHidden/>
                <w:sz w:val="28"/>
                <w:szCs w:val="28"/>
              </w:rPr>
            </w:r>
            <w:r w:rsidRPr="00FA6893">
              <w:rPr>
                <w:noProof/>
                <w:webHidden/>
                <w:sz w:val="28"/>
                <w:szCs w:val="28"/>
              </w:rPr>
              <w:fldChar w:fldCharType="separate"/>
            </w:r>
            <w:r w:rsidR="003C18A7">
              <w:rPr>
                <w:noProof/>
                <w:webHidden/>
                <w:sz w:val="28"/>
                <w:szCs w:val="28"/>
              </w:rPr>
              <w:t>12</w:t>
            </w:r>
            <w:r w:rsidRPr="00FA6893">
              <w:rPr>
                <w:noProof/>
                <w:webHidden/>
                <w:sz w:val="28"/>
                <w:szCs w:val="28"/>
              </w:rPr>
              <w:fldChar w:fldCharType="end"/>
            </w:r>
          </w:hyperlink>
        </w:p>
        <w:p w14:paraId="374B6441" w14:textId="4BA2B3FC"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66" w:history="1">
            <w:r w:rsidRPr="00FA6893">
              <w:rPr>
                <w:rStyle w:val="Hyperlink"/>
                <w:rFonts w:ascii="Arial" w:eastAsiaTheme="majorEastAsia" w:hAnsi="Arial" w:cs="Arial"/>
                <w:b/>
                <w:bCs/>
                <w:noProof/>
                <w:sz w:val="28"/>
                <w:szCs w:val="28"/>
              </w:rPr>
              <w:t>8.</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Equality and Diversity</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_Toc192110666 \h </w:instrText>
            </w:r>
            <w:r w:rsidRPr="00FA6893">
              <w:rPr>
                <w:noProof/>
                <w:webHidden/>
                <w:sz w:val="28"/>
                <w:szCs w:val="28"/>
              </w:rPr>
            </w:r>
            <w:r w:rsidRPr="00FA6893">
              <w:rPr>
                <w:noProof/>
                <w:webHidden/>
                <w:sz w:val="28"/>
                <w:szCs w:val="28"/>
              </w:rPr>
              <w:fldChar w:fldCharType="separate"/>
            </w:r>
            <w:r w:rsidR="003C18A7">
              <w:rPr>
                <w:noProof/>
                <w:webHidden/>
                <w:sz w:val="28"/>
                <w:szCs w:val="28"/>
              </w:rPr>
              <w:t>12</w:t>
            </w:r>
            <w:r w:rsidRPr="00FA6893">
              <w:rPr>
                <w:noProof/>
                <w:webHidden/>
                <w:sz w:val="28"/>
                <w:szCs w:val="28"/>
              </w:rPr>
              <w:fldChar w:fldCharType="end"/>
            </w:r>
          </w:hyperlink>
        </w:p>
        <w:p w14:paraId="6251DC77" w14:textId="09E9650A" w:rsidR="00FA6893" w:rsidRPr="00FA6893" w:rsidRDefault="00FA6893">
          <w:pPr>
            <w:pStyle w:val="TOC1"/>
            <w:tabs>
              <w:tab w:val="left" w:pos="440"/>
              <w:tab w:val="right" w:leader="dot" w:pos="9016"/>
            </w:tabs>
            <w:rPr>
              <w:rFonts w:eastAsiaTheme="minorEastAsia"/>
              <w:noProof/>
              <w:kern w:val="2"/>
              <w:sz w:val="28"/>
              <w:szCs w:val="28"/>
              <w:lang w:eastAsia="en-GB"/>
              <w14:ligatures w14:val="standardContextual"/>
            </w:rPr>
          </w:pPr>
          <w:hyperlink w:anchor="_Toc192110667" w:history="1">
            <w:r w:rsidRPr="00FA6893">
              <w:rPr>
                <w:rStyle w:val="Hyperlink"/>
                <w:rFonts w:ascii="Arial" w:eastAsiaTheme="majorEastAsia" w:hAnsi="Arial" w:cs="Arial"/>
                <w:b/>
                <w:bCs/>
                <w:noProof/>
                <w:sz w:val="28"/>
                <w:szCs w:val="28"/>
              </w:rPr>
              <w:t>9.</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Monitoring and Review</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_Toc192110667 \h </w:instrText>
            </w:r>
            <w:r w:rsidRPr="00FA6893">
              <w:rPr>
                <w:noProof/>
                <w:webHidden/>
                <w:sz w:val="28"/>
                <w:szCs w:val="28"/>
              </w:rPr>
            </w:r>
            <w:r w:rsidRPr="00FA6893">
              <w:rPr>
                <w:noProof/>
                <w:webHidden/>
                <w:sz w:val="28"/>
                <w:szCs w:val="28"/>
              </w:rPr>
              <w:fldChar w:fldCharType="separate"/>
            </w:r>
            <w:r w:rsidR="003C18A7">
              <w:rPr>
                <w:noProof/>
                <w:webHidden/>
                <w:sz w:val="28"/>
                <w:szCs w:val="28"/>
              </w:rPr>
              <w:t>15</w:t>
            </w:r>
            <w:r w:rsidRPr="00FA6893">
              <w:rPr>
                <w:noProof/>
                <w:webHidden/>
                <w:sz w:val="28"/>
                <w:szCs w:val="28"/>
              </w:rPr>
              <w:fldChar w:fldCharType="end"/>
            </w:r>
          </w:hyperlink>
        </w:p>
        <w:p w14:paraId="7983ACAD" w14:textId="33832A44" w:rsidR="00FA6893" w:rsidRPr="00FA6893" w:rsidRDefault="00FA6893">
          <w:pPr>
            <w:pStyle w:val="TOC1"/>
            <w:tabs>
              <w:tab w:val="left" w:pos="720"/>
              <w:tab w:val="right" w:leader="dot" w:pos="9016"/>
            </w:tabs>
            <w:rPr>
              <w:rFonts w:eastAsiaTheme="minorEastAsia"/>
              <w:noProof/>
              <w:kern w:val="2"/>
              <w:sz w:val="28"/>
              <w:szCs w:val="28"/>
              <w:lang w:eastAsia="en-GB"/>
              <w14:ligatures w14:val="standardContextual"/>
            </w:rPr>
          </w:pPr>
          <w:hyperlink w:anchor="_Toc192110668" w:history="1">
            <w:r w:rsidRPr="00FA6893">
              <w:rPr>
                <w:rStyle w:val="Hyperlink"/>
                <w:rFonts w:ascii="Arial" w:eastAsiaTheme="majorEastAsia" w:hAnsi="Arial" w:cs="Arial"/>
                <w:b/>
                <w:bCs/>
                <w:noProof/>
                <w:sz w:val="28"/>
                <w:szCs w:val="28"/>
              </w:rPr>
              <w:t>10.</w:t>
            </w:r>
            <w:r w:rsidRPr="00FA6893">
              <w:rPr>
                <w:rFonts w:eastAsiaTheme="minorEastAsia"/>
                <w:noProof/>
                <w:kern w:val="2"/>
                <w:sz w:val="28"/>
                <w:szCs w:val="28"/>
                <w:lang w:eastAsia="en-GB"/>
                <w14:ligatures w14:val="standardContextual"/>
              </w:rPr>
              <w:tab/>
            </w:r>
            <w:r w:rsidRPr="00FA6893">
              <w:rPr>
                <w:rStyle w:val="Hyperlink"/>
                <w:rFonts w:ascii="Arial" w:eastAsiaTheme="majorEastAsia" w:hAnsi="Arial" w:cs="Arial"/>
                <w:b/>
                <w:bCs/>
                <w:noProof/>
                <w:sz w:val="28"/>
                <w:szCs w:val="28"/>
              </w:rPr>
              <w:t>Policy Document Version Control</w:t>
            </w:r>
            <w:r w:rsidRPr="00FA6893">
              <w:rPr>
                <w:noProof/>
                <w:webHidden/>
                <w:sz w:val="28"/>
                <w:szCs w:val="28"/>
              </w:rPr>
              <w:tab/>
            </w:r>
            <w:r w:rsidRPr="00FA6893">
              <w:rPr>
                <w:noProof/>
                <w:webHidden/>
                <w:sz w:val="28"/>
                <w:szCs w:val="28"/>
              </w:rPr>
              <w:fldChar w:fldCharType="begin"/>
            </w:r>
            <w:r w:rsidRPr="00FA6893">
              <w:rPr>
                <w:noProof/>
                <w:webHidden/>
                <w:sz w:val="28"/>
                <w:szCs w:val="28"/>
              </w:rPr>
              <w:instrText xml:space="preserve"> PAGEREF _Toc192110668 \h </w:instrText>
            </w:r>
            <w:r w:rsidRPr="00FA6893">
              <w:rPr>
                <w:noProof/>
                <w:webHidden/>
                <w:sz w:val="28"/>
                <w:szCs w:val="28"/>
              </w:rPr>
            </w:r>
            <w:r w:rsidRPr="00FA6893">
              <w:rPr>
                <w:noProof/>
                <w:webHidden/>
                <w:sz w:val="28"/>
                <w:szCs w:val="28"/>
              </w:rPr>
              <w:fldChar w:fldCharType="separate"/>
            </w:r>
            <w:r w:rsidR="003C18A7">
              <w:rPr>
                <w:noProof/>
                <w:webHidden/>
                <w:sz w:val="28"/>
                <w:szCs w:val="28"/>
              </w:rPr>
              <w:t>15</w:t>
            </w:r>
            <w:r w:rsidRPr="00FA6893">
              <w:rPr>
                <w:noProof/>
                <w:webHidden/>
                <w:sz w:val="28"/>
                <w:szCs w:val="28"/>
              </w:rPr>
              <w:fldChar w:fldCharType="end"/>
            </w:r>
          </w:hyperlink>
        </w:p>
        <w:p w14:paraId="650E0040" w14:textId="4B8454D2" w:rsidR="00CF4F6F" w:rsidRPr="00904543" w:rsidRDefault="00CF4F6F" w:rsidP="00CF4F6F">
          <w:pPr>
            <w:rPr>
              <w:rFonts w:ascii="Arial" w:hAnsi="Arial" w:cs="Arial"/>
              <w:b/>
              <w:bCs/>
              <w:noProof/>
            </w:rPr>
          </w:pPr>
          <w:r w:rsidRPr="00FA6893">
            <w:rPr>
              <w:rFonts w:ascii="Arial" w:hAnsi="Arial" w:cs="Arial"/>
              <w:b/>
              <w:bCs/>
              <w:noProof/>
              <w:sz w:val="28"/>
              <w:szCs w:val="28"/>
            </w:rPr>
            <w:fldChar w:fldCharType="end"/>
          </w:r>
        </w:p>
      </w:sdtContent>
    </w:sdt>
    <w:p w14:paraId="614EF77D" w14:textId="77777777" w:rsidR="00027A17" w:rsidRDefault="00027A17"/>
    <w:p w14:paraId="7E97598A" w14:textId="77777777" w:rsidR="00FA6893" w:rsidRDefault="00FA6893"/>
    <w:p w14:paraId="00630422" w14:textId="77777777" w:rsidR="00FA6893" w:rsidRDefault="00FA6893"/>
    <w:p w14:paraId="787E0A14" w14:textId="77777777" w:rsidR="00FA6893" w:rsidRDefault="00FA6893"/>
    <w:p w14:paraId="006CC8D8" w14:textId="77777777" w:rsidR="00FA6893" w:rsidRDefault="00FA6893"/>
    <w:p w14:paraId="3EC99F68" w14:textId="77777777" w:rsidR="00FA6893" w:rsidRDefault="00FA6893"/>
    <w:p w14:paraId="31E2047D" w14:textId="77777777" w:rsidR="00FA6893" w:rsidRDefault="00FA6893"/>
    <w:p w14:paraId="32F6250F" w14:textId="77777777" w:rsidR="00FA6893" w:rsidRDefault="00FA6893"/>
    <w:p w14:paraId="1C4DE085" w14:textId="77777777" w:rsidR="00FA6893" w:rsidRDefault="00FA6893"/>
    <w:p w14:paraId="6AA5BD31" w14:textId="77777777" w:rsidR="00FA6893" w:rsidRDefault="00FA6893"/>
    <w:p w14:paraId="49B858A4" w14:textId="77777777" w:rsidR="00FA6893" w:rsidRDefault="00FA6893"/>
    <w:p w14:paraId="5D766CDA" w14:textId="77777777" w:rsidR="00FA6893" w:rsidRDefault="00FA6893"/>
    <w:p w14:paraId="4563AC2B" w14:textId="77777777" w:rsidR="00FA6893" w:rsidRDefault="00FA6893"/>
    <w:p w14:paraId="4F8F3A68" w14:textId="77777777" w:rsidR="00FA6893" w:rsidRDefault="00FA6893"/>
    <w:p w14:paraId="628FE269" w14:textId="77777777" w:rsidR="00FA6893" w:rsidRDefault="00FA6893"/>
    <w:p w14:paraId="39B8BA6E" w14:textId="77777777" w:rsidR="00FA6893" w:rsidRDefault="00FA6893"/>
    <w:p w14:paraId="5B766AA4" w14:textId="77777777" w:rsidR="00CF4F6F" w:rsidRPr="00184044" w:rsidRDefault="00CF4F6F" w:rsidP="00CF4F6F">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0" w:name="_Toc192110654"/>
      <w:bookmarkStart w:id="1" w:name="_Hlk165643217"/>
      <w:r w:rsidRPr="00184044">
        <w:rPr>
          <w:rFonts w:ascii="Arial" w:eastAsiaTheme="majorEastAsia" w:hAnsi="Arial" w:cs="Arial"/>
          <w:b/>
          <w:bCs/>
          <w:color w:val="2F5496" w:themeColor="accent1" w:themeShade="BF"/>
          <w:sz w:val="28"/>
          <w:szCs w:val="28"/>
        </w:rPr>
        <w:lastRenderedPageBreak/>
        <w:t>Purpose</w:t>
      </w:r>
      <w:bookmarkEnd w:id="0"/>
    </w:p>
    <w:bookmarkEnd w:id="1"/>
    <w:p w14:paraId="68E5F1E3" w14:textId="77777777" w:rsidR="00CF4F6F" w:rsidRDefault="00CF4F6F" w:rsidP="00CF4F6F"/>
    <w:p w14:paraId="21C45E1E" w14:textId="6B668B9D" w:rsidR="0032741D" w:rsidRPr="00904543" w:rsidRDefault="00F5385E" w:rsidP="00CF4F6F">
      <w:pPr>
        <w:pStyle w:val="ListParagraph"/>
        <w:numPr>
          <w:ilvl w:val="1"/>
          <w:numId w:val="1"/>
        </w:numPr>
        <w:spacing w:after="0"/>
        <w:ind w:left="567" w:hanging="567"/>
        <w:rPr>
          <w:rFonts w:ascii="Arial" w:hAnsi="Arial" w:cs="Arial"/>
          <w:sz w:val="28"/>
          <w:szCs w:val="28"/>
        </w:rPr>
      </w:pPr>
      <w:r w:rsidRPr="00F5385E">
        <w:rPr>
          <w:rFonts w:ascii="Arial" w:hAnsi="Arial" w:cs="Arial"/>
          <w:sz w:val="28"/>
          <w:szCs w:val="28"/>
        </w:rPr>
        <w:t>The purpose of this policy is to outline the council’s approach to tenancy management in alignment with the Black Country Tenancy Strategy 2021, developed collaboratively by Sandwell, Walsall, Dudley, and Wolverhampton City Council.</w:t>
      </w:r>
    </w:p>
    <w:p w14:paraId="201D213A" w14:textId="77777777" w:rsidR="0032741D" w:rsidRPr="00904543" w:rsidRDefault="0032741D" w:rsidP="0032741D">
      <w:pPr>
        <w:pStyle w:val="ListParagraph"/>
        <w:spacing w:after="0"/>
        <w:ind w:left="567"/>
        <w:rPr>
          <w:rFonts w:ascii="Arial" w:hAnsi="Arial" w:cs="Arial"/>
          <w:sz w:val="28"/>
          <w:szCs w:val="28"/>
        </w:rPr>
      </w:pPr>
    </w:p>
    <w:p w14:paraId="1A875923" w14:textId="5E79FE26" w:rsidR="00CF4F6F" w:rsidRPr="00904543" w:rsidRDefault="0032741D" w:rsidP="0032741D">
      <w:pPr>
        <w:pStyle w:val="ListParagraph"/>
        <w:numPr>
          <w:ilvl w:val="1"/>
          <w:numId w:val="1"/>
        </w:numPr>
        <w:spacing w:after="0"/>
        <w:ind w:left="567" w:hanging="567"/>
        <w:rPr>
          <w:rFonts w:ascii="Arial" w:hAnsi="Arial" w:cs="Arial"/>
          <w:sz w:val="28"/>
          <w:szCs w:val="28"/>
        </w:rPr>
      </w:pPr>
      <w:r w:rsidRPr="00904543">
        <w:rPr>
          <w:rFonts w:ascii="Arial" w:hAnsi="Arial" w:cs="Arial"/>
          <w:sz w:val="28"/>
          <w:szCs w:val="28"/>
        </w:rPr>
        <w:t xml:space="preserve">The purpose of this policy is also to set out Sandwell Council’s approach to </w:t>
      </w:r>
      <w:r w:rsidR="00CF4F6F" w:rsidRPr="00904543">
        <w:rPr>
          <w:rFonts w:ascii="Arial" w:hAnsi="Arial" w:cs="Arial"/>
          <w:sz w:val="28"/>
          <w:szCs w:val="28"/>
        </w:rPr>
        <w:t>changes brought about in the Localism Act 2011, and the changes to the regulatory standards that all social landlords are expected to meet.</w:t>
      </w:r>
    </w:p>
    <w:p w14:paraId="782DFB12" w14:textId="77777777" w:rsidR="0032741D" w:rsidRPr="00904543" w:rsidRDefault="0032741D" w:rsidP="0032741D">
      <w:pPr>
        <w:pStyle w:val="ListParagraph"/>
        <w:spacing w:after="0"/>
        <w:ind w:left="567"/>
        <w:rPr>
          <w:rFonts w:ascii="Arial" w:hAnsi="Arial" w:cs="Arial"/>
          <w:strike/>
          <w:sz w:val="28"/>
          <w:szCs w:val="28"/>
        </w:rPr>
      </w:pPr>
    </w:p>
    <w:p w14:paraId="1ED450DC" w14:textId="554430FD" w:rsidR="00904543" w:rsidRDefault="00F5385E" w:rsidP="001F45AB">
      <w:pPr>
        <w:pStyle w:val="ListParagraph"/>
        <w:numPr>
          <w:ilvl w:val="1"/>
          <w:numId w:val="1"/>
        </w:numPr>
        <w:spacing w:after="0"/>
        <w:ind w:left="567" w:hanging="567"/>
        <w:rPr>
          <w:rFonts w:ascii="Arial" w:hAnsi="Arial" w:cs="Arial"/>
          <w:sz w:val="28"/>
          <w:szCs w:val="28"/>
        </w:rPr>
      </w:pPr>
      <w:r w:rsidRPr="00F5385E">
        <w:rPr>
          <w:rFonts w:ascii="Arial" w:hAnsi="Arial" w:cs="Arial"/>
          <w:sz w:val="28"/>
          <w:szCs w:val="28"/>
        </w:rPr>
        <w:t xml:space="preserve">The Tenancy Sustainment Policy details the council’s </w:t>
      </w:r>
      <w:r>
        <w:rPr>
          <w:rFonts w:ascii="Arial" w:hAnsi="Arial" w:cs="Arial"/>
          <w:sz w:val="28"/>
          <w:szCs w:val="28"/>
        </w:rPr>
        <w:t>approach</w:t>
      </w:r>
      <w:r w:rsidRPr="00F5385E">
        <w:rPr>
          <w:rFonts w:ascii="Arial" w:hAnsi="Arial" w:cs="Arial"/>
          <w:sz w:val="28"/>
          <w:szCs w:val="28"/>
        </w:rPr>
        <w:t xml:space="preserve"> for helping residents effectively manage and maintain their council tenancies. It establishes frameworks to identify vulnerable households, provide support for those facing difficulties, and connect them with a variety of advocacy services offering advice and assistance. The policy also seeks to prevent homelessness and reduce the likelihood of tenancy breakdowns, such as abandonment, eviction, or early termination.</w:t>
      </w:r>
    </w:p>
    <w:p w14:paraId="7A94B40E" w14:textId="77777777" w:rsidR="00412104" w:rsidRPr="00184044" w:rsidRDefault="00412104" w:rsidP="00412104">
      <w:pPr>
        <w:pStyle w:val="ListParagraph"/>
        <w:spacing w:after="0"/>
        <w:ind w:left="567"/>
        <w:rPr>
          <w:rFonts w:ascii="Arial" w:hAnsi="Arial" w:cs="Arial"/>
          <w:sz w:val="24"/>
          <w:szCs w:val="24"/>
        </w:rPr>
      </w:pPr>
    </w:p>
    <w:p w14:paraId="602779ED" w14:textId="75FB5050" w:rsidR="00CF4F6F" w:rsidRPr="00184044" w:rsidRDefault="00CF4F6F" w:rsidP="00CF4F6F">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2" w:name="_Toc192110655"/>
      <w:r w:rsidRPr="00184044">
        <w:rPr>
          <w:rFonts w:ascii="Arial" w:eastAsiaTheme="majorEastAsia" w:hAnsi="Arial" w:cs="Arial"/>
          <w:b/>
          <w:bCs/>
          <w:color w:val="2F5496" w:themeColor="accent1" w:themeShade="BF"/>
          <w:sz w:val="28"/>
          <w:szCs w:val="28"/>
        </w:rPr>
        <w:t>Scope</w:t>
      </w:r>
      <w:bookmarkEnd w:id="2"/>
    </w:p>
    <w:p w14:paraId="74FF321D" w14:textId="77777777" w:rsidR="00CF4F6F" w:rsidRDefault="00CF4F6F" w:rsidP="00CF4F6F">
      <w:pPr>
        <w:keepNext/>
        <w:keepLines/>
        <w:spacing w:after="0"/>
        <w:outlineLvl w:val="0"/>
        <w:rPr>
          <w:rFonts w:ascii="Arial" w:eastAsiaTheme="majorEastAsia" w:hAnsi="Arial" w:cs="Arial"/>
          <w:b/>
          <w:bCs/>
          <w:color w:val="2F5496" w:themeColor="accent1" w:themeShade="BF"/>
          <w:sz w:val="32"/>
          <w:szCs w:val="32"/>
        </w:rPr>
      </w:pPr>
    </w:p>
    <w:p w14:paraId="64FF6CDB" w14:textId="2CCCCCBB" w:rsidR="00D9663B" w:rsidRDefault="005550EE" w:rsidP="00412104">
      <w:pPr>
        <w:pStyle w:val="ListParagraph"/>
        <w:numPr>
          <w:ilvl w:val="1"/>
          <w:numId w:val="1"/>
        </w:numPr>
        <w:spacing w:after="0"/>
        <w:ind w:left="567" w:hanging="567"/>
        <w:rPr>
          <w:rFonts w:ascii="Arial" w:hAnsi="Arial" w:cs="Arial"/>
          <w:sz w:val="28"/>
          <w:szCs w:val="28"/>
        </w:rPr>
      </w:pPr>
      <w:bookmarkStart w:id="3" w:name="_Hlk182990919"/>
      <w:r w:rsidRPr="005550EE">
        <w:rPr>
          <w:rFonts w:ascii="Arial" w:hAnsi="Arial" w:cs="Arial"/>
          <w:sz w:val="28"/>
          <w:szCs w:val="28"/>
        </w:rPr>
        <w:t>This policy applies to all current and prospective customers who hold a tenancy with Sandwell Council.</w:t>
      </w:r>
      <w:r>
        <w:rPr>
          <w:rFonts w:ascii="Arial" w:hAnsi="Arial" w:cs="Arial"/>
          <w:sz w:val="28"/>
          <w:szCs w:val="28"/>
        </w:rPr>
        <w:t xml:space="preserve"> </w:t>
      </w:r>
    </w:p>
    <w:p w14:paraId="5CF8D238" w14:textId="77777777" w:rsidR="004D07D7" w:rsidRDefault="004D07D7" w:rsidP="004D07D7">
      <w:pPr>
        <w:pStyle w:val="ListParagraph"/>
        <w:spacing w:after="0"/>
        <w:ind w:left="567"/>
        <w:rPr>
          <w:rFonts w:ascii="Arial" w:hAnsi="Arial" w:cs="Arial"/>
          <w:sz w:val="28"/>
          <w:szCs w:val="28"/>
        </w:rPr>
      </w:pPr>
    </w:p>
    <w:p w14:paraId="5AC37CF0" w14:textId="6A3CCE7D" w:rsidR="00F34966" w:rsidRPr="00184044" w:rsidRDefault="005D5EEB" w:rsidP="00F34966">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4" w:name="_Toc192110656"/>
      <w:bookmarkEnd w:id="3"/>
      <w:r>
        <w:rPr>
          <w:rFonts w:ascii="Arial" w:eastAsiaTheme="majorEastAsia" w:hAnsi="Arial" w:cs="Arial"/>
          <w:b/>
          <w:bCs/>
          <w:color w:val="2F5496" w:themeColor="accent1" w:themeShade="BF"/>
          <w:sz w:val="28"/>
          <w:szCs w:val="28"/>
        </w:rPr>
        <w:t>What is Tenancy Sustainment to Sandwell Council?</w:t>
      </w:r>
      <w:bookmarkEnd w:id="4"/>
    </w:p>
    <w:p w14:paraId="0130D80A" w14:textId="77777777" w:rsidR="009F3715" w:rsidRDefault="009F3715" w:rsidP="009F3715">
      <w:pPr>
        <w:keepNext/>
        <w:keepLines/>
        <w:spacing w:after="0"/>
        <w:outlineLvl w:val="0"/>
        <w:rPr>
          <w:rFonts w:ascii="Arial" w:eastAsiaTheme="majorEastAsia" w:hAnsi="Arial" w:cs="Arial"/>
          <w:b/>
          <w:bCs/>
          <w:color w:val="2F5496" w:themeColor="accent1" w:themeShade="BF"/>
          <w:sz w:val="32"/>
          <w:szCs w:val="32"/>
        </w:rPr>
      </w:pPr>
    </w:p>
    <w:p w14:paraId="00BFA33E" w14:textId="77777777" w:rsidR="00946527" w:rsidRDefault="00F34966" w:rsidP="00F34966">
      <w:pPr>
        <w:pStyle w:val="ListParagraph"/>
        <w:numPr>
          <w:ilvl w:val="1"/>
          <w:numId w:val="1"/>
        </w:numPr>
        <w:ind w:left="567" w:hanging="567"/>
        <w:rPr>
          <w:rFonts w:ascii="Arial" w:hAnsi="Arial" w:cs="Arial"/>
          <w:sz w:val="28"/>
          <w:szCs w:val="28"/>
        </w:rPr>
      </w:pPr>
      <w:bookmarkStart w:id="5" w:name="_Hlk164766688"/>
      <w:r w:rsidRPr="00904543">
        <w:rPr>
          <w:rFonts w:ascii="Arial" w:hAnsi="Arial" w:cs="Arial"/>
          <w:sz w:val="28"/>
          <w:szCs w:val="28"/>
        </w:rPr>
        <w:t>Sandwell Council considers tenancy sustainment to b</w:t>
      </w:r>
      <w:bookmarkEnd w:id="5"/>
      <w:r w:rsidRPr="00904543">
        <w:rPr>
          <w:rFonts w:ascii="Arial" w:hAnsi="Arial" w:cs="Arial"/>
          <w:sz w:val="28"/>
          <w:szCs w:val="28"/>
        </w:rPr>
        <w:t xml:space="preserve">e prevention of </w:t>
      </w:r>
      <w:r w:rsidR="00A76A44" w:rsidRPr="00904543">
        <w:rPr>
          <w:rFonts w:ascii="Arial" w:hAnsi="Arial" w:cs="Arial"/>
          <w:sz w:val="28"/>
          <w:szCs w:val="28"/>
        </w:rPr>
        <w:t xml:space="preserve">a tenancy from ending prematurely by providing tenants with the salient support and information to be able to maintain their tenancies. </w:t>
      </w:r>
    </w:p>
    <w:p w14:paraId="15E31318" w14:textId="77777777" w:rsidR="00946527" w:rsidRDefault="00946527" w:rsidP="00946527">
      <w:pPr>
        <w:pStyle w:val="ListParagraph"/>
        <w:ind w:left="567"/>
        <w:rPr>
          <w:rFonts w:ascii="Arial" w:hAnsi="Arial" w:cs="Arial"/>
          <w:sz w:val="28"/>
          <w:szCs w:val="28"/>
        </w:rPr>
      </w:pPr>
    </w:p>
    <w:p w14:paraId="548C3616" w14:textId="0B7703C8" w:rsidR="00946527" w:rsidRDefault="00946527" w:rsidP="00040C95">
      <w:pPr>
        <w:pStyle w:val="ListParagraph"/>
        <w:numPr>
          <w:ilvl w:val="1"/>
          <w:numId w:val="1"/>
        </w:numPr>
        <w:ind w:left="567" w:hanging="567"/>
        <w:rPr>
          <w:rFonts w:ascii="Arial" w:hAnsi="Arial" w:cs="Arial"/>
          <w:sz w:val="28"/>
          <w:szCs w:val="28"/>
        </w:rPr>
      </w:pPr>
      <w:r w:rsidRPr="00946527">
        <w:rPr>
          <w:rFonts w:ascii="Arial" w:hAnsi="Arial" w:cs="Arial"/>
          <w:sz w:val="28"/>
          <w:szCs w:val="28"/>
        </w:rPr>
        <w:t xml:space="preserve">Tenancy Sustainment is a generic term for the prevention of tenancy breakdown or a ‘failed tenancy’. Failed tenancies are a waste of resources because each additional property becoming empty incurs significant costs. It can also have negative effects for the tenant who may become homeless or find it difficult to secure </w:t>
      </w:r>
      <w:r w:rsidRPr="00946527">
        <w:rPr>
          <w:rFonts w:ascii="Arial" w:hAnsi="Arial" w:cs="Arial"/>
          <w:sz w:val="28"/>
          <w:szCs w:val="28"/>
        </w:rPr>
        <w:lastRenderedPageBreak/>
        <w:t xml:space="preserve">another tenancy because of issues relating to their former, failed tenancy. </w:t>
      </w:r>
      <w:r w:rsidR="00040C95">
        <w:rPr>
          <w:rFonts w:ascii="Arial" w:hAnsi="Arial" w:cs="Arial"/>
          <w:sz w:val="28"/>
          <w:szCs w:val="28"/>
        </w:rPr>
        <w:t xml:space="preserve"> </w:t>
      </w:r>
    </w:p>
    <w:p w14:paraId="68782FE5" w14:textId="77777777" w:rsidR="00040C95" w:rsidRPr="00040C95" w:rsidRDefault="00040C95" w:rsidP="00040C95">
      <w:pPr>
        <w:pStyle w:val="ListParagraph"/>
        <w:ind w:left="567"/>
        <w:rPr>
          <w:rFonts w:ascii="Arial" w:hAnsi="Arial" w:cs="Arial"/>
          <w:sz w:val="28"/>
          <w:szCs w:val="28"/>
        </w:rPr>
      </w:pPr>
    </w:p>
    <w:p w14:paraId="68AC8E28" w14:textId="4BBBDAA4" w:rsidR="00F34966" w:rsidRDefault="00F34966" w:rsidP="00F34966">
      <w:pPr>
        <w:pStyle w:val="ListParagraph"/>
        <w:numPr>
          <w:ilvl w:val="1"/>
          <w:numId w:val="1"/>
        </w:numPr>
        <w:ind w:left="567" w:hanging="567"/>
        <w:rPr>
          <w:rFonts w:ascii="Arial" w:hAnsi="Arial" w:cs="Arial"/>
          <w:sz w:val="28"/>
          <w:szCs w:val="28"/>
        </w:rPr>
      </w:pPr>
      <w:r w:rsidRPr="00904543">
        <w:rPr>
          <w:rFonts w:ascii="Arial" w:hAnsi="Arial" w:cs="Arial"/>
          <w:sz w:val="28"/>
          <w:szCs w:val="28"/>
        </w:rPr>
        <w:t>This policy will use the follow definitions:</w:t>
      </w:r>
    </w:p>
    <w:p w14:paraId="77113AC4"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Antisocial Behaviour (ASB):</w:t>
      </w:r>
      <w:r w:rsidRPr="00305734">
        <w:rPr>
          <w:rFonts w:ascii="Arial" w:hAnsi="Arial" w:cs="Arial"/>
          <w:sz w:val="28"/>
          <w:szCs w:val="28"/>
        </w:rPr>
        <w:t xml:space="preserve"> ASB is defined as conduct that causes, or is likely to cause, harassment, alarm, or distress, or nuisance related to the occupation of residential premises.</w:t>
      </w:r>
    </w:p>
    <w:p w14:paraId="49A72B3F"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Council Tenant:</w:t>
      </w:r>
      <w:r w:rsidRPr="00305734">
        <w:rPr>
          <w:rFonts w:ascii="Arial" w:hAnsi="Arial" w:cs="Arial"/>
          <w:sz w:val="28"/>
          <w:szCs w:val="28"/>
        </w:rPr>
        <w:t xml:space="preserve"> A tenant of Sandwell Council.</w:t>
      </w:r>
    </w:p>
    <w:p w14:paraId="6973B6E4"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Demoted Tenancy:</w:t>
      </w:r>
      <w:r w:rsidRPr="00305734">
        <w:rPr>
          <w:rFonts w:ascii="Arial" w:hAnsi="Arial" w:cs="Arial"/>
          <w:sz w:val="28"/>
          <w:szCs w:val="28"/>
        </w:rPr>
        <w:t xml:space="preserve"> A trial tenancy for 12 months, applied when a secure tenant behaves antisocially, reducing their tenancy status from secure to demoted.</w:t>
      </w:r>
    </w:p>
    <w:p w14:paraId="70D52004"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Fixed Term (Flexible) Tenancies:</w:t>
      </w:r>
      <w:r w:rsidRPr="00305734">
        <w:rPr>
          <w:rFonts w:ascii="Arial" w:hAnsi="Arial" w:cs="Arial"/>
          <w:sz w:val="28"/>
          <w:szCs w:val="28"/>
        </w:rPr>
        <w:t xml:space="preserve"> A secure tenancy with a fixed term of at least two years.</w:t>
      </w:r>
    </w:p>
    <w:p w14:paraId="7C8101DB"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Introductory Tenancies:</w:t>
      </w:r>
      <w:r w:rsidRPr="00305734">
        <w:rPr>
          <w:rFonts w:ascii="Arial" w:hAnsi="Arial" w:cs="Arial"/>
          <w:sz w:val="28"/>
          <w:szCs w:val="28"/>
        </w:rPr>
        <w:t xml:space="preserve"> A 12-month trial tenancy for new council tenants, after which, if successful, they are granted a secure tenancy.</w:t>
      </w:r>
    </w:p>
    <w:p w14:paraId="5C5EFEFD"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Joint Tenancies:</w:t>
      </w:r>
      <w:r w:rsidRPr="00305734">
        <w:rPr>
          <w:rFonts w:ascii="Arial" w:hAnsi="Arial" w:cs="Arial"/>
          <w:sz w:val="28"/>
          <w:szCs w:val="28"/>
        </w:rPr>
        <w:t xml:space="preserve"> Tenancy agreements signed by two or more people, both of whom are equally responsible for the tenancy.</w:t>
      </w:r>
    </w:p>
    <w:p w14:paraId="791403BC"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Mutual Exchanges:</w:t>
      </w:r>
      <w:r w:rsidRPr="00305734">
        <w:rPr>
          <w:rFonts w:ascii="Arial" w:hAnsi="Arial" w:cs="Arial"/>
          <w:sz w:val="28"/>
          <w:szCs w:val="28"/>
        </w:rPr>
        <w:t xml:space="preserve"> A process where two tenants swap homes within the public housing sector.</w:t>
      </w:r>
    </w:p>
    <w:p w14:paraId="1A7052BC"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Notice to Quit:</w:t>
      </w:r>
      <w:r w:rsidRPr="00305734">
        <w:rPr>
          <w:rFonts w:ascii="Arial" w:hAnsi="Arial" w:cs="Arial"/>
          <w:sz w:val="28"/>
          <w:szCs w:val="28"/>
        </w:rPr>
        <w:t xml:space="preserve"> A legal notice served to end the tenancy of a tenant no longer occupying the property as their primary home, or to end a non-secure tenancy.</w:t>
      </w:r>
    </w:p>
    <w:p w14:paraId="1C914ACF"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Partnership Working:</w:t>
      </w:r>
      <w:r w:rsidRPr="00305734">
        <w:rPr>
          <w:rFonts w:ascii="Arial" w:hAnsi="Arial" w:cs="Arial"/>
          <w:sz w:val="28"/>
          <w:szCs w:val="28"/>
        </w:rPr>
        <w:t xml:space="preserve"> Collaboration between internal departments and external organisations to support tenant sustainment and reduce turnover, ensuring the best outcomes for tenants.</w:t>
      </w:r>
    </w:p>
    <w:p w14:paraId="65DCEC02" w14:textId="77777777" w:rsidR="00305734"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Possession Order:</w:t>
      </w:r>
      <w:r w:rsidRPr="00305734">
        <w:rPr>
          <w:rFonts w:ascii="Arial" w:hAnsi="Arial" w:cs="Arial"/>
          <w:sz w:val="28"/>
          <w:szCs w:val="28"/>
        </w:rPr>
        <w:t xml:space="preserve"> A court order requiring tenants to vacate the property.</w:t>
      </w:r>
    </w:p>
    <w:p w14:paraId="2160F40F" w14:textId="61B13220" w:rsidR="00C94648" w:rsidRDefault="00305734" w:rsidP="00CD4F0D">
      <w:pPr>
        <w:pStyle w:val="ListParagraph"/>
        <w:numPr>
          <w:ilvl w:val="0"/>
          <w:numId w:val="8"/>
        </w:numPr>
        <w:rPr>
          <w:rFonts w:ascii="Arial" w:hAnsi="Arial" w:cs="Arial"/>
          <w:sz w:val="28"/>
          <w:szCs w:val="28"/>
        </w:rPr>
      </w:pPr>
      <w:r w:rsidRPr="00305734">
        <w:rPr>
          <w:rFonts w:ascii="Arial" w:hAnsi="Arial" w:cs="Arial"/>
          <w:b/>
          <w:bCs/>
          <w:sz w:val="28"/>
          <w:szCs w:val="28"/>
        </w:rPr>
        <w:t>Secure Tenancy:</w:t>
      </w:r>
      <w:r w:rsidRPr="00305734">
        <w:rPr>
          <w:rFonts w:ascii="Arial" w:hAnsi="Arial" w:cs="Arial"/>
          <w:sz w:val="28"/>
          <w:szCs w:val="28"/>
        </w:rPr>
        <w:t xml:space="preserve"> A tenancy granting tenants the right to remain in the property indefinitely, barring any legal reasons for repossession, typically granted after a successful introductory tenancy.</w:t>
      </w:r>
    </w:p>
    <w:p w14:paraId="0B038D9E" w14:textId="77777777" w:rsidR="00FA6893" w:rsidRDefault="00FA6893" w:rsidP="00FA6893">
      <w:pPr>
        <w:rPr>
          <w:rFonts w:ascii="Arial" w:hAnsi="Arial" w:cs="Arial"/>
          <w:sz w:val="28"/>
          <w:szCs w:val="28"/>
        </w:rPr>
      </w:pPr>
    </w:p>
    <w:p w14:paraId="662FEBF4" w14:textId="77777777" w:rsidR="00FA6893" w:rsidRDefault="00FA6893" w:rsidP="00FA6893">
      <w:pPr>
        <w:rPr>
          <w:rFonts w:ascii="Arial" w:hAnsi="Arial" w:cs="Arial"/>
          <w:sz w:val="28"/>
          <w:szCs w:val="28"/>
        </w:rPr>
      </w:pPr>
    </w:p>
    <w:p w14:paraId="6D5E01CE" w14:textId="77777777" w:rsidR="00FA6893" w:rsidRPr="00FA6893" w:rsidRDefault="00FA6893" w:rsidP="00FA6893">
      <w:pPr>
        <w:rPr>
          <w:rFonts w:ascii="Arial" w:hAnsi="Arial" w:cs="Arial"/>
          <w:sz w:val="28"/>
          <w:szCs w:val="28"/>
        </w:rPr>
      </w:pPr>
    </w:p>
    <w:p w14:paraId="581F5F2C" w14:textId="11E5037E" w:rsidR="00126D37" w:rsidRPr="00184044" w:rsidRDefault="00A76A44" w:rsidP="00126D37">
      <w:pPr>
        <w:pStyle w:val="Heading1"/>
        <w:numPr>
          <w:ilvl w:val="0"/>
          <w:numId w:val="1"/>
        </w:numPr>
        <w:rPr>
          <w:rFonts w:ascii="Arial" w:hAnsi="Arial" w:cs="Arial"/>
          <w:b/>
          <w:bCs/>
          <w:sz w:val="28"/>
          <w:szCs w:val="28"/>
        </w:rPr>
      </w:pPr>
      <w:bookmarkStart w:id="6" w:name="_Toc173850908"/>
      <w:bookmarkStart w:id="7" w:name="_Toc192110657"/>
      <w:r w:rsidRPr="00184044">
        <w:rPr>
          <w:rFonts w:ascii="Arial" w:hAnsi="Arial" w:cs="Arial"/>
          <w:b/>
          <w:bCs/>
          <w:sz w:val="28"/>
          <w:szCs w:val="28"/>
        </w:rPr>
        <w:lastRenderedPageBreak/>
        <w:t>Policy Statement</w:t>
      </w:r>
      <w:bookmarkEnd w:id="6"/>
      <w:bookmarkEnd w:id="7"/>
      <w:r w:rsidRPr="00184044">
        <w:rPr>
          <w:rFonts w:ascii="Arial" w:hAnsi="Arial" w:cs="Arial"/>
          <w:b/>
          <w:bCs/>
          <w:sz w:val="28"/>
          <w:szCs w:val="28"/>
        </w:rPr>
        <w:t xml:space="preserve"> </w:t>
      </w:r>
    </w:p>
    <w:p w14:paraId="1CDD5E9B" w14:textId="77777777" w:rsidR="00F744E1" w:rsidRPr="00F744E1" w:rsidRDefault="00F744E1" w:rsidP="00F744E1"/>
    <w:p w14:paraId="0690B870" w14:textId="14BBA90A" w:rsidR="00F744E1" w:rsidRDefault="00FA6893" w:rsidP="00CD4F0D">
      <w:pPr>
        <w:pStyle w:val="Heading2"/>
        <w:rPr>
          <w:rFonts w:ascii="Arial" w:hAnsi="Arial" w:cs="Arial"/>
          <w:b/>
          <w:bCs/>
          <w:color w:val="auto"/>
          <w:sz w:val="28"/>
          <w:szCs w:val="28"/>
          <w:u w:val="single"/>
        </w:rPr>
      </w:pPr>
      <w:bookmarkStart w:id="8" w:name="_Toc192110658"/>
      <w:r>
        <w:rPr>
          <w:rFonts w:ascii="Arial" w:hAnsi="Arial" w:cs="Arial"/>
          <w:b/>
          <w:bCs/>
          <w:color w:val="auto"/>
          <w:sz w:val="28"/>
          <w:szCs w:val="28"/>
          <w:u w:val="single"/>
        </w:rPr>
        <w:t>4</w:t>
      </w:r>
      <w:r w:rsidR="00F744E1" w:rsidRPr="00CD4F0D">
        <w:rPr>
          <w:rFonts w:ascii="Arial" w:hAnsi="Arial" w:cs="Arial"/>
          <w:b/>
          <w:bCs/>
          <w:color w:val="auto"/>
          <w:sz w:val="28"/>
          <w:szCs w:val="28"/>
          <w:u w:val="single"/>
        </w:rPr>
        <w:t xml:space="preserve">.1 </w:t>
      </w:r>
      <w:r w:rsidR="001343A8" w:rsidRPr="00CD4F0D">
        <w:rPr>
          <w:rFonts w:ascii="Arial" w:hAnsi="Arial" w:cs="Arial"/>
          <w:b/>
          <w:bCs/>
          <w:color w:val="auto"/>
          <w:sz w:val="28"/>
          <w:szCs w:val="28"/>
          <w:u w:val="single"/>
        </w:rPr>
        <w:t>Tenancy Allocation</w:t>
      </w:r>
      <w:bookmarkEnd w:id="8"/>
    </w:p>
    <w:p w14:paraId="0EA6E033" w14:textId="77777777" w:rsidR="00CD4F0D" w:rsidRPr="00CD4F0D" w:rsidRDefault="00CD4F0D" w:rsidP="00CD4F0D"/>
    <w:p w14:paraId="610C8278" w14:textId="76FC03EA" w:rsidR="00D24D36" w:rsidRPr="00D24D36" w:rsidRDefault="00FA6893" w:rsidP="00D24D36">
      <w:pPr>
        <w:rPr>
          <w:rFonts w:ascii="Arial" w:hAnsi="Arial" w:cs="Arial"/>
          <w:b/>
          <w:bCs/>
          <w:sz w:val="28"/>
          <w:szCs w:val="28"/>
        </w:rPr>
      </w:pPr>
      <w:r>
        <w:rPr>
          <w:rFonts w:ascii="Arial" w:hAnsi="Arial" w:cs="Arial"/>
          <w:b/>
          <w:bCs/>
          <w:sz w:val="28"/>
          <w:szCs w:val="28"/>
        </w:rPr>
        <w:t>4</w:t>
      </w:r>
      <w:r w:rsidR="00D24D36" w:rsidRPr="00D24D36">
        <w:rPr>
          <w:rFonts w:ascii="Arial" w:hAnsi="Arial" w:cs="Arial"/>
          <w:b/>
          <w:bCs/>
          <w:sz w:val="28"/>
          <w:szCs w:val="28"/>
        </w:rPr>
        <w:t>.1.1 Pre-tenancy</w:t>
      </w:r>
    </w:p>
    <w:p w14:paraId="67AE7D6A" w14:textId="77777777" w:rsidR="003C18A7" w:rsidRDefault="00D24D36" w:rsidP="00D24D36">
      <w:pPr>
        <w:rPr>
          <w:rFonts w:ascii="Arial" w:hAnsi="Arial" w:cs="Arial"/>
          <w:sz w:val="28"/>
          <w:szCs w:val="28"/>
        </w:rPr>
      </w:pPr>
      <w:r w:rsidRPr="00D24D36">
        <w:rPr>
          <w:rFonts w:ascii="Arial" w:hAnsi="Arial" w:cs="Arial"/>
          <w:sz w:val="28"/>
          <w:szCs w:val="28"/>
        </w:rPr>
        <w:t xml:space="preserve">When a bid for a council property is successful, the household will be invited to an offer interview. During this interview, details such as current address and household composition will be verified. Proof of Child Benefit may be required to confirm the residency of dependent children. Photographic identification for each tenant is required at this stage. </w:t>
      </w:r>
    </w:p>
    <w:p w14:paraId="6B791ECF" w14:textId="35D59346" w:rsidR="00390457" w:rsidRPr="00710908" w:rsidRDefault="00D24D36" w:rsidP="00BD7E06">
      <w:pPr>
        <w:rPr>
          <w:rFonts w:ascii="Arial" w:hAnsi="Arial" w:cs="Arial"/>
          <w:sz w:val="28"/>
          <w:szCs w:val="28"/>
        </w:rPr>
      </w:pPr>
      <w:r w:rsidRPr="00D24D36">
        <w:rPr>
          <w:rFonts w:ascii="Arial" w:hAnsi="Arial" w:cs="Arial"/>
          <w:sz w:val="28"/>
          <w:szCs w:val="28"/>
        </w:rPr>
        <w:t>An assessment will also be carried out to ensure the tenant can afford the property and identify any necessary support to sustain the tenancy.</w:t>
      </w:r>
      <w:r w:rsidR="003C18A7">
        <w:rPr>
          <w:rFonts w:ascii="Arial" w:hAnsi="Arial" w:cs="Arial"/>
          <w:sz w:val="28"/>
          <w:szCs w:val="28"/>
        </w:rPr>
        <w:t xml:space="preserve"> </w:t>
      </w:r>
      <w:r w:rsidR="00403D3F" w:rsidRPr="00710908">
        <w:rPr>
          <w:rFonts w:ascii="Arial" w:hAnsi="Arial" w:cs="Arial"/>
          <w:sz w:val="28"/>
          <w:szCs w:val="28"/>
        </w:rPr>
        <w:t xml:space="preserve">The Council reserve the right to refuse a successful bid made for one of its properties, </w:t>
      </w:r>
      <w:r w:rsidR="00BD7E06" w:rsidRPr="00710908">
        <w:rPr>
          <w:rFonts w:ascii="Arial" w:hAnsi="Arial" w:cs="Arial"/>
          <w:sz w:val="28"/>
          <w:szCs w:val="28"/>
        </w:rPr>
        <w:t>including on affordability grounds, where it is clear that the sustainability of the tenancy would be at risk based on the household’s income.</w:t>
      </w:r>
    </w:p>
    <w:p w14:paraId="498B32FA" w14:textId="77777777" w:rsidR="00DA55C2" w:rsidRPr="00DA55C2" w:rsidRDefault="00DA55C2" w:rsidP="00DA55C2">
      <w:pPr>
        <w:rPr>
          <w:rFonts w:ascii="Arial" w:hAnsi="Arial" w:cs="Arial"/>
          <w:sz w:val="28"/>
          <w:szCs w:val="28"/>
        </w:rPr>
      </w:pPr>
      <w:r w:rsidRPr="00DA55C2">
        <w:rPr>
          <w:rFonts w:ascii="Arial" w:hAnsi="Arial" w:cs="Arial"/>
          <w:sz w:val="28"/>
          <w:szCs w:val="28"/>
        </w:rPr>
        <w:t>We assess affordability by looking at:</w:t>
      </w:r>
    </w:p>
    <w:p w14:paraId="7C2F7AA8" w14:textId="77777777" w:rsidR="00DA55C2" w:rsidRPr="00710908" w:rsidRDefault="00DA55C2" w:rsidP="00DA55C2">
      <w:pPr>
        <w:pStyle w:val="ListParagraph"/>
        <w:numPr>
          <w:ilvl w:val="0"/>
          <w:numId w:val="18"/>
        </w:numPr>
        <w:rPr>
          <w:rFonts w:ascii="Arial" w:hAnsi="Arial" w:cs="Arial"/>
          <w:sz w:val="28"/>
          <w:szCs w:val="28"/>
        </w:rPr>
      </w:pPr>
      <w:r w:rsidRPr="00710908">
        <w:rPr>
          <w:rFonts w:ascii="Arial" w:hAnsi="Arial" w:cs="Arial"/>
          <w:sz w:val="28"/>
          <w:szCs w:val="28"/>
        </w:rPr>
        <w:t>Total household income (wages, benefits, etc.)</w:t>
      </w:r>
    </w:p>
    <w:p w14:paraId="44817711" w14:textId="77777777" w:rsidR="00DA55C2" w:rsidRPr="00710908" w:rsidRDefault="00DA55C2" w:rsidP="00DA55C2">
      <w:pPr>
        <w:pStyle w:val="ListParagraph"/>
        <w:numPr>
          <w:ilvl w:val="0"/>
          <w:numId w:val="18"/>
        </w:numPr>
        <w:rPr>
          <w:rFonts w:ascii="Arial" w:hAnsi="Arial" w:cs="Arial"/>
          <w:sz w:val="28"/>
          <w:szCs w:val="28"/>
        </w:rPr>
      </w:pPr>
      <w:r w:rsidRPr="00710908">
        <w:rPr>
          <w:rFonts w:ascii="Arial" w:hAnsi="Arial" w:cs="Arial"/>
          <w:sz w:val="28"/>
          <w:szCs w:val="28"/>
        </w:rPr>
        <w:t>Expected rent, service charges, and basic living costs</w:t>
      </w:r>
    </w:p>
    <w:p w14:paraId="35C1A0B7" w14:textId="77777777" w:rsidR="00DA55C2" w:rsidRPr="00710908" w:rsidRDefault="00DA55C2" w:rsidP="00DA55C2">
      <w:pPr>
        <w:pStyle w:val="ListParagraph"/>
        <w:numPr>
          <w:ilvl w:val="0"/>
          <w:numId w:val="18"/>
        </w:numPr>
        <w:rPr>
          <w:rFonts w:ascii="Arial" w:hAnsi="Arial" w:cs="Arial"/>
          <w:sz w:val="28"/>
          <w:szCs w:val="28"/>
        </w:rPr>
      </w:pPr>
      <w:r w:rsidRPr="00710908">
        <w:rPr>
          <w:rFonts w:ascii="Arial" w:hAnsi="Arial" w:cs="Arial"/>
          <w:sz w:val="28"/>
          <w:szCs w:val="28"/>
        </w:rPr>
        <w:t>Existing financial commitments</w:t>
      </w:r>
    </w:p>
    <w:p w14:paraId="3029227D" w14:textId="097AB748" w:rsidR="003C18A7" w:rsidRPr="00513443" w:rsidRDefault="00DA55C2" w:rsidP="00BD7E06">
      <w:pPr>
        <w:rPr>
          <w:rFonts w:ascii="Arial" w:hAnsi="Arial" w:cs="Arial"/>
          <w:sz w:val="28"/>
          <w:szCs w:val="28"/>
        </w:rPr>
      </w:pPr>
      <w:r w:rsidRPr="00DA55C2">
        <w:rPr>
          <w:rFonts w:ascii="Arial" w:hAnsi="Arial" w:cs="Arial"/>
          <w:sz w:val="28"/>
          <w:szCs w:val="28"/>
        </w:rPr>
        <w:t>Applicants may be asked to provide evidence such as payslips, benefit letters, or bank statements.</w:t>
      </w:r>
    </w:p>
    <w:p w14:paraId="78390A48" w14:textId="55D2E99A" w:rsidR="00D24D36" w:rsidRPr="00D24D36" w:rsidRDefault="00FA6893" w:rsidP="00D24D36">
      <w:pPr>
        <w:rPr>
          <w:rFonts w:ascii="Arial" w:hAnsi="Arial" w:cs="Arial"/>
          <w:b/>
          <w:bCs/>
          <w:sz w:val="28"/>
          <w:szCs w:val="28"/>
        </w:rPr>
      </w:pPr>
      <w:r>
        <w:rPr>
          <w:rFonts w:ascii="Arial" w:hAnsi="Arial" w:cs="Arial"/>
          <w:b/>
          <w:bCs/>
          <w:sz w:val="28"/>
          <w:szCs w:val="28"/>
        </w:rPr>
        <w:t>4</w:t>
      </w:r>
      <w:r w:rsidR="00D24D36" w:rsidRPr="00D24D36">
        <w:rPr>
          <w:rFonts w:ascii="Arial" w:hAnsi="Arial" w:cs="Arial"/>
          <w:b/>
          <w:bCs/>
          <w:sz w:val="28"/>
          <w:szCs w:val="28"/>
        </w:rPr>
        <w:t>.1.2 Tenancy Types</w:t>
      </w:r>
    </w:p>
    <w:p w14:paraId="3F4C71C1" w14:textId="77777777" w:rsidR="00D24D36" w:rsidRPr="00D24D36" w:rsidRDefault="00D24D36" w:rsidP="00D24D36">
      <w:pPr>
        <w:rPr>
          <w:rFonts w:ascii="Arial" w:hAnsi="Arial" w:cs="Arial"/>
          <w:sz w:val="28"/>
          <w:szCs w:val="28"/>
        </w:rPr>
      </w:pPr>
      <w:r w:rsidRPr="00D24D36">
        <w:rPr>
          <w:rFonts w:ascii="Arial" w:hAnsi="Arial" w:cs="Arial"/>
          <w:sz w:val="28"/>
          <w:szCs w:val="28"/>
        </w:rPr>
        <w:t>The council aims to offer the most secure tenancy suitable for the accommodation and household needs.</w:t>
      </w:r>
    </w:p>
    <w:p w14:paraId="72B4CDDB" w14:textId="77777777" w:rsidR="00D24D36" w:rsidRPr="00CD4F0D" w:rsidRDefault="00D24D36" w:rsidP="00CD4F0D">
      <w:pPr>
        <w:pStyle w:val="ListParagraph"/>
        <w:numPr>
          <w:ilvl w:val="0"/>
          <w:numId w:val="9"/>
        </w:numPr>
        <w:rPr>
          <w:rFonts w:ascii="Arial" w:hAnsi="Arial" w:cs="Arial"/>
          <w:sz w:val="28"/>
          <w:szCs w:val="28"/>
        </w:rPr>
      </w:pPr>
      <w:r w:rsidRPr="00CD4F0D">
        <w:rPr>
          <w:rFonts w:ascii="Arial" w:hAnsi="Arial" w:cs="Arial"/>
          <w:b/>
          <w:bCs/>
          <w:sz w:val="28"/>
          <w:szCs w:val="28"/>
        </w:rPr>
        <w:t>Introductory Tenancies:</w:t>
      </w:r>
      <w:r w:rsidRPr="00CD4F0D">
        <w:rPr>
          <w:rFonts w:ascii="Arial" w:hAnsi="Arial" w:cs="Arial"/>
          <w:sz w:val="28"/>
          <w:szCs w:val="28"/>
        </w:rPr>
        <w:t xml:space="preserve"> All new tenants are given a 12-month introductory tenancy, except for those transferring from another council property or housing association, who retain their secure tenancy status. During this period, tenants have fewer rights, such as no right to buy, sublet, or exchange the property. If the tenancy is unsuccessful, the council may serve a notice to terminate or extend the tenancy.</w:t>
      </w:r>
    </w:p>
    <w:p w14:paraId="1D4A351C" w14:textId="77777777" w:rsidR="00D24D36" w:rsidRPr="00CD4F0D" w:rsidRDefault="00D24D36" w:rsidP="00CD4F0D">
      <w:pPr>
        <w:pStyle w:val="ListParagraph"/>
        <w:numPr>
          <w:ilvl w:val="0"/>
          <w:numId w:val="9"/>
        </w:numPr>
        <w:rPr>
          <w:rFonts w:ascii="Arial" w:hAnsi="Arial" w:cs="Arial"/>
          <w:sz w:val="28"/>
          <w:szCs w:val="28"/>
        </w:rPr>
      </w:pPr>
      <w:r w:rsidRPr="00CD4F0D">
        <w:rPr>
          <w:rFonts w:ascii="Arial" w:hAnsi="Arial" w:cs="Arial"/>
          <w:b/>
          <w:bCs/>
          <w:sz w:val="28"/>
          <w:szCs w:val="28"/>
        </w:rPr>
        <w:t>Secure Tenancies:</w:t>
      </w:r>
      <w:r w:rsidRPr="00CD4F0D">
        <w:rPr>
          <w:rFonts w:ascii="Arial" w:hAnsi="Arial" w:cs="Arial"/>
          <w:sz w:val="28"/>
          <w:szCs w:val="28"/>
        </w:rPr>
        <w:t xml:space="preserve"> After successfully completing the introductory period, tenants are granted a secure tenancy. Tenants can remain </w:t>
      </w:r>
      <w:r w:rsidRPr="00CD4F0D">
        <w:rPr>
          <w:rFonts w:ascii="Arial" w:hAnsi="Arial" w:cs="Arial"/>
          <w:sz w:val="28"/>
          <w:szCs w:val="28"/>
        </w:rPr>
        <w:lastRenderedPageBreak/>
        <w:t>indefinitely unless there are legal grounds for repossession (e.g., rent arrears, antisocial behaviour, or fraud).</w:t>
      </w:r>
    </w:p>
    <w:p w14:paraId="42E43209" w14:textId="77777777" w:rsidR="00D24D36" w:rsidRPr="00CD4F0D" w:rsidRDefault="00D24D36" w:rsidP="00CD4F0D">
      <w:pPr>
        <w:pStyle w:val="ListParagraph"/>
        <w:numPr>
          <w:ilvl w:val="0"/>
          <w:numId w:val="9"/>
        </w:numPr>
        <w:rPr>
          <w:rFonts w:ascii="Arial" w:hAnsi="Arial" w:cs="Arial"/>
          <w:sz w:val="28"/>
          <w:szCs w:val="28"/>
        </w:rPr>
      </w:pPr>
      <w:r w:rsidRPr="00CD4F0D">
        <w:rPr>
          <w:rFonts w:ascii="Arial" w:hAnsi="Arial" w:cs="Arial"/>
          <w:b/>
          <w:bCs/>
          <w:sz w:val="28"/>
          <w:szCs w:val="28"/>
        </w:rPr>
        <w:t>Demoted Tenancies:</w:t>
      </w:r>
      <w:r w:rsidRPr="00CD4F0D">
        <w:rPr>
          <w:rFonts w:ascii="Arial" w:hAnsi="Arial" w:cs="Arial"/>
          <w:sz w:val="28"/>
          <w:szCs w:val="28"/>
        </w:rPr>
        <w:t xml:space="preserve"> If a secure tenant engages in antisocial behaviour, their tenancy may be demoted to a 12-month trial period with fewer rights. If no action is taken after 12 months, the tenancy is automatically promoted to a secure tenancy.</w:t>
      </w:r>
    </w:p>
    <w:p w14:paraId="47606C52" w14:textId="77777777" w:rsidR="00D24D36" w:rsidRPr="00CD4F0D" w:rsidRDefault="00D24D36" w:rsidP="00CD4F0D">
      <w:pPr>
        <w:pStyle w:val="ListParagraph"/>
        <w:numPr>
          <w:ilvl w:val="0"/>
          <w:numId w:val="9"/>
        </w:numPr>
        <w:rPr>
          <w:rFonts w:ascii="Arial" w:hAnsi="Arial" w:cs="Arial"/>
          <w:sz w:val="28"/>
          <w:szCs w:val="28"/>
        </w:rPr>
      </w:pPr>
      <w:r w:rsidRPr="00CD4F0D">
        <w:rPr>
          <w:rFonts w:ascii="Arial" w:hAnsi="Arial" w:cs="Arial"/>
          <w:b/>
          <w:bCs/>
          <w:sz w:val="28"/>
          <w:szCs w:val="28"/>
        </w:rPr>
        <w:t>Non-secure Tenancies:</w:t>
      </w:r>
      <w:r w:rsidRPr="00CD4F0D">
        <w:rPr>
          <w:rFonts w:ascii="Arial" w:hAnsi="Arial" w:cs="Arial"/>
          <w:sz w:val="28"/>
          <w:szCs w:val="28"/>
        </w:rPr>
        <w:t xml:space="preserve"> In exceptional cases (e.g., short-term accommodation for homelessness), a non-secure tenancy may be granted, offering even fewer rights.</w:t>
      </w:r>
    </w:p>
    <w:p w14:paraId="59285297" w14:textId="77777777" w:rsidR="00D24D36" w:rsidRPr="00CD4F0D" w:rsidRDefault="00D24D36" w:rsidP="00CD4F0D">
      <w:pPr>
        <w:pStyle w:val="ListParagraph"/>
        <w:numPr>
          <w:ilvl w:val="0"/>
          <w:numId w:val="9"/>
        </w:numPr>
        <w:rPr>
          <w:rFonts w:ascii="Arial" w:hAnsi="Arial" w:cs="Arial"/>
          <w:sz w:val="28"/>
          <w:szCs w:val="28"/>
        </w:rPr>
      </w:pPr>
      <w:r w:rsidRPr="00CD4F0D">
        <w:rPr>
          <w:rFonts w:ascii="Arial" w:hAnsi="Arial" w:cs="Arial"/>
          <w:b/>
          <w:bCs/>
          <w:sz w:val="28"/>
          <w:szCs w:val="28"/>
        </w:rPr>
        <w:t>Joint Tenancies:</w:t>
      </w:r>
      <w:r w:rsidRPr="00CD4F0D">
        <w:rPr>
          <w:rFonts w:ascii="Arial" w:hAnsi="Arial" w:cs="Arial"/>
          <w:sz w:val="28"/>
          <w:szCs w:val="28"/>
        </w:rPr>
        <w:t xml:space="preserve"> A joint tenancy is granted when two or more people sign the tenancy agreement. Both are equally responsible for the tenancy. Joint tenancies can be offered when both tenants meet legal requirements (e.g., cohabitation for 12 months, or children in the household).</w:t>
      </w:r>
    </w:p>
    <w:p w14:paraId="0412B162" w14:textId="554F33C7" w:rsidR="00CD4F0D" w:rsidRPr="003C18A7" w:rsidRDefault="00D24D36" w:rsidP="003C18A7">
      <w:pPr>
        <w:pStyle w:val="ListParagraph"/>
        <w:numPr>
          <w:ilvl w:val="0"/>
          <w:numId w:val="9"/>
        </w:numPr>
        <w:rPr>
          <w:rFonts w:ascii="Arial" w:hAnsi="Arial" w:cs="Arial"/>
          <w:sz w:val="28"/>
          <w:szCs w:val="28"/>
        </w:rPr>
      </w:pPr>
      <w:r w:rsidRPr="00CD4F0D">
        <w:rPr>
          <w:rFonts w:ascii="Arial" w:hAnsi="Arial" w:cs="Arial"/>
          <w:b/>
          <w:bCs/>
          <w:sz w:val="28"/>
          <w:szCs w:val="28"/>
        </w:rPr>
        <w:t>Flexible Tenancies:</w:t>
      </w:r>
      <w:r w:rsidRPr="00CD4F0D">
        <w:rPr>
          <w:rFonts w:ascii="Arial" w:hAnsi="Arial" w:cs="Arial"/>
          <w:sz w:val="28"/>
          <w:szCs w:val="28"/>
        </w:rPr>
        <w:t xml:space="preserve"> </w:t>
      </w:r>
      <w:r w:rsidR="005F7F52" w:rsidRPr="005F7F52">
        <w:rPr>
          <w:rFonts w:ascii="Arial" w:hAnsi="Arial" w:cs="Arial"/>
          <w:sz w:val="28"/>
          <w:szCs w:val="28"/>
        </w:rPr>
        <w:t xml:space="preserve">The council does not </w:t>
      </w:r>
      <w:r w:rsidR="005F7F52">
        <w:rPr>
          <w:rFonts w:ascii="Arial" w:hAnsi="Arial" w:cs="Arial"/>
          <w:sz w:val="28"/>
          <w:szCs w:val="28"/>
        </w:rPr>
        <w:t>offer</w:t>
      </w:r>
      <w:r w:rsidR="005F7F52" w:rsidRPr="005F7F52">
        <w:rPr>
          <w:rFonts w:ascii="Arial" w:hAnsi="Arial" w:cs="Arial"/>
          <w:sz w:val="28"/>
          <w:szCs w:val="28"/>
        </w:rPr>
        <w:t xml:space="preserve"> flexible tenancies under the Localism Act 2011. However, in exceptional cases and/or as part of a Local Lettings Plan, fixed-term tenancies of no less than five years may be offered.</w:t>
      </w:r>
    </w:p>
    <w:p w14:paraId="2F64864F" w14:textId="402E6AB6" w:rsidR="00D24D36" w:rsidRPr="00D24D36" w:rsidRDefault="00FA6893" w:rsidP="00D24D36">
      <w:pPr>
        <w:rPr>
          <w:rFonts w:ascii="Arial" w:hAnsi="Arial" w:cs="Arial"/>
          <w:b/>
          <w:bCs/>
          <w:sz w:val="28"/>
          <w:szCs w:val="28"/>
        </w:rPr>
      </w:pPr>
      <w:r>
        <w:rPr>
          <w:rFonts w:ascii="Arial" w:hAnsi="Arial" w:cs="Arial"/>
          <w:b/>
          <w:bCs/>
          <w:sz w:val="28"/>
          <w:szCs w:val="28"/>
        </w:rPr>
        <w:t>4</w:t>
      </w:r>
      <w:r w:rsidR="00D24D36" w:rsidRPr="00D24D36">
        <w:rPr>
          <w:rFonts w:ascii="Arial" w:hAnsi="Arial" w:cs="Arial"/>
          <w:b/>
          <w:bCs/>
          <w:sz w:val="28"/>
          <w:szCs w:val="28"/>
        </w:rPr>
        <w:t>.1.3 Length of Tenancy</w:t>
      </w:r>
    </w:p>
    <w:p w14:paraId="3E815E8A" w14:textId="77777777" w:rsidR="00D24D36" w:rsidRPr="00D24D36" w:rsidRDefault="00D24D36" w:rsidP="00D24D36">
      <w:pPr>
        <w:rPr>
          <w:rFonts w:ascii="Arial" w:hAnsi="Arial" w:cs="Arial"/>
          <w:sz w:val="28"/>
          <w:szCs w:val="28"/>
        </w:rPr>
      </w:pPr>
      <w:r w:rsidRPr="00D24D36">
        <w:rPr>
          <w:rFonts w:ascii="Arial" w:hAnsi="Arial" w:cs="Arial"/>
          <w:sz w:val="28"/>
          <w:szCs w:val="28"/>
        </w:rPr>
        <w:t>Tenancies are usually indefinite, except when a flexible tenancy is granted. Tenancies are weekly agreements, starting from the date of the original sign-up. They can be ended by the tenant (notice to quit), the council (court order), or mutual agreement. The tenancy may be terminated if conditions are breached or upon the tenant’s death.</w:t>
      </w:r>
    </w:p>
    <w:p w14:paraId="0414A5CF" w14:textId="2CD85CC1" w:rsidR="00D24D36" w:rsidRPr="00D24D36" w:rsidRDefault="00FA6893" w:rsidP="00D24D36">
      <w:pPr>
        <w:rPr>
          <w:rFonts w:ascii="Arial" w:hAnsi="Arial" w:cs="Arial"/>
          <w:b/>
          <w:bCs/>
          <w:sz w:val="28"/>
          <w:szCs w:val="28"/>
        </w:rPr>
      </w:pPr>
      <w:r>
        <w:rPr>
          <w:rFonts w:ascii="Arial" w:hAnsi="Arial" w:cs="Arial"/>
          <w:b/>
          <w:bCs/>
          <w:sz w:val="28"/>
          <w:szCs w:val="28"/>
        </w:rPr>
        <w:t>4</w:t>
      </w:r>
      <w:r w:rsidR="00D24D36" w:rsidRPr="00D24D36">
        <w:rPr>
          <w:rFonts w:ascii="Arial" w:hAnsi="Arial" w:cs="Arial"/>
          <w:b/>
          <w:bCs/>
          <w:sz w:val="28"/>
          <w:szCs w:val="28"/>
        </w:rPr>
        <w:t>.1.4 Mutual Exchanges</w:t>
      </w:r>
    </w:p>
    <w:p w14:paraId="2729A93A" w14:textId="478407CE" w:rsidR="00D24D36" w:rsidRPr="00D24D36" w:rsidRDefault="005F7F52" w:rsidP="00D24D36">
      <w:pPr>
        <w:rPr>
          <w:rFonts w:ascii="Arial" w:hAnsi="Arial" w:cs="Arial"/>
          <w:sz w:val="28"/>
          <w:szCs w:val="28"/>
        </w:rPr>
      </w:pPr>
      <w:r w:rsidRPr="005F7F52">
        <w:rPr>
          <w:rFonts w:ascii="Arial" w:hAnsi="Arial" w:cs="Arial"/>
          <w:sz w:val="28"/>
          <w:szCs w:val="28"/>
        </w:rPr>
        <w:t xml:space="preserve">Secure tenants have the right to </w:t>
      </w:r>
      <w:r>
        <w:rPr>
          <w:rFonts w:ascii="Arial" w:hAnsi="Arial" w:cs="Arial"/>
          <w:sz w:val="28"/>
          <w:szCs w:val="28"/>
        </w:rPr>
        <w:t>swap</w:t>
      </w:r>
      <w:r w:rsidRPr="005F7F52">
        <w:rPr>
          <w:rFonts w:ascii="Arial" w:hAnsi="Arial" w:cs="Arial"/>
          <w:sz w:val="28"/>
          <w:szCs w:val="28"/>
        </w:rPr>
        <w:t xml:space="preserve"> homes with another secure tenant, including those in housing association properties</w:t>
      </w:r>
      <w:r w:rsidR="00D24D36" w:rsidRPr="00D24D36">
        <w:rPr>
          <w:rFonts w:ascii="Arial" w:hAnsi="Arial" w:cs="Arial"/>
          <w:sz w:val="28"/>
          <w:szCs w:val="28"/>
        </w:rPr>
        <w:t>. Written permission from the council is required before any exchange. If the exchange happens without permission, the council may take legal action to evict the tenant.</w:t>
      </w:r>
    </w:p>
    <w:p w14:paraId="044DE44D" w14:textId="3FF86B60" w:rsidR="00D24D36" w:rsidRPr="00D24D36" w:rsidRDefault="00FA6893" w:rsidP="00D24D36">
      <w:pPr>
        <w:rPr>
          <w:rFonts w:ascii="Arial" w:hAnsi="Arial" w:cs="Arial"/>
          <w:b/>
          <w:bCs/>
          <w:sz w:val="28"/>
          <w:szCs w:val="28"/>
        </w:rPr>
      </w:pPr>
      <w:r>
        <w:rPr>
          <w:rFonts w:ascii="Arial" w:hAnsi="Arial" w:cs="Arial"/>
          <w:b/>
          <w:bCs/>
          <w:sz w:val="28"/>
          <w:szCs w:val="28"/>
        </w:rPr>
        <w:t>4</w:t>
      </w:r>
      <w:r w:rsidR="00D24D36" w:rsidRPr="00D24D36">
        <w:rPr>
          <w:rFonts w:ascii="Arial" w:hAnsi="Arial" w:cs="Arial"/>
          <w:b/>
          <w:bCs/>
          <w:sz w:val="28"/>
          <w:szCs w:val="28"/>
        </w:rPr>
        <w:t>.1.5 Succession Rights</w:t>
      </w:r>
    </w:p>
    <w:p w14:paraId="3B3C035D" w14:textId="77777777" w:rsidR="00D24D36" w:rsidRDefault="00D24D36" w:rsidP="00D24D36">
      <w:pPr>
        <w:rPr>
          <w:rFonts w:ascii="Arial" w:hAnsi="Arial" w:cs="Arial"/>
          <w:sz w:val="28"/>
          <w:szCs w:val="28"/>
        </w:rPr>
      </w:pPr>
      <w:r w:rsidRPr="00D24D36">
        <w:rPr>
          <w:rFonts w:ascii="Arial" w:hAnsi="Arial" w:cs="Arial"/>
          <w:sz w:val="28"/>
          <w:szCs w:val="28"/>
        </w:rPr>
        <w:t>Succession rights allow a tenant’s partner or family member to inherit their tenancy in certain circumstances, such as the tenant’s death. However, only one statutory succession is permitted, and in some cases, a non-statutory succession may be granted.</w:t>
      </w:r>
    </w:p>
    <w:p w14:paraId="5071CB34" w14:textId="77777777" w:rsidR="003C18A7" w:rsidRPr="00D24D36" w:rsidRDefault="003C18A7" w:rsidP="00D24D36">
      <w:pPr>
        <w:rPr>
          <w:rFonts w:ascii="Arial" w:hAnsi="Arial" w:cs="Arial"/>
          <w:sz w:val="28"/>
          <w:szCs w:val="28"/>
        </w:rPr>
      </w:pPr>
    </w:p>
    <w:p w14:paraId="0859D2C4" w14:textId="76B7D95D" w:rsidR="00D24D36" w:rsidRPr="00D24D36" w:rsidRDefault="00FA6893" w:rsidP="00D24D36">
      <w:pPr>
        <w:rPr>
          <w:rFonts w:ascii="Arial" w:hAnsi="Arial" w:cs="Arial"/>
          <w:b/>
          <w:bCs/>
          <w:sz w:val="28"/>
          <w:szCs w:val="28"/>
        </w:rPr>
      </w:pPr>
      <w:r>
        <w:rPr>
          <w:rFonts w:ascii="Arial" w:hAnsi="Arial" w:cs="Arial"/>
          <w:b/>
          <w:bCs/>
          <w:sz w:val="28"/>
          <w:szCs w:val="28"/>
        </w:rPr>
        <w:lastRenderedPageBreak/>
        <w:t>4</w:t>
      </w:r>
      <w:r w:rsidR="00D24D36" w:rsidRPr="00D24D36">
        <w:rPr>
          <w:rFonts w:ascii="Arial" w:hAnsi="Arial" w:cs="Arial"/>
          <w:b/>
          <w:bCs/>
          <w:sz w:val="28"/>
          <w:szCs w:val="28"/>
        </w:rPr>
        <w:t>.1.6 Affordable Rents</w:t>
      </w:r>
    </w:p>
    <w:p w14:paraId="78F763B8" w14:textId="77777777" w:rsidR="00D24D36" w:rsidRPr="00D24D36" w:rsidRDefault="00D24D36" w:rsidP="00D24D36">
      <w:pPr>
        <w:rPr>
          <w:rFonts w:ascii="Arial" w:hAnsi="Arial" w:cs="Arial"/>
          <w:sz w:val="28"/>
          <w:szCs w:val="28"/>
        </w:rPr>
      </w:pPr>
      <w:r w:rsidRPr="00D24D36">
        <w:rPr>
          <w:rFonts w:ascii="Arial" w:hAnsi="Arial" w:cs="Arial"/>
          <w:sz w:val="28"/>
          <w:szCs w:val="28"/>
        </w:rPr>
        <w:t>Affordable Rents are set at up to 80% of the local private rental market rate. The council will assess whether an Affordable Rent is a sustainable option for tenants and will offer support where affordability is a concern.</w:t>
      </w:r>
    </w:p>
    <w:p w14:paraId="45B984BA" w14:textId="4971AD59" w:rsidR="00D24D36" w:rsidRPr="00D24D36" w:rsidRDefault="00FA6893" w:rsidP="00D24D36">
      <w:pPr>
        <w:rPr>
          <w:rFonts w:ascii="Arial" w:hAnsi="Arial" w:cs="Arial"/>
          <w:b/>
          <w:bCs/>
          <w:sz w:val="28"/>
          <w:szCs w:val="28"/>
        </w:rPr>
      </w:pPr>
      <w:r>
        <w:rPr>
          <w:rFonts w:ascii="Arial" w:hAnsi="Arial" w:cs="Arial"/>
          <w:b/>
          <w:bCs/>
          <w:sz w:val="28"/>
          <w:szCs w:val="28"/>
        </w:rPr>
        <w:t>4</w:t>
      </w:r>
      <w:r w:rsidR="00D24D36" w:rsidRPr="00D24D36">
        <w:rPr>
          <w:rFonts w:ascii="Arial" w:hAnsi="Arial" w:cs="Arial"/>
          <w:b/>
          <w:bCs/>
          <w:sz w:val="28"/>
          <w:szCs w:val="28"/>
        </w:rPr>
        <w:t>.1.7 Tenancy Fraud</w:t>
      </w:r>
    </w:p>
    <w:p w14:paraId="79E054C3" w14:textId="35C6C0EB" w:rsidR="00FA6893" w:rsidRDefault="00FA0F18" w:rsidP="00F744E1">
      <w:pPr>
        <w:rPr>
          <w:rFonts w:ascii="Arial" w:hAnsi="Arial" w:cs="Arial"/>
          <w:sz w:val="28"/>
          <w:szCs w:val="28"/>
        </w:rPr>
      </w:pPr>
      <w:r>
        <w:rPr>
          <w:rFonts w:ascii="Arial" w:hAnsi="Arial" w:cs="Arial"/>
          <w:sz w:val="28"/>
          <w:szCs w:val="28"/>
        </w:rPr>
        <w:t>Sandwell C</w:t>
      </w:r>
      <w:r w:rsidR="00D24D36" w:rsidRPr="00D24D36">
        <w:rPr>
          <w:rFonts w:ascii="Arial" w:hAnsi="Arial" w:cs="Arial"/>
          <w:sz w:val="28"/>
          <w:szCs w:val="28"/>
        </w:rPr>
        <w:t xml:space="preserve">ouncil will take action against tenants committing tenancy fraud, including subletting without permission. </w:t>
      </w:r>
      <w:r>
        <w:rPr>
          <w:rFonts w:ascii="Arial" w:hAnsi="Arial" w:cs="Arial"/>
          <w:sz w:val="28"/>
          <w:szCs w:val="28"/>
        </w:rPr>
        <w:t>The Council</w:t>
      </w:r>
      <w:r w:rsidR="00D24D36" w:rsidRPr="00D24D36">
        <w:rPr>
          <w:rFonts w:ascii="Arial" w:hAnsi="Arial" w:cs="Arial"/>
          <w:sz w:val="28"/>
          <w:szCs w:val="28"/>
        </w:rPr>
        <w:t xml:space="preserve"> will work with external agencies to tackle fraud and may publicise cases to deter fraudulent activity. The council’s aim is to ensure that housing stock is only occupied by those with a legal right to reside.</w:t>
      </w:r>
    </w:p>
    <w:p w14:paraId="2129EC60" w14:textId="77777777" w:rsidR="00FA6893" w:rsidRPr="00FA6893" w:rsidRDefault="00FA6893" w:rsidP="00F744E1">
      <w:pPr>
        <w:rPr>
          <w:rFonts w:ascii="Arial" w:hAnsi="Arial" w:cs="Arial"/>
          <w:sz w:val="28"/>
          <w:szCs w:val="28"/>
        </w:rPr>
      </w:pPr>
    </w:p>
    <w:p w14:paraId="7FDCBDC4" w14:textId="20859592" w:rsidR="000A400A" w:rsidRDefault="00FA6893" w:rsidP="00FA6893">
      <w:pPr>
        <w:pStyle w:val="Heading1"/>
        <w:rPr>
          <w:rFonts w:ascii="Arial" w:hAnsi="Arial" w:cs="Arial"/>
          <w:b/>
          <w:bCs/>
          <w:color w:val="auto"/>
          <w:sz w:val="28"/>
          <w:szCs w:val="28"/>
          <w:u w:val="single"/>
        </w:rPr>
      </w:pPr>
      <w:bookmarkStart w:id="9" w:name="_Toc192110659"/>
      <w:r w:rsidRPr="00FA6893">
        <w:rPr>
          <w:rFonts w:ascii="Arial" w:hAnsi="Arial" w:cs="Arial"/>
          <w:b/>
          <w:bCs/>
          <w:color w:val="auto"/>
          <w:sz w:val="28"/>
          <w:szCs w:val="28"/>
          <w:u w:val="single"/>
        </w:rPr>
        <w:t>4</w:t>
      </w:r>
      <w:r w:rsidR="000A400A" w:rsidRPr="00FA6893">
        <w:rPr>
          <w:rFonts w:ascii="Arial" w:hAnsi="Arial" w:cs="Arial"/>
          <w:b/>
          <w:bCs/>
          <w:color w:val="auto"/>
          <w:sz w:val="28"/>
          <w:szCs w:val="28"/>
          <w:u w:val="single"/>
        </w:rPr>
        <w:t xml:space="preserve">.2 </w:t>
      </w:r>
      <w:r w:rsidR="00CA1A45" w:rsidRPr="00FA6893">
        <w:rPr>
          <w:rFonts w:ascii="Arial" w:hAnsi="Arial" w:cs="Arial"/>
          <w:b/>
          <w:bCs/>
          <w:color w:val="auto"/>
          <w:sz w:val="28"/>
          <w:szCs w:val="28"/>
          <w:u w:val="single"/>
        </w:rPr>
        <w:t>Supporting Tenants to Sustain Tenancies</w:t>
      </w:r>
      <w:bookmarkEnd w:id="9"/>
    </w:p>
    <w:p w14:paraId="5D0FB66B" w14:textId="77777777" w:rsidR="00FA6893" w:rsidRPr="00FA6893" w:rsidRDefault="00FA6893" w:rsidP="00FA6893"/>
    <w:p w14:paraId="4FC4196A" w14:textId="178BF465" w:rsidR="00E27FB9" w:rsidRPr="00CD4F0D" w:rsidRDefault="00FA6893" w:rsidP="000A400A">
      <w:pPr>
        <w:pStyle w:val="Heading3"/>
        <w:rPr>
          <w:rFonts w:ascii="Arial" w:hAnsi="Arial" w:cs="Arial"/>
          <w:b/>
          <w:bCs/>
          <w:color w:val="auto"/>
          <w:sz w:val="28"/>
          <w:szCs w:val="28"/>
        </w:rPr>
      </w:pPr>
      <w:bookmarkStart w:id="10" w:name="_Toc192110660"/>
      <w:r>
        <w:rPr>
          <w:rFonts w:ascii="Arial" w:hAnsi="Arial" w:cs="Arial"/>
          <w:b/>
          <w:bCs/>
          <w:color w:val="auto"/>
          <w:sz w:val="28"/>
          <w:szCs w:val="28"/>
        </w:rPr>
        <w:t>4</w:t>
      </w:r>
      <w:r w:rsidR="00E27FB9" w:rsidRPr="00CD4F0D">
        <w:rPr>
          <w:rFonts w:ascii="Arial" w:hAnsi="Arial" w:cs="Arial"/>
          <w:b/>
          <w:bCs/>
          <w:color w:val="auto"/>
          <w:sz w:val="28"/>
          <w:szCs w:val="28"/>
        </w:rPr>
        <w:t>.2.1 Partnership working:</w:t>
      </w:r>
      <w:bookmarkEnd w:id="10"/>
    </w:p>
    <w:p w14:paraId="343F0ACA" w14:textId="77777777" w:rsidR="00CD4F0D" w:rsidRDefault="00CD4F0D" w:rsidP="00CD4F0D">
      <w:pPr>
        <w:rPr>
          <w:rFonts w:ascii="Arial" w:hAnsi="Arial" w:cs="Arial"/>
          <w:sz w:val="28"/>
          <w:szCs w:val="28"/>
        </w:rPr>
      </w:pPr>
      <w:r w:rsidRPr="00CD4F0D">
        <w:rPr>
          <w:rFonts w:ascii="Arial" w:hAnsi="Arial" w:cs="Arial"/>
          <w:sz w:val="28"/>
          <w:szCs w:val="28"/>
        </w:rPr>
        <w:t xml:space="preserve">Sandwell Council recognises the importance of working in partnership to </w:t>
      </w:r>
      <w:r w:rsidRPr="00155702">
        <w:rPr>
          <w:rFonts w:ascii="Arial" w:hAnsi="Arial" w:cs="Arial"/>
          <w:sz w:val="28"/>
          <w:szCs w:val="28"/>
        </w:rPr>
        <w:t>help tenants sustain their tenancies. The council collaborates with external agencies such as West Midlands Police, the Department for Work and Pensions (DWP), social care workers, GPs, mental health professionals, and charities to provide comprehensive support to vulnerable tenants. Additionally, the council works with organisations to offer specific housing advice, including:</w:t>
      </w:r>
    </w:p>
    <w:p w14:paraId="46C78793" w14:textId="0708F00D"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Age UK Sandwell Advice Centre</w:t>
      </w:r>
    </w:p>
    <w:p w14:paraId="6FA8FFDF" w14:textId="4EA9E918"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Boscobel &amp; Cotterills Farm Tenant Management Organisations</w:t>
      </w:r>
    </w:p>
    <w:p w14:paraId="416CF650" w14:textId="6572F6C6"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Citizens Advice Sandwell</w:t>
      </w:r>
    </w:p>
    <w:p w14:paraId="0C322EE9" w14:textId="6D9E88AD"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Adult Social Care &amp; Sandwell Children’s Trust</w:t>
      </w:r>
    </w:p>
    <w:p w14:paraId="7C3E5DEF" w14:textId="73E1DA7B"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Floating Support</w:t>
      </w:r>
    </w:p>
    <w:p w14:paraId="7FA689FD" w14:textId="0DF44D6A"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Cranstoun (Drug/Alcohol Support)</w:t>
      </w:r>
    </w:p>
    <w:p w14:paraId="3308ABF7" w14:textId="04483D32"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Sandwell Advice Network (Debt, Benefits, Housing, Immigration)</w:t>
      </w:r>
    </w:p>
    <w:p w14:paraId="6EBA02B6" w14:textId="7F3818FE"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Brushstrokes (Asylum Seekers &amp; Housing Support)</w:t>
      </w:r>
    </w:p>
    <w:p w14:paraId="7106F41A" w14:textId="01350F9F"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Think Sandwell &amp; Sandwell Consortium (Employment Support)</w:t>
      </w:r>
    </w:p>
    <w:p w14:paraId="32CF908B" w14:textId="026A9BFA"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Confederation of Bangladeshi Organisations (Skills &amp; Employment)</w:t>
      </w:r>
    </w:p>
    <w:p w14:paraId="5FE8EB27" w14:textId="5C39657A"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Sandwell Women’s Aid</w:t>
      </w:r>
    </w:p>
    <w:p w14:paraId="05921C06" w14:textId="029931F3"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Illegal Money Lending Team (Loan Sharks)</w:t>
      </w:r>
    </w:p>
    <w:p w14:paraId="5149D863" w14:textId="2CEC0C18"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Strengthening Families &amp; Appointeeship Team</w:t>
      </w:r>
    </w:p>
    <w:p w14:paraId="18FF2F60" w14:textId="2A5CC5FC" w:rsidR="000C39CF"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t>Riverside &amp; Other Housing Associations (Trident, Accord)</w:t>
      </w:r>
    </w:p>
    <w:p w14:paraId="43F9F40C" w14:textId="076C726E" w:rsidR="00EF517C" w:rsidRPr="000C39CF" w:rsidRDefault="000C39CF" w:rsidP="000C39CF">
      <w:pPr>
        <w:pStyle w:val="ListParagraph"/>
        <w:numPr>
          <w:ilvl w:val="0"/>
          <w:numId w:val="9"/>
        </w:numPr>
        <w:rPr>
          <w:rFonts w:ascii="Arial" w:hAnsi="Arial" w:cs="Arial"/>
          <w:color w:val="000000" w:themeColor="text1"/>
          <w:sz w:val="28"/>
          <w:szCs w:val="28"/>
        </w:rPr>
      </w:pPr>
      <w:r w:rsidRPr="000C39CF">
        <w:rPr>
          <w:rFonts w:ascii="Arial" w:hAnsi="Arial" w:cs="Arial"/>
          <w:color w:val="000000" w:themeColor="text1"/>
          <w:sz w:val="28"/>
          <w:szCs w:val="28"/>
        </w:rPr>
        <w:lastRenderedPageBreak/>
        <w:t>Councillors &amp; MPs.</w:t>
      </w:r>
    </w:p>
    <w:p w14:paraId="749CA8AA" w14:textId="35CE964B" w:rsidR="00CD4F0D" w:rsidRPr="00CD4F0D" w:rsidRDefault="00FA6893" w:rsidP="00CD4F0D">
      <w:pPr>
        <w:rPr>
          <w:rFonts w:ascii="Arial" w:hAnsi="Arial" w:cs="Arial"/>
          <w:b/>
          <w:bCs/>
          <w:sz w:val="28"/>
          <w:szCs w:val="28"/>
        </w:rPr>
      </w:pPr>
      <w:r>
        <w:rPr>
          <w:rFonts w:ascii="Arial" w:hAnsi="Arial" w:cs="Arial"/>
          <w:b/>
          <w:bCs/>
          <w:sz w:val="28"/>
          <w:szCs w:val="28"/>
        </w:rPr>
        <w:t>4</w:t>
      </w:r>
      <w:r w:rsidR="00CD4F0D" w:rsidRPr="00CD4F0D">
        <w:rPr>
          <w:rFonts w:ascii="Arial" w:hAnsi="Arial" w:cs="Arial"/>
          <w:b/>
          <w:bCs/>
          <w:sz w:val="28"/>
          <w:szCs w:val="28"/>
        </w:rPr>
        <w:t>.2.2 Tenancy Management</w:t>
      </w:r>
    </w:p>
    <w:p w14:paraId="43FD888A" w14:textId="706C01BA" w:rsidR="00EF517C" w:rsidRPr="00CD4F0D" w:rsidRDefault="00CD4F0D" w:rsidP="00CD4F0D">
      <w:pPr>
        <w:rPr>
          <w:rFonts w:ascii="Arial" w:hAnsi="Arial" w:cs="Arial"/>
          <w:sz w:val="28"/>
          <w:szCs w:val="28"/>
        </w:rPr>
      </w:pPr>
      <w:r w:rsidRPr="00CD4F0D">
        <w:rPr>
          <w:rFonts w:ascii="Arial" w:hAnsi="Arial" w:cs="Arial"/>
          <w:sz w:val="28"/>
          <w:szCs w:val="28"/>
        </w:rPr>
        <w:t>The Tenancy Management teams support council tenants by managing tenancy-related issues, including tenancy changes, mutual exchanges, breaches of agreement, and safeguarding concerns.</w:t>
      </w:r>
    </w:p>
    <w:p w14:paraId="3D09ED76" w14:textId="352093AC" w:rsidR="00CD4F0D" w:rsidRPr="00CD4F0D" w:rsidRDefault="00FA6893" w:rsidP="00CD4F0D">
      <w:pPr>
        <w:rPr>
          <w:rFonts w:ascii="Arial" w:hAnsi="Arial" w:cs="Arial"/>
          <w:b/>
          <w:bCs/>
          <w:sz w:val="28"/>
          <w:szCs w:val="28"/>
        </w:rPr>
      </w:pPr>
      <w:r>
        <w:rPr>
          <w:rFonts w:ascii="Arial" w:hAnsi="Arial" w:cs="Arial"/>
          <w:b/>
          <w:bCs/>
          <w:sz w:val="28"/>
          <w:szCs w:val="28"/>
        </w:rPr>
        <w:t>4</w:t>
      </w:r>
      <w:r w:rsidR="00CD4F0D" w:rsidRPr="00CD4F0D">
        <w:rPr>
          <w:rFonts w:ascii="Arial" w:hAnsi="Arial" w:cs="Arial"/>
          <w:b/>
          <w:bCs/>
          <w:sz w:val="28"/>
          <w:szCs w:val="28"/>
        </w:rPr>
        <w:t>.2.3 Home Checks</w:t>
      </w:r>
    </w:p>
    <w:p w14:paraId="20EEED85" w14:textId="29AD98E4" w:rsidR="00CD4F0D" w:rsidRPr="005D5EEB" w:rsidRDefault="00CD4F0D" w:rsidP="00CD4F0D">
      <w:pPr>
        <w:rPr>
          <w:rFonts w:ascii="Arial" w:hAnsi="Arial" w:cs="Arial"/>
          <w:sz w:val="28"/>
          <w:szCs w:val="28"/>
        </w:rPr>
      </w:pPr>
      <w:r w:rsidRPr="00CD4F0D">
        <w:rPr>
          <w:rFonts w:ascii="Arial" w:hAnsi="Arial" w:cs="Arial"/>
          <w:sz w:val="28"/>
          <w:szCs w:val="28"/>
        </w:rPr>
        <w:t>The Tenancy Management teams conduct proactive Home Checks, which are comprehensive tenancy and property inspections. These checks are carried out either reactively during other visits or proactively, with the aim of completing a Home Check for all tenancies every three years. Home Checks are a key tool in helping tenants sustain their tenancies.</w:t>
      </w:r>
    </w:p>
    <w:p w14:paraId="122D832D" w14:textId="7D92596A" w:rsidR="00CD4F0D" w:rsidRPr="00CD4F0D" w:rsidRDefault="00FA6893" w:rsidP="00CD4F0D">
      <w:pPr>
        <w:rPr>
          <w:rFonts w:ascii="Arial" w:hAnsi="Arial" w:cs="Arial"/>
          <w:b/>
          <w:bCs/>
          <w:sz w:val="28"/>
          <w:szCs w:val="28"/>
        </w:rPr>
      </w:pPr>
      <w:r>
        <w:rPr>
          <w:rFonts w:ascii="Arial" w:hAnsi="Arial" w:cs="Arial"/>
          <w:b/>
          <w:bCs/>
          <w:sz w:val="28"/>
          <w:szCs w:val="28"/>
        </w:rPr>
        <w:t>4</w:t>
      </w:r>
      <w:r w:rsidR="00CD4F0D" w:rsidRPr="00CD4F0D">
        <w:rPr>
          <w:rFonts w:ascii="Arial" w:hAnsi="Arial" w:cs="Arial"/>
          <w:b/>
          <w:bCs/>
          <w:sz w:val="28"/>
          <w:szCs w:val="28"/>
        </w:rPr>
        <w:t>.2.4 Floating Support</w:t>
      </w:r>
    </w:p>
    <w:p w14:paraId="770E2179" w14:textId="77777777" w:rsidR="00CD4F0D" w:rsidRPr="00CD4F0D" w:rsidRDefault="00CD4F0D" w:rsidP="00CD4F0D">
      <w:pPr>
        <w:rPr>
          <w:rFonts w:ascii="Arial" w:hAnsi="Arial" w:cs="Arial"/>
          <w:sz w:val="28"/>
          <w:szCs w:val="28"/>
        </w:rPr>
      </w:pPr>
      <w:r w:rsidRPr="00CD4F0D">
        <w:rPr>
          <w:rFonts w:ascii="Arial" w:hAnsi="Arial" w:cs="Arial"/>
          <w:sz w:val="28"/>
          <w:szCs w:val="28"/>
        </w:rPr>
        <w:t>Sandwell’s Floating Support Service assists adults in Sandwell who may be at risk of homelessness, hospitalisation, or harm. The service helps individuals develop the skills to maintain a home, stay healthy, and remain independent.</w:t>
      </w:r>
      <w:r w:rsidRPr="00CD4F0D">
        <w:rPr>
          <w:rFonts w:ascii="Arial" w:hAnsi="Arial" w:cs="Arial"/>
          <w:sz w:val="28"/>
          <w:szCs w:val="28"/>
        </w:rPr>
        <w:br/>
        <w:t>Support areas include:</w:t>
      </w:r>
    </w:p>
    <w:p w14:paraId="74270DC6" w14:textId="043F2D85" w:rsidR="00CD4F0D" w:rsidRPr="00CD4F0D" w:rsidRDefault="00CD4F0D" w:rsidP="00CD4F0D">
      <w:pPr>
        <w:pStyle w:val="ListParagraph"/>
        <w:numPr>
          <w:ilvl w:val="0"/>
          <w:numId w:val="11"/>
        </w:numPr>
        <w:rPr>
          <w:rFonts w:ascii="Arial" w:hAnsi="Arial" w:cs="Arial"/>
          <w:sz w:val="28"/>
          <w:szCs w:val="28"/>
        </w:rPr>
      </w:pPr>
      <w:r w:rsidRPr="00CD4F0D">
        <w:rPr>
          <w:rFonts w:ascii="Arial" w:hAnsi="Arial" w:cs="Arial"/>
          <w:b/>
          <w:bCs/>
          <w:sz w:val="28"/>
          <w:szCs w:val="28"/>
        </w:rPr>
        <w:t>Health:</w:t>
      </w:r>
      <w:r w:rsidRPr="00CD4F0D">
        <w:rPr>
          <w:rFonts w:ascii="Arial" w:hAnsi="Arial" w:cs="Arial"/>
          <w:sz w:val="28"/>
          <w:szCs w:val="28"/>
        </w:rPr>
        <w:t xml:space="preserve"> Alcohol/drug issues, learning disabilities, physical and mental health</w:t>
      </w:r>
    </w:p>
    <w:p w14:paraId="194857A6" w14:textId="08E8DA85" w:rsidR="00CD4F0D" w:rsidRPr="00CD4F0D" w:rsidRDefault="00CD4F0D" w:rsidP="00CD4F0D">
      <w:pPr>
        <w:pStyle w:val="ListParagraph"/>
        <w:numPr>
          <w:ilvl w:val="0"/>
          <w:numId w:val="11"/>
        </w:numPr>
        <w:rPr>
          <w:rFonts w:ascii="Arial" w:hAnsi="Arial" w:cs="Arial"/>
          <w:sz w:val="28"/>
          <w:szCs w:val="28"/>
        </w:rPr>
      </w:pPr>
      <w:r w:rsidRPr="00CD4F0D">
        <w:rPr>
          <w:rFonts w:ascii="Arial" w:hAnsi="Arial" w:cs="Arial"/>
          <w:b/>
          <w:bCs/>
          <w:sz w:val="28"/>
          <w:szCs w:val="28"/>
        </w:rPr>
        <w:t>Finance:</w:t>
      </w:r>
      <w:r w:rsidRPr="00CD4F0D">
        <w:rPr>
          <w:rFonts w:ascii="Arial" w:hAnsi="Arial" w:cs="Arial"/>
          <w:sz w:val="28"/>
          <w:szCs w:val="28"/>
        </w:rPr>
        <w:t xml:space="preserve"> Budgeting, benefits, and debt management</w:t>
      </w:r>
    </w:p>
    <w:p w14:paraId="07573261" w14:textId="7EB6242D" w:rsidR="00CD4F0D" w:rsidRPr="00CD4F0D" w:rsidRDefault="00CD4F0D" w:rsidP="00CD4F0D">
      <w:pPr>
        <w:pStyle w:val="ListParagraph"/>
        <w:numPr>
          <w:ilvl w:val="0"/>
          <w:numId w:val="11"/>
        </w:numPr>
        <w:rPr>
          <w:rFonts w:ascii="Arial" w:hAnsi="Arial" w:cs="Arial"/>
          <w:sz w:val="28"/>
          <w:szCs w:val="28"/>
        </w:rPr>
      </w:pPr>
      <w:r w:rsidRPr="00CD4F0D">
        <w:rPr>
          <w:rFonts w:ascii="Arial" w:hAnsi="Arial" w:cs="Arial"/>
          <w:b/>
          <w:bCs/>
          <w:sz w:val="28"/>
          <w:szCs w:val="28"/>
        </w:rPr>
        <w:t>Safety:</w:t>
      </w:r>
      <w:r w:rsidRPr="00CD4F0D">
        <w:rPr>
          <w:rFonts w:ascii="Arial" w:hAnsi="Arial" w:cs="Arial"/>
          <w:sz w:val="28"/>
          <w:szCs w:val="28"/>
        </w:rPr>
        <w:t xml:space="preserve"> Independent living, safeguarding from harm, and abuse prevention</w:t>
      </w:r>
    </w:p>
    <w:p w14:paraId="37347A1F" w14:textId="72D339CD" w:rsidR="00CD4F0D" w:rsidRPr="00CD4F0D" w:rsidRDefault="00CD4F0D" w:rsidP="00CD4F0D">
      <w:pPr>
        <w:pStyle w:val="ListParagraph"/>
        <w:numPr>
          <w:ilvl w:val="0"/>
          <w:numId w:val="11"/>
        </w:numPr>
        <w:rPr>
          <w:rFonts w:ascii="Arial" w:hAnsi="Arial" w:cs="Arial"/>
          <w:sz w:val="28"/>
          <w:szCs w:val="28"/>
        </w:rPr>
      </w:pPr>
      <w:r w:rsidRPr="00CD4F0D">
        <w:rPr>
          <w:rFonts w:ascii="Arial" w:hAnsi="Arial" w:cs="Arial"/>
          <w:b/>
          <w:bCs/>
          <w:sz w:val="28"/>
          <w:szCs w:val="28"/>
        </w:rPr>
        <w:t>Housing:</w:t>
      </w:r>
      <w:r w:rsidRPr="00CD4F0D">
        <w:rPr>
          <w:rFonts w:ascii="Arial" w:hAnsi="Arial" w:cs="Arial"/>
          <w:sz w:val="28"/>
          <w:szCs w:val="28"/>
        </w:rPr>
        <w:t xml:space="preserve"> Landlord issues, homelessness, and relocation needs</w:t>
      </w:r>
    </w:p>
    <w:p w14:paraId="733DCAA7" w14:textId="7AD1A444" w:rsidR="00CD4F0D" w:rsidRPr="00CD4F0D" w:rsidRDefault="00CD4F0D" w:rsidP="00CD4F0D">
      <w:pPr>
        <w:rPr>
          <w:rFonts w:ascii="Arial" w:hAnsi="Arial" w:cs="Arial"/>
          <w:sz w:val="28"/>
          <w:szCs w:val="28"/>
        </w:rPr>
      </w:pPr>
      <w:r w:rsidRPr="00CD4F0D">
        <w:rPr>
          <w:rFonts w:ascii="Arial" w:hAnsi="Arial" w:cs="Arial"/>
          <w:sz w:val="28"/>
          <w:szCs w:val="28"/>
        </w:rPr>
        <w:t>Support is tailored to individual needs, confidential, and free of charge, offered for a short period.</w:t>
      </w:r>
    </w:p>
    <w:p w14:paraId="24946F3E" w14:textId="5DC634F6" w:rsidR="00CD4F0D" w:rsidRPr="00CD4F0D" w:rsidRDefault="00FA6893" w:rsidP="00CD4F0D">
      <w:pPr>
        <w:rPr>
          <w:rFonts w:ascii="Arial" w:hAnsi="Arial" w:cs="Arial"/>
          <w:b/>
          <w:bCs/>
          <w:sz w:val="28"/>
          <w:szCs w:val="28"/>
        </w:rPr>
      </w:pPr>
      <w:r>
        <w:rPr>
          <w:rFonts w:ascii="Arial" w:hAnsi="Arial" w:cs="Arial"/>
          <w:b/>
          <w:bCs/>
          <w:sz w:val="28"/>
          <w:szCs w:val="28"/>
        </w:rPr>
        <w:t>4</w:t>
      </w:r>
      <w:r w:rsidR="00CD4F0D" w:rsidRPr="00CD4F0D">
        <w:rPr>
          <w:rFonts w:ascii="Arial" w:hAnsi="Arial" w:cs="Arial"/>
          <w:b/>
          <w:bCs/>
          <w:sz w:val="28"/>
          <w:szCs w:val="28"/>
        </w:rPr>
        <w:t>.2.5 Welfare Rights</w:t>
      </w:r>
    </w:p>
    <w:p w14:paraId="6D7C59B0" w14:textId="039BA4BE" w:rsidR="00CD4F0D" w:rsidRPr="00CD4F0D" w:rsidRDefault="00CD4F0D" w:rsidP="00CD4F0D">
      <w:pPr>
        <w:rPr>
          <w:rFonts w:ascii="Arial" w:hAnsi="Arial" w:cs="Arial"/>
          <w:sz w:val="28"/>
          <w:szCs w:val="28"/>
        </w:rPr>
      </w:pPr>
      <w:r w:rsidRPr="00CD4F0D">
        <w:rPr>
          <w:rFonts w:ascii="Arial" w:hAnsi="Arial" w:cs="Arial"/>
          <w:sz w:val="28"/>
          <w:szCs w:val="28"/>
        </w:rPr>
        <w:t>The Welfare Rights Team helps improve income and quality of life for Sandwell residents by offering free, independent advice and support on all welfare benefits. Services include:</w:t>
      </w:r>
    </w:p>
    <w:p w14:paraId="5689AFAB" w14:textId="3131BC78" w:rsidR="00CD4F0D" w:rsidRPr="00CD4F0D" w:rsidRDefault="00CD4F0D" w:rsidP="00CD4F0D">
      <w:pPr>
        <w:pStyle w:val="ListParagraph"/>
        <w:numPr>
          <w:ilvl w:val="0"/>
          <w:numId w:val="12"/>
        </w:numPr>
        <w:rPr>
          <w:rFonts w:ascii="Arial" w:hAnsi="Arial" w:cs="Arial"/>
          <w:sz w:val="28"/>
          <w:szCs w:val="28"/>
        </w:rPr>
      </w:pPr>
      <w:r w:rsidRPr="00CD4F0D">
        <w:rPr>
          <w:rFonts w:ascii="Arial" w:hAnsi="Arial" w:cs="Arial"/>
          <w:sz w:val="28"/>
          <w:szCs w:val="28"/>
        </w:rPr>
        <w:t>General guidance and form completion</w:t>
      </w:r>
    </w:p>
    <w:p w14:paraId="7B252156" w14:textId="77777777" w:rsidR="00CD4F0D" w:rsidRPr="00CD4F0D" w:rsidRDefault="00CD4F0D" w:rsidP="00CD4F0D">
      <w:pPr>
        <w:pStyle w:val="ListParagraph"/>
        <w:numPr>
          <w:ilvl w:val="0"/>
          <w:numId w:val="12"/>
        </w:numPr>
        <w:rPr>
          <w:rFonts w:ascii="Arial" w:hAnsi="Arial" w:cs="Arial"/>
          <w:sz w:val="28"/>
          <w:szCs w:val="28"/>
        </w:rPr>
      </w:pPr>
      <w:r w:rsidRPr="00CD4F0D">
        <w:rPr>
          <w:rFonts w:ascii="Arial" w:hAnsi="Arial" w:cs="Arial"/>
          <w:sz w:val="28"/>
          <w:szCs w:val="28"/>
        </w:rPr>
        <w:t>Representation at appeal tribunals</w:t>
      </w:r>
    </w:p>
    <w:p w14:paraId="5A7CE7DC" w14:textId="42C14E31" w:rsidR="00CD4F0D" w:rsidRPr="00CD4F0D" w:rsidRDefault="00CD4F0D" w:rsidP="00CD4F0D">
      <w:pPr>
        <w:pStyle w:val="ListParagraph"/>
        <w:numPr>
          <w:ilvl w:val="0"/>
          <w:numId w:val="12"/>
        </w:numPr>
        <w:rPr>
          <w:rFonts w:ascii="Arial" w:hAnsi="Arial" w:cs="Arial"/>
          <w:sz w:val="28"/>
          <w:szCs w:val="28"/>
        </w:rPr>
      </w:pPr>
      <w:r w:rsidRPr="00CD4F0D">
        <w:rPr>
          <w:rFonts w:ascii="Arial" w:hAnsi="Arial" w:cs="Arial"/>
          <w:sz w:val="28"/>
          <w:szCs w:val="28"/>
        </w:rPr>
        <w:t>Advice on benefit overpayments and reductions</w:t>
      </w:r>
    </w:p>
    <w:p w14:paraId="04D7DA70" w14:textId="63BE81F8" w:rsidR="00CD4F0D" w:rsidRPr="00CD4F0D" w:rsidRDefault="00CD4F0D" w:rsidP="00CD4F0D">
      <w:pPr>
        <w:pStyle w:val="ListParagraph"/>
        <w:numPr>
          <w:ilvl w:val="0"/>
          <w:numId w:val="12"/>
        </w:numPr>
        <w:rPr>
          <w:rFonts w:ascii="Arial" w:hAnsi="Arial" w:cs="Arial"/>
          <w:sz w:val="28"/>
          <w:szCs w:val="28"/>
        </w:rPr>
      </w:pPr>
      <w:r w:rsidRPr="00CD4F0D">
        <w:rPr>
          <w:rFonts w:ascii="Arial" w:hAnsi="Arial" w:cs="Arial"/>
          <w:sz w:val="28"/>
          <w:szCs w:val="28"/>
        </w:rPr>
        <w:t>Home visits where appropriate</w:t>
      </w:r>
    </w:p>
    <w:p w14:paraId="744939BB" w14:textId="63E3D6C3" w:rsidR="008B4D1C" w:rsidRPr="008B4D1C" w:rsidRDefault="00FA6893" w:rsidP="000A400A">
      <w:pPr>
        <w:rPr>
          <w:rFonts w:ascii="Arial" w:hAnsi="Arial" w:cs="Arial"/>
          <w:b/>
          <w:bCs/>
          <w:sz w:val="28"/>
          <w:szCs w:val="28"/>
        </w:rPr>
      </w:pPr>
      <w:r>
        <w:rPr>
          <w:rFonts w:ascii="Arial" w:hAnsi="Arial" w:cs="Arial"/>
          <w:b/>
          <w:bCs/>
          <w:sz w:val="28"/>
          <w:szCs w:val="28"/>
        </w:rPr>
        <w:lastRenderedPageBreak/>
        <w:t>4</w:t>
      </w:r>
      <w:r w:rsidR="00CD4F0D" w:rsidRPr="00CD4F0D">
        <w:rPr>
          <w:rFonts w:ascii="Arial" w:hAnsi="Arial" w:cs="Arial"/>
          <w:b/>
          <w:bCs/>
          <w:sz w:val="28"/>
          <w:szCs w:val="28"/>
        </w:rPr>
        <w:t xml:space="preserve">.2.6 </w:t>
      </w:r>
      <w:r w:rsidR="000761EF">
        <w:rPr>
          <w:rFonts w:ascii="Arial" w:hAnsi="Arial" w:cs="Arial"/>
          <w:b/>
          <w:bCs/>
          <w:sz w:val="28"/>
          <w:szCs w:val="28"/>
        </w:rPr>
        <w:t xml:space="preserve">Income Management </w:t>
      </w:r>
    </w:p>
    <w:p w14:paraId="72C0A76C" w14:textId="77777777" w:rsidR="008B4D1C" w:rsidRDefault="00CD4F0D" w:rsidP="000A400A">
      <w:pPr>
        <w:rPr>
          <w:rFonts w:ascii="Arial" w:hAnsi="Arial" w:cs="Arial"/>
          <w:sz w:val="28"/>
          <w:szCs w:val="28"/>
        </w:rPr>
      </w:pPr>
      <w:r w:rsidRPr="00CD4F0D">
        <w:rPr>
          <w:rFonts w:ascii="Arial" w:hAnsi="Arial" w:cs="Arial"/>
          <w:sz w:val="28"/>
          <w:szCs w:val="28"/>
        </w:rPr>
        <w:t xml:space="preserve">The Income Management Team provides a customer-focused service designed to support tenants in managing their debt and keeping their tenancies. </w:t>
      </w:r>
    </w:p>
    <w:p w14:paraId="08022A92" w14:textId="3838B691" w:rsidR="000A400A" w:rsidRPr="008B4D1C" w:rsidRDefault="00FA6893" w:rsidP="000A400A">
      <w:pPr>
        <w:rPr>
          <w:rFonts w:ascii="Arial" w:hAnsi="Arial" w:cs="Arial"/>
          <w:sz w:val="28"/>
          <w:szCs w:val="28"/>
        </w:rPr>
      </w:pPr>
      <w:r w:rsidRPr="0085198E">
        <w:rPr>
          <w:rFonts w:ascii="Arial" w:eastAsia="Calibri" w:hAnsi="Arial" w:cs="Arial"/>
          <w:noProof/>
          <w:sz w:val="28"/>
          <w:szCs w:val="28"/>
        </w:rPr>
        <w:drawing>
          <wp:anchor distT="0" distB="0" distL="114300" distR="114300" simplePos="0" relativeHeight="251658240" behindDoc="1" locked="0" layoutInCell="1" allowOverlap="1" wp14:anchorId="03472C17" wp14:editId="754F8003">
            <wp:simplePos x="0" y="0"/>
            <wp:positionH relativeFrom="margin">
              <wp:align>left</wp:align>
            </wp:positionH>
            <wp:positionV relativeFrom="paragraph">
              <wp:posOffset>231775</wp:posOffset>
            </wp:positionV>
            <wp:extent cx="5422900" cy="2673350"/>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727371CC" w14:textId="7C2786D0" w:rsidR="00CD4F0D" w:rsidRDefault="00CD4F0D" w:rsidP="000A400A"/>
    <w:p w14:paraId="388A25AA" w14:textId="28C6D28C" w:rsidR="008B4D1C" w:rsidRPr="008B4D1C" w:rsidRDefault="008B4D1C" w:rsidP="008B4D1C">
      <w:pPr>
        <w:rPr>
          <w:rFonts w:ascii="Arial" w:hAnsi="Arial" w:cs="Arial"/>
          <w:sz w:val="28"/>
          <w:szCs w:val="28"/>
        </w:rPr>
      </w:pPr>
      <w:r w:rsidRPr="008B4D1C">
        <w:rPr>
          <w:rFonts w:ascii="Arial" w:hAnsi="Arial" w:cs="Arial"/>
          <w:sz w:val="28"/>
          <w:szCs w:val="28"/>
        </w:rPr>
        <w:t>Tenancy sustainability relies on preventative and early intervention services. Income Management offers proactive support to tenants before arrears occur and intervenes quickly when they do.</w:t>
      </w:r>
    </w:p>
    <w:p w14:paraId="26D3C280" w14:textId="7A8CB5A1" w:rsidR="008B4D1C" w:rsidRPr="008B4D1C" w:rsidRDefault="008B4D1C" w:rsidP="008B4D1C">
      <w:pPr>
        <w:rPr>
          <w:rFonts w:ascii="Arial" w:hAnsi="Arial" w:cs="Arial"/>
          <w:sz w:val="28"/>
          <w:szCs w:val="28"/>
        </w:rPr>
      </w:pPr>
      <w:r w:rsidRPr="008B4D1C">
        <w:rPr>
          <w:rFonts w:ascii="Arial" w:hAnsi="Arial" w:cs="Arial"/>
          <w:sz w:val="28"/>
          <w:szCs w:val="28"/>
        </w:rPr>
        <w:t>An Early Intervention and Tenant Support Officer assists new tenants and U</w:t>
      </w:r>
      <w:r>
        <w:rPr>
          <w:rFonts w:ascii="Arial" w:hAnsi="Arial" w:cs="Arial"/>
          <w:sz w:val="28"/>
          <w:szCs w:val="28"/>
        </w:rPr>
        <w:t xml:space="preserve">niversal </w:t>
      </w:r>
      <w:r w:rsidRPr="008B4D1C">
        <w:rPr>
          <w:rFonts w:ascii="Arial" w:hAnsi="Arial" w:cs="Arial"/>
          <w:sz w:val="28"/>
          <w:szCs w:val="28"/>
        </w:rPr>
        <w:t>C</w:t>
      </w:r>
      <w:r>
        <w:rPr>
          <w:rFonts w:ascii="Arial" w:hAnsi="Arial" w:cs="Arial"/>
          <w:sz w:val="28"/>
          <w:szCs w:val="28"/>
        </w:rPr>
        <w:t>redit</w:t>
      </w:r>
      <w:r w:rsidRPr="008B4D1C">
        <w:rPr>
          <w:rFonts w:ascii="Arial" w:hAnsi="Arial" w:cs="Arial"/>
          <w:sz w:val="28"/>
          <w:szCs w:val="28"/>
        </w:rPr>
        <w:t xml:space="preserve"> claimants for the first three months to assess support needs.</w:t>
      </w:r>
    </w:p>
    <w:p w14:paraId="24D976E1" w14:textId="77777777" w:rsidR="008B4D1C" w:rsidRPr="008B4D1C" w:rsidRDefault="008B4D1C" w:rsidP="008B4D1C">
      <w:pPr>
        <w:rPr>
          <w:rFonts w:ascii="Arial" w:hAnsi="Arial" w:cs="Arial"/>
          <w:sz w:val="28"/>
          <w:szCs w:val="28"/>
        </w:rPr>
      </w:pPr>
      <w:r w:rsidRPr="008B4D1C">
        <w:rPr>
          <w:rFonts w:ascii="Arial" w:hAnsi="Arial" w:cs="Arial"/>
          <w:sz w:val="28"/>
          <w:szCs w:val="28"/>
        </w:rPr>
        <w:t>When arrears arise, tenants receive an SMS with their balance and payment options. At key stages, they also get letters outlining their account status and next steps, encouraging them to get in touch.</w:t>
      </w:r>
    </w:p>
    <w:p w14:paraId="52360254" w14:textId="05EEDF97" w:rsidR="00C12174" w:rsidRPr="008B4D1C" w:rsidRDefault="008B4D1C" w:rsidP="000A400A">
      <w:pPr>
        <w:rPr>
          <w:rFonts w:ascii="Arial" w:hAnsi="Arial" w:cs="Arial"/>
          <w:sz w:val="28"/>
          <w:szCs w:val="28"/>
        </w:rPr>
      </w:pPr>
      <w:r w:rsidRPr="008B4D1C">
        <w:rPr>
          <w:rFonts w:ascii="Arial" w:hAnsi="Arial" w:cs="Arial"/>
          <w:sz w:val="28"/>
          <w:szCs w:val="28"/>
        </w:rPr>
        <w:t>To engage non-responsive tenants, regular awareness campaigns highlight support available, the benefits of direct debit, and how to use MyHousing.</w:t>
      </w:r>
    </w:p>
    <w:p w14:paraId="24CE0BBD" w14:textId="358604FA" w:rsidR="00C12174" w:rsidRDefault="00C12174" w:rsidP="000A400A">
      <w:pPr>
        <w:rPr>
          <w:rFonts w:ascii="Arial" w:hAnsi="Arial" w:cs="Arial"/>
          <w:sz w:val="28"/>
          <w:szCs w:val="28"/>
          <w:u w:val="single"/>
        </w:rPr>
      </w:pPr>
      <w:r w:rsidRPr="00C12174">
        <w:rPr>
          <w:rFonts w:ascii="Arial" w:hAnsi="Arial" w:cs="Arial"/>
          <w:sz w:val="28"/>
          <w:szCs w:val="28"/>
          <w:u w:val="single"/>
        </w:rPr>
        <w:t>Collecting with Care</w:t>
      </w:r>
    </w:p>
    <w:p w14:paraId="70905461" w14:textId="77777777" w:rsidR="008B4D1C" w:rsidRPr="008B4D1C" w:rsidRDefault="008B4D1C" w:rsidP="008B4D1C">
      <w:pPr>
        <w:rPr>
          <w:rFonts w:ascii="Arial" w:hAnsi="Arial" w:cs="Arial"/>
          <w:sz w:val="28"/>
          <w:szCs w:val="28"/>
        </w:rPr>
      </w:pPr>
      <w:r w:rsidRPr="008B4D1C">
        <w:rPr>
          <w:rFonts w:ascii="Arial" w:hAnsi="Arial" w:cs="Arial"/>
          <w:sz w:val="28"/>
          <w:szCs w:val="28"/>
        </w:rPr>
        <w:t>The Income Management Team at Sandwell Council is committed to helping tenants manage rent payments and sustain their tenancies. Through the 'Collecting with Care Pledge,' the council adopts a compassionate approach to debt collection, reducing stigma and encouraging tenant engagement.</w:t>
      </w:r>
    </w:p>
    <w:p w14:paraId="6C021322" w14:textId="77777777" w:rsidR="008B4D1C" w:rsidRPr="008B4D1C" w:rsidRDefault="008B4D1C" w:rsidP="008B4D1C">
      <w:pPr>
        <w:rPr>
          <w:rFonts w:ascii="Arial" w:hAnsi="Arial" w:cs="Arial"/>
          <w:sz w:val="28"/>
          <w:szCs w:val="28"/>
        </w:rPr>
      </w:pPr>
      <w:r w:rsidRPr="008B4D1C">
        <w:rPr>
          <w:rFonts w:ascii="Arial" w:hAnsi="Arial" w:cs="Arial"/>
          <w:sz w:val="28"/>
          <w:szCs w:val="28"/>
        </w:rPr>
        <w:lastRenderedPageBreak/>
        <w:t>When a tenant falls into arrears, the Income Management Team assesses their household situation, including any vulnerabilities, to provide tailored support and refer them to additional services if needed.</w:t>
      </w:r>
    </w:p>
    <w:p w14:paraId="55FD34FB" w14:textId="16D27B2F" w:rsidR="008B4D1C" w:rsidRPr="008B4D1C" w:rsidRDefault="008B4D1C" w:rsidP="000A400A">
      <w:pPr>
        <w:rPr>
          <w:rFonts w:ascii="Arial" w:hAnsi="Arial" w:cs="Arial"/>
          <w:sz w:val="28"/>
          <w:szCs w:val="28"/>
        </w:rPr>
      </w:pPr>
      <w:r w:rsidRPr="008B4D1C">
        <w:rPr>
          <w:rFonts w:ascii="Arial" w:hAnsi="Arial" w:cs="Arial"/>
          <w:sz w:val="28"/>
          <w:szCs w:val="28"/>
        </w:rPr>
        <w:t>Early support is key to tenancy success, so Sandwell Council offers proactive advice before arrears arise and intervenes quickly when they do.</w:t>
      </w:r>
    </w:p>
    <w:p w14:paraId="7425D8E0" w14:textId="43F072DA" w:rsidR="004D4ABA" w:rsidRPr="00C12174" w:rsidRDefault="00C12174" w:rsidP="000A400A">
      <w:pPr>
        <w:rPr>
          <w:rFonts w:ascii="Arial" w:hAnsi="Arial" w:cs="Arial"/>
          <w:sz w:val="28"/>
          <w:szCs w:val="28"/>
          <w:u w:val="single"/>
        </w:rPr>
      </w:pPr>
      <w:r w:rsidRPr="00C12174">
        <w:rPr>
          <w:rFonts w:ascii="Arial" w:hAnsi="Arial" w:cs="Arial"/>
          <w:sz w:val="28"/>
          <w:szCs w:val="28"/>
          <w:u w:val="single"/>
        </w:rPr>
        <w:t>Rent on Time</w:t>
      </w:r>
    </w:p>
    <w:p w14:paraId="723FD34E" w14:textId="77777777" w:rsidR="00C12174" w:rsidRDefault="00C12174" w:rsidP="00C12174">
      <w:pPr>
        <w:rPr>
          <w:rFonts w:ascii="Arial" w:hAnsi="Arial" w:cs="Arial"/>
          <w:color w:val="000000" w:themeColor="text1"/>
          <w:sz w:val="28"/>
          <w:szCs w:val="28"/>
        </w:rPr>
      </w:pPr>
      <w:r w:rsidRPr="00C12174">
        <w:rPr>
          <w:rFonts w:ascii="Arial" w:hAnsi="Arial" w:cs="Arial"/>
          <w:color w:val="000000" w:themeColor="text1"/>
          <w:sz w:val="28"/>
          <w:szCs w:val="28"/>
        </w:rPr>
        <w:t xml:space="preserve">The new tenancy conditions include a requirement for tenants to pay their ‘rent in advance’, this is being promoted as ‘rent on time’ and means that tenants will need to build up a credit on their rent account to meet the new condition.  </w:t>
      </w:r>
    </w:p>
    <w:p w14:paraId="5E955B25" w14:textId="217B831C" w:rsidR="00C12174" w:rsidRDefault="00C12174" w:rsidP="00C12174">
      <w:pPr>
        <w:rPr>
          <w:rFonts w:ascii="Arial" w:hAnsi="Arial" w:cs="Arial"/>
          <w:color w:val="000000" w:themeColor="text1"/>
          <w:sz w:val="28"/>
          <w:szCs w:val="28"/>
          <w:u w:val="single"/>
        </w:rPr>
      </w:pPr>
      <w:r w:rsidRPr="00C12174">
        <w:rPr>
          <w:rFonts w:ascii="Arial" w:hAnsi="Arial" w:cs="Arial"/>
          <w:color w:val="000000" w:themeColor="text1"/>
          <w:sz w:val="28"/>
          <w:szCs w:val="28"/>
          <w:u w:val="single"/>
        </w:rPr>
        <w:t>Preventing Homelessness</w:t>
      </w:r>
    </w:p>
    <w:p w14:paraId="1E5F1166" w14:textId="77777777" w:rsidR="008B4D1C" w:rsidRPr="008B4D1C" w:rsidRDefault="008B4D1C" w:rsidP="008B4D1C">
      <w:pPr>
        <w:rPr>
          <w:rFonts w:ascii="Arial" w:hAnsi="Arial" w:cs="Arial"/>
          <w:color w:val="000000" w:themeColor="text1"/>
          <w:sz w:val="28"/>
          <w:szCs w:val="28"/>
        </w:rPr>
      </w:pPr>
      <w:r w:rsidRPr="008B4D1C">
        <w:rPr>
          <w:rFonts w:ascii="Arial" w:hAnsi="Arial" w:cs="Arial"/>
          <w:color w:val="000000" w:themeColor="text1"/>
          <w:sz w:val="28"/>
          <w:szCs w:val="28"/>
        </w:rPr>
        <w:t>Eviction is considered a last resort, and Income Management works closely with internal teams to prevent homelessness. The ‘Families with Rent Arrears Protocol’ ensures that information is shared with Children’s Services at key stages, focusing on safeguarding, joint decision-making, and coordinated intervention to support tenancy sustainment and prevent eviction.</w:t>
      </w:r>
    </w:p>
    <w:p w14:paraId="402B463A" w14:textId="77777777" w:rsidR="008B4D1C" w:rsidRPr="008B4D1C" w:rsidRDefault="008B4D1C" w:rsidP="008B4D1C">
      <w:pPr>
        <w:rPr>
          <w:rFonts w:ascii="Arial" w:hAnsi="Arial" w:cs="Arial"/>
          <w:color w:val="000000" w:themeColor="text1"/>
          <w:sz w:val="28"/>
          <w:szCs w:val="28"/>
        </w:rPr>
      </w:pPr>
      <w:r w:rsidRPr="008B4D1C">
        <w:rPr>
          <w:rFonts w:ascii="Arial" w:hAnsi="Arial" w:cs="Arial"/>
          <w:color w:val="000000" w:themeColor="text1"/>
          <w:sz w:val="28"/>
          <w:szCs w:val="28"/>
        </w:rPr>
        <w:t>Automated referrals to Housing Solutions and the Welfare Rights Service are made throughout the arrears process to provide advice and support, helping tenants manage their rent and avoid homelessness.</w:t>
      </w:r>
    </w:p>
    <w:p w14:paraId="1268D83D" w14:textId="3BE51B76" w:rsidR="008B4D1C" w:rsidRPr="00C12174" w:rsidRDefault="008B4D1C" w:rsidP="00C12174">
      <w:pPr>
        <w:rPr>
          <w:rFonts w:ascii="Arial" w:hAnsi="Arial" w:cs="Arial"/>
          <w:color w:val="000000" w:themeColor="text1"/>
          <w:sz w:val="28"/>
          <w:szCs w:val="28"/>
        </w:rPr>
      </w:pPr>
      <w:r w:rsidRPr="008B4D1C">
        <w:rPr>
          <w:rFonts w:ascii="Arial" w:hAnsi="Arial" w:cs="Arial"/>
          <w:color w:val="000000" w:themeColor="text1"/>
          <w:sz w:val="28"/>
          <w:szCs w:val="28"/>
        </w:rPr>
        <w:t>Before pursuing eviction, a Pre-Warrant Panel reviews the case to determine if eviction is justified, ensuring that all support options have been explored.</w:t>
      </w:r>
    </w:p>
    <w:p w14:paraId="1DB465B3" w14:textId="603DC10D" w:rsidR="00CA1A45" w:rsidRDefault="00C12174" w:rsidP="00F60974">
      <w:pPr>
        <w:rPr>
          <w:rFonts w:ascii="Arial" w:hAnsi="Arial" w:cs="Arial"/>
          <w:color w:val="000000" w:themeColor="text1"/>
          <w:sz w:val="28"/>
          <w:szCs w:val="28"/>
          <w:u w:val="single"/>
        </w:rPr>
      </w:pPr>
      <w:r w:rsidRPr="00C12174">
        <w:rPr>
          <w:rFonts w:ascii="Arial" w:hAnsi="Arial" w:cs="Arial"/>
          <w:color w:val="000000" w:themeColor="text1"/>
          <w:sz w:val="28"/>
          <w:szCs w:val="28"/>
          <w:u w:val="single"/>
        </w:rPr>
        <w:t xml:space="preserve">Partnership Working </w:t>
      </w:r>
    </w:p>
    <w:p w14:paraId="36107F62" w14:textId="77777777" w:rsidR="00C12174" w:rsidRPr="00C12174" w:rsidRDefault="00C12174" w:rsidP="00C12174">
      <w:pPr>
        <w:rPr>
          <w:rFonts w:ascii="Arial" w:hAnsi="Arial" w:cs="Arial"/>
          <w:color w:val="000000" w:themeColor="text1"/>
          <w:sz w:val="28"/>
          <w:szCs w:val="28"/>
        </w:rPr>
      </w:pPr>
      <w:r w:rsidRPr="00C12174">
        <w:rPr>
          <w:rFonts w:ascii="Arial" w:hAnsi="Arial" w:cs="Arial"/>
          <w:color w:val="000000" w:themeColor="text1"/>
          <w:sz w:val="28"/>
          <w:szCs w:val="28"/>
        </w:rPr>
        <w:t>Income Management works closely with both internal and external partners to ensure tenants have access to free, independent advice, assessments, and support on various issues that may impact their ability to sustain their tenancy.</w:t>
      </w:r>
    </w:p>
    <w:p w14:paraId="31F39F7B" w14:textId="77777777" w:rsidR="00C12174" w:rsidRPr="00C12174" w:rsidRDefault="00C12174" w:rsidP="00C12174">
      <w:pPr>
        <w:rPr>
          <w:rFonts w:ascii="Arial" w:hAnsi="Arial" w:cs="Arial"/>
          <w:color w:val="000000" w:themeColor="text1"/>
          <w:sz w:val="28"/>
          <w:szCs w:val="28"/>
        </w:rPr>
      </w:pPr>
      <w:r w:rsidRPr="00C12174">
        <w:rPr>
          <w:rFonts w:ascii="Arial" w:hAnsi="Arial" w:cs="Arial"/>
          <w:color w:val="000000" w:themeColor="text1"/>
          <w:sz w:val="28"/>
          <w:szCs w:val="28"/>
        </w:rPr>
        <w:t>Internal partners include Welfare Rights, Revenues and Benefits, Floating Support, Sandwell Children’s Trust, Adult Social Care, Housing Local Teams, Housing Solutions, and Think Sandwell.</w:t>
      </w:r>
    </w:p>
    <w:p w14:paraId="49B85FFE" w14:textId="288742B5" w:rsidR="00C12174" w:rsidRPr="00C12174" w:rsidRDefault="00C12174" w:rsidP="00F60974">
      <w:pPr>
        <w:rPr>
          <w:rFonts w:ascii="Arial" w:hAnsi="Arial" w:cs="Arial"/>
          <w:color w:val="000000" w:themeColor="text1"/>
          <w:sz w:val="28"/>
          <w:szCs w:val="28"/>
        </w:rPr>
      </w:pPr>
      <w:r w:rsidRPr="00C12174">
        <w:rPr>
          <w:rFonts w:ascii="Arial" w:hAnsi="Arial" w:cs="Arial"/>
          <w:color w:val="000000" w:themeColor="text1"/>
          <w:sz w:val="28"/>
          <w:szCs w:val="28"/>
        </w:rPr>
        <w:t xml:space="preserve">External partners include Citizens Advice Sandwell, the Department for Work and Pensions (Universal Credit), Cranstoun (drug and alcohol services), the Community Mental Health Team, the Sandwell Advice </w:t>
      </w:r>
      <w:r w:rsidRPr="00C12174">
        <w:rPr>
          <w:rFonts w:ascii="Arial" w:hAnsi="Arial" w:cs="Arial"/>
          <w:color w:val="000000" w:themeColor="text1"/>
          <w:sz w:val="28"/>
          <w:szCs w:val="28"/>
        </w:rPr>
        <w:lastRenderedPageBreak/>
        <w:t>Providers Network, Brushstrokes Community Project, the Sandwell Consortium, the Confederation of Bangladeshi Organisations, and Sandwell Women’s Aid.</w:t>
      </w:r>
    </w:p>
    <w:p w14:paraId="37721DE4" w14:textId="50C8A02E" w:rsidR="00CA1A45" w:rsidRPr="00CD4F0D" w:rsidRDefault="00FA6893" w:rsidP="00702D7A">
      <w:pPr>
        <w:pStyle w:val="Heading3"/>
        <w:rPr>
          <w:rFonts w:ascii="Arial" w:hAnsi="Arial" w:cs="Arial"/>
          <w:b/>
          <w:bCs/>
          <w:color w:val="auto"/>
          <w:sz w:val="28"/>
          <w:szCs w:val="28"/>
        </w:rPr>
      </w:pPr>
      <w:bookmarkStart w:id="11" w:name="_Toc192110661"/>
      <w:r>
        <w:rPr>
          <w:rFonts w:ascii="Arial" w:hAnsi="Arial" w:cs="Arial"/>
          <w:b/>
          <w:bCs/>
          <w:color w:val="auto"/>
          <w:sz w:val="28"/>
          <w:szCs w:val="28"/>
        </w:rPr>
        <w:t>4</w:t>
      </w:r>
      <w:r w:rsidR="00CA1A45" w:rsidRPr="00CD4F0D">
        <w:rPr>
          <w:rFonts w:ascii="Arial" w:hAnsi="Arial" w:cs="Arial"/>
          <w:b/>
          <w:bCs/>
          <w:color w:val="auto"/>
          <w:sz w:val="28"/>
          <w:szCs w:val="28"/>
        </w:rPr>
        <w:t>.2.7 Anti-Social Behaviour:</w:t>
      </w:r>
      <w:bookmarkEnd w:id="11"/>
    </w:p>
    <w:p w14:paraId="617B5997" w14:textId="5428EC3E" w:rsidR="00FA6893" w:rsidRDefault="00174A49" w:rsidP="00F60974">
      <w:pPr>
        <w:rPr>
          <w:rFonts w:ascii="Arial" w:hAnsi="Arial" w:cs="Arial"/>
          <w:sz w:val="28"/>
          <w:szCs w:val="28"/>
        </w:rPr>
      </w:pPr>
      <w:r w:rsidRPr="00174A49">
        <w:rPr>
          <w:rFonts w:ascii="Arial" w:hAnsi="Arial" w:cs="Arial"/>
          <w:sz w:val="28"/>
          <w:szCs w:val="28"/>
        </w:rPr>
        <w:t>Whenever anti-social behaviour is reported, a risk assessment of the complainant will be carried out. Sandwell Council will aim to identify the support needs of both complainants and perpetrators as early as possible, providing appropriate support to both parties to help resolve the issue.</w:t>
      </w:r>
    </w:p>
    <w:p w14:paraId="43EE37AC" w14:textId="4C07CECF" w:rsidR="00CA1A45" w:rsidRPr="00CD4F0D" w:rsidRDefault="00FA6893" w:rsidP="00702D7A">
      <w:pPr>
        <w:pStyle w:val="Heading3"/>
        <w:rPr>
          <w:rFonts w:ascii="Arial" w:hAnsi="Arial" w:cs="Arial"/>
          <w:b/>
          <w:bCs/>
          <w:color w:val="auto"/>
          <w:sz w:val="28"/>
          <w:szCs w:val="28"/>
        </w:rPr>
      </w:pPr>
      <w:bookmarkStart w:id="12" w:name="_Toc192110662"/>
      <w:r>
        <w:rPr>
          <w:rFonts w:ascii="Arial" w:hAnsi="Arial" w:cs="Arial"/>
          <w:b/>
          <w:bCs/>
          <w:color w:val="auto"/>
          <w:sz w:val="28"/>
          <w:szCs w:val="28"/>
        </w:rPr>
        <w:t>4</w:t>
      </w:r>
      <w:r w:rsidR="00CA1A45" w:rsidRPr="00CD4F0D">
        <w:rPr>
          <w:rFonts w:ascii="Arial" w:hAnsi="Arial" w:cs="Arial"/>
          <w:b/>
          <w:bCs/>
          <w:color w:val="auto"/>
          <w:sz w:val="28"/>
          <w:szCs w:val="28"/>
        </w:rPr>
        <w:t>.2.8 Safeguarding:</w:t>
      </w:r>
      <w:bookmarkEnd w:id="12"/>
    </w:p>
    <w:p w14:paraId="25EB150F" w14:textId="4693A3BC" w:rsidR="001C1530" w:rsidRDefault="00174A49" w:rsidP="005D5EEB">
      <w:pPr>
        <w:rPr>
          <w:rFonts w:ascii="Arial" w:hAnsi="Arial" w:cs="Arial"/>
          <w:sz w:val="28"/>
          <w:szCs w:val="28"/>
        </w:rPr>
      </w:pPr>
      <w:r w:rsidRPr="00174A49">
        <w:rPr>
          <w:rFonts w:ascii="Arial" w:hAnsi="Arial" w:cs="Arial"/>
          <w:sz w:val="28"/>
          <w:szCs w:val="28"/>
        </w:rPr>
        <w:t>Sandwell Council is committed to protecting children and vulnerable adults from harm and abuse. Housing Services work closely with Sandwell Children's Trust and Adult Social Care to ensure staff are trained to identify safeguarding issues and report them appropriately. All front-line staff working with vulnerable adults and children receive ongoing safeguarding training, equipping them with the skills to recognise potential risks and refer cases to the right agencies. This training is regularly updated, either in-person or online.</w:t>
      </w:r>
    </w:p>
    <w:p w14:paraId="16C5F1E3" w14:textId="77777777" w:rsidR="001C1530" w:rsidRPr="00FA6893" w:rsidRDefault="001C1530" w:rsidP="005D5EEB">
      <w:pPr>
        <w:rPr>
          <w:rFonts w:ascii="Arial" w:hAnsi="Arial" w:cs="Arial"/>
          <w:sz w:val="28"/>
          <w:szCs w:val="28"/>
        </w:rPr>
      </w:pPr>
    </w:p>
    <w:p w14:paraId="18D9675C" w14:textId="77777777" w:rsidR="005D5EEB" w:rsidRPr="00184044" w:rsidRDefault="005D5EEB" w:rsidP="005D5EEB">
      <w:pPr>
        <w:pStyle w:val="ListParagraph"/>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3" w:name="_Toc192110663"/>
      <w:r w:rsidRPr="00184044">
        <w:rPr>
          <w:rFonts w:ascii="Arial" w:eastAsiaTheme="majorEastAsia" w:hAnsi="Arial" w:cs="Arial"/>
          <w:b/>
          <w:bCs/>
          <w:color w:val="2F5496" w:themeColor="accent1" w:themeShade="BF"/>
          <w:sz w:val="28"/>
          <w:szCs w:val="28"/>
        </w:rPr>
        <w:t>Related Documents</w:t>
      </w:r>
      <w:bookmarkEnd w:id="13"/>
    </w:p>
    <w:p w14:paraId="675EF53C" w14:textId="77777777" w:rsidR="005D5EEB" w:rsidRPr="00D9663B" w:rsidRDefault="005D5EEB" w:rsidP="005D5EEB">
      <w:pPr>
        <w:pStyle w:val="ListParagraph"/>
        <w:keepNext/>
        <w:keepLines/>
        <w:spacing w:after="0"/>
        <w:ind w:left="567"/>
        <w:outlineLvl w:val="0"/>
        <w:rPr>
          <w:rFonts w:ascii="Arial" w:eastAsiaTheme="majorEastAsia" w:hAnsi="Arial" w:cs="Arial"/>
          <w:b/>
          <w:bCs/>
          <w:color w:val="2F5496" w:themeColor="accent1" w:themeShade="BF"/>
          <w:sz w:val="32"/>
          <w:szCs w:val="32"/>
        </w:rPr>
      </w:pPr>
    </w:p>
    <w:p w14:paraId="40F2DD35" w14:textId="77777777" w:rsidR="005D5EEB" w:rsidRPr="00165053" w:rsidRDefault="005D5EEB" w:rsidP="005D5EEB">
      <w:pPr>
        <w:pStyle w:val="ListParagraph"/>
        <w:numPr>
          <w:ilvl w:val="1"/>
          <w:numId w:val="1"/>
        </w:numPr>
        <w:spacing w:after="0"/>
        <w:ind w:left="567" w:hanging="567"/>
        <w:rPr>
          <w:rFonts w:ascii="Arial" w:hAnsi="Arial" w:cs="Arial"/>
          <w:sz w:val="28"/>
          <w:szCs w:val="28"/>
        </w:rPr>
      </w:pPr>
      <w:r w:rsidRPr="00165053">
        <w:rPr>
          <w:rFonts w:ascii="Arial" w:hAnsi="Arial" w:cs="Arial"/>
          <w:sz w:val="28"/>
          <w:szCs w:val="28"/>
        </w:rPr>
        <w:t>The following documents should be considered in conjunction with this policy:</w:t>
      </w:r>
    </w:p>
    <w:bookmarkStart w:id="14" w:name="_Hlk175212310"/>
    <w:p w14:paraId="401D0F00" w14:textId="77777777" w:rsidR="005D5EEB" w:rsidRPr="00305734" w:rsidRDefault="005D5EEB" w:rsidP="005D5EEB">
      <w:pPr>
        <w:pStyle w:val="ListParagraph"/>
        <w:numPr>
          <w:ilvl w:val="0"/>
          <w:numId w:val="4"/>
        </w:numPr>
        <w:rPr>
          <w:rFonts w:eastAsiaTheme="majorEastAsia"/>
          <w:b/>
          <w:bCs/>
          <w:color w:val="2F5496" w:themeColor="accent1" w:themeShade="BF"/>
        </w:rPr>
      </w:pPr>
      <w:r w:rsidRPr="00904543">
        <w:fldChar w:fldCharType="begin"/>
      </w:r>
      <w:r w:rsidRPr="00904543">
        <w:instrText>HYPERLINK "https://www.sandwell.gov.uk/downloads/file/594/anti-social-behaviour-policy"</w:instrText>
      </w:r>
      <w:r w:rsidRPr="00904543">
        <w:fldChar w:fldCharType="separate"/>
      </w:r>
      <w:r w:rsidRPr="00305734">
        <w:rPr>
          <w:rStyle w:val="Hyperlink"/>
          <w:rFonts w:ascii="Arial" w:hAnsi="Arial" w:cs="Arial"/>
          <w:sz w:val="28"/>
          <w:szCs w:val="28"/>
        </w:rPr>
        <w:t>Anti-Social Behaviour (ASB) Policy</w:t>
      </w:r>
      <w:r w:rsidRPr="00904543">
        <w:fldChar w:fldCharType="end"/>
      </w:r>
    </w:p>
    <w:p w14:paraId="35D53730" w14:textId="77777777" w:rsidR="005D5EEB" w:rsidRPr="00305734" w:rsidRDefault="005D5EEB" w:rsidP="005D5EEB">
      <w:pPr>
        <w:pStyle w:val="ListParagraph"/>
        <w:numPr>
          <w:ilvl w:val="0"/>
          <w:numId w:val="4"/>
        </w:numPr>
        <w:rPr>
          <w:rFonts w:eastAsiaTheme="majorEastAsia"/>
          <w:b/>
          <w:bCs/>
        </w:rPr>
      </w:pPr>
      <w:hyperlink r:id="rId18" w:history="1">
        <w:r w:rsidRPr="00305734">
          <w:rPr>
            <w:rStyle w:val="Hyperlink"/>
            <w:rFonts w:ascii="Arial" w:hAnsi="Arial" w:cs="Arial"/>
            <w:sz w:val="28"/>
            <w:szCs w:val="28"/>
          </w:rPr>
          <w:t>Black Country Tenancy Strategy 2021</w:t>
        </w:r>
      </w:hyperlink>
    </w:p>
    <w:p w14:paraId="4FB2EB27" w14:textId="77777777" w:rsidR="005D5EEB" w:rsidRPr="00305734" w:rsidRDefault="005D5EEB" w:rsidP="005D5EEB">
      <w:pPr>
        <w:pStyle w:val="ListParagraph"/>
        <w:numPr>
          <w:ilvl w:val="0"/>
          <w:numId w:val="4"/>
        </w:numPr>
        <w:rPr>
          <w:rFonts w:eastAsiaTheme="majorEastAsia"/>
          <w:b/>
          <w:bCs/>
        </w:rPr>
      </w:pPr>
      <w:hyperlink r:id="rId19" w:history="1">
        <w:r w:rsidRPr="00305734">
          <w:rPr>
            <w:rStyle w:val="Hyperlink"/>
            <w:rFonts w:ascii="Arial" w:hAnsi="Arial" w:cs="Arial"/>
            <w:sz w:val="28"/>
            <w:szCs w:val="28"/>
          </w:rPr>
          <w:t>Decant Policy</w:t>
        </w:r>
      </w:hyperlink>
    </w:p>
    <w:p w14:paraId="1DF41248" w14:textId="77777777" w:rsidR="005D5EEB" w:rsidRPr="00305734" w:rsidRDefault="005D5EEB" w:rsidP="005D5EEB">
      <w:pPr>
        <w:pStyle w:val="ListParagraph"/>
        <w:numPr>
          <w:ilvl w:val="0"/>
          <w:numId w:val="4"/>
        </w:numPr>
        <w:rPr>
          <w:rFonts w:eastAsiaTheme="majorEastAsia"/>
          <w:b/>
          <w:bCs/>
        </w:rPr>
      </w:pPr>
      <w:hyperlink r:id="rId20" w:anchor=":~:text=Our%20Strategy%20sets%20out%20how,set%20of%20more%20complex%20circumstances." w:history="1">
        <w:r w:rsidRPr="00305734">
          <w:rPr>
            <w:rStyle w:val="Hyperlink"/>
            <w:rFonts w:ascii="Arial" w:hAnsi="Arial" w:cs="Arial"/>
            <w:sz w:val="28"/>
            <w:szCs w:val="28"/>
          </w:rPr>
          <w:t>Homelessness and Rough Sleeper Strategy 2022 – 2025</w:t>
        </w:r>
      </w:hyperlink>
    </w:p>
    <w:p w14:paraId="376E2933" w14:textId="77777777" w:rsidR="005D5EEB" w:rsidRPr="00305734" w:rsidRDefault="005D5EEB" w:rsidP="005D5EEB">
      <w:pPr>
        <w:pStyle w:val="ListParagraph"/>
        <w:numPr>
          <w:ilvl w:val="0"/>
          <w:numId w:val="4"/>
        </w:numPr>
        <w:rPr>
          <w:rFonts w:eastAsiaTheme="majorEastAsia"/>
          <w:b/>
          <w:bCs/>
        </w:rPr>
      </w:pPr>
      <w:hyperlink r:id="rId21" w:history="1">
        <w:r w:rsidRPr="00305734">
          <w:rPr>
            <w:rStyle w:val="Hyperlink"/>
            <w:rFonts w:ascii="Arial" w:hAnsi="Arial" w:cs="Arial"/>
            <w:sz w:val="28"/>
            <w:szCs w:val="28"/>
          </w:rPr>
          <w:t>Housing Allocations Policy</w:t>
        </w:r>
      </w:hyperlink>
    </w:p>
    <w:p w14:paraId="182F6997" w14:textId="77777777" w:rsidR="005D5EEB" w:rsidRPr="00305734" w:rsidRDefault="005D5EEB" w:rsidP="005D5EEB">
      <w:pPr>
        <w:pStyle w:val="ListParagraph"/>
        <w:numPr>
          <w:ilvl w:val="0"/>
          <w:numId w:val="4"/>
        </w:numPr>
        <w:rPr>
          <w:rFonts w:eastAsiaTheme="majorEastAsia"/>
          <w:b/>
          <w:bCs/>
        </w:rPr>
      </w:pPr>
      <w:hyperlink r:id="rId22" w:history="1">
        <w:r w:rsidRPr="00305734">
          <w:rPr>
            <w:rStyle w:val="Hyperlink"/>
            <w:rFonts w:ascii="Arial" w:hAnsi="Arial" w:cs="Arial"/>
            <w:sz w:val="28"/>
            <w:szCs w:val="28"/>
          </w:rPr>
          <w:t>Housing Strategy 2023 – 2028</w:t>
        </w:r>
      </w:hyperlink>
    </w:p>
    <w:p w14:paraId="6DF27415" w14:textId="77777777" w:rsidR="005D5EEB" w:rsidRPr="005D5EEB" w:rsidRDefault="005D5EEB" w:rsidP="005D5EEB">
      <w:pPr>
        <w:pStyle w:val="ListParagraph"/>
        <w:numPr>
          <w:ilvl w:val="0"/>
          <w:numId w:val="4"/>
        </w:numPr>
        <w:rPr>
          <w:rStyle w:val="Hyperlink"/>
          <w:rFonts w:eastAsiaTheme="majorEastAsia"/>
          <w:b/>
          <w:bCs/>
          <w:color w:val="2F5496" w:themeColor="accent1" w:themeShade="BF"/>
          <w:u w:val="none"/>
        </w:rPr>
      </w:pPr>
      <w:hyperlink r:id="rId23" w:history="1">
        <w:r w:rsidRPr="00305734">
          <w:rPr>
            <w:rStyle w:val="Hyperlink"/>
            <w:rFonts w:ascii="Arial" w:hAnsi="Arial" w:cs="Arial"/>
            <w:sz w:val="28"/>
            <w:szCs w:val="28"/>
          </w:rPr>
          <w:t>Tenancy Conditions and Agreement</w:t>
        </w:r>
      </w:hyperlink>
    </w:p>
    <w:p w14:paraId="77492F1C" w14:textId="77777777" w:rsidR="005D5EEB" w:rsidRPr="00305734" w:rsidRDefault="005D5EEB" w:rsidP="005D5EEB">
      <w:pPr>
        <w:pStyle w:val="ListParagraph"/>
        <w:ind w:left="927"/>
        <w:rPr>
          <w:rFonts w:eastAsiaTheme="majorEastAsia"/>
          <w:b/>
          <w:bCs/>
          <w:color w:val="2F5496" w:themeColor="accent1" w:themeShade="BF"/>
        </w:rPr>
      </w:pPr>
    </w:p>
    <w:p w14:paraId="4C5F62B9" w14:textId="77777777" w:rsidR="005D5EEB" w:rsidRPr="00184044" w:rsidRDefault="005D5EEB" w:rsidP="005D5EEB">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5" w:name="_Toc192110664"/>
      <w:bookmarkEnd w:id="14"/>
      <w:r w:rsidRPr="00184044">
        <w:rPr>
          <w:rFonts w:ascii="Arial" w:eastAsiaTheme="majorEastAsia" w:hAnsi="Arial" w:cs="Arial"/>
          <w:b/>
          <w:bCs/>
          <w:color w:val="2F5496" w:themeColor="accent1" w:themeShade="BF"/>
          <w:sz w:val="28"/>
          <w:szCs w:val="28"/>
        </w:rPr>
        <w:t>Development of Policy</w:t>
      </w:r>
      <w:bookmarkEnd w:id="15"/>
    </w:p>
    <w:p w14:paraId="025B3943" w14:textId="77777777" w:rsidR="005D5EEB" w:rsidRDefault="005D5EEB" w:rsidP="005D5EEB">
      <w:pPr>
        <w:keepNext/>
        <w:keepLines/>
        <w:spacing w:after="0"/>
        <w:outlineLvl w:val="0"/>
        <w:rPr>
          <w:rFonts w:ascii="Arial" w:eastAsiaTheme="majorEastAsia" w:hAnsi="Arial" w:cs="Arial"/>
          <w:b/>
          <w:bCs/>
          <w:color w:val="2F5496" w:themeColor="accent1" w:themeShade="BF"/>
          <w:sz w:val="28"/>
          <w:szCs w:val="28"/>
        </w:rPr>
      </w:pPr>
    </w:p>
    <w:p w14:paraId="00B081F5" w14:textId="77777777" w:rsidR="005D5EEB" w:rsidRDefault="005D5EEB" w:rsidP="005D5EEB">
      <w:pPr>
        <w:pStyle w:val="ListParagraph"/>
        <w:numPr>
          <w:ilvl w:val="1"/>
          <w:numId w:val="1"/>
        </w:numPr>
        <w:spacing w:after="0"/>
        <w:ind w:left="567" w:hanging="567"/>
        <w:rPr>
          <w:rFonts w:ascii="Arial" w:hAnsi="Arial" w:cs="Arial"/>
          <w:sz w:val="28"/>
          <w:szCs w:val="28"/>
        </w:rPr>
      </w:pPr>
      <w:r w:rsidRPr="005550EE">
        <w:rPr>
          <w:rFonts w:ascii="Arial" w:hAnsi="Arial" w:cs="Arial"/>
          <w:sz w:val="28"/>
          <w:szCs w:val="28"/>
        </w:rPr>
        <w:t>Sandwell Council believes that effective communication is key to tenant sustainability. As such, we will consult with residents on a draft version of this policy, providing opportunities for feedback both online and in person.</w:t>
      </w:r>
    </w:p>
    <w:p w14:paraId="0E76337B" w14:textId="77777777" w:rsidR="005D5EEB" w:rsidRPr="005550EE" w:rsidRDefault="005D5EEB" w:rsidP="005D5EEB">
      <w:pPr>
        <w:pStyle w:val="ListParagraph"/>
        <w:spacing w:after="0"/>
        <w:ind w:left="567"/>
        <w:rPr>
          <w:rFonts w:ascii="Arial" w:hAnsi="Arial" w:cs="Arial"/>
          <w:sz w:val="28"/>
          <w:szCs w:val="28"/>
        </w:rPr>
      </w:pPr>
    </w:p>
    <w:p w14:paraId="67A1A4E1" w14:textId="77777777" w:rsidR="005D5EEB" w:rsidRDefault="005D5EEB" w:rsidP="005D5EEB">
      <w:pPr>
        <w:pStyle w:val="ListParagraph"/>
        <w:numPr>
          <w:ilvl w:val="1"/>
          <w:numId w:val="1"/>
        </w:numPr>
        <w:spacing w:after="0"/>
        <w:ind w:left="567" w:hanging="567"/>
        <w:rPr>
          <w:rFonts w:ascii="Arial" w:hAnsi="Arial" w:cs="Arial"/>
          <w:sz w:val="28"/>
          <w:szCs w:val="28"/>
        </w:rPr>
      </w:pPr>
      <w:r w:rsidRPr="005550EE">
        <w:rPr>
          <w:rFonts w:ascii="Arial" w:hAnsi="Arial" w:cs="Arial"/>
          <w:sz w:val="28"/>
          <w:szCs w:val="28"/>
        </w:rPr>
        <w:t>By encouraging residents to share their feedback, Sandwell Council aims to enhance its understanding of tenancy sustainment and improve engagement with vulnerable residents.</w:t>
      </w:r>
    </w:p>
    <w:p w14:paraId="3F3F4973" w14:textId="77777777" w:rsidR="005D5EEB" w:rsidRPr="005550EE" w:rsidRDefault="005D5EEB" w:rsidP="005D5EEB">
      <w:pPr>
        <w:spacing w:after="0"/>
        <w:rPr>
          <w:rFonts w:ascii="Arial" w:hAnsi="Arial" w:cs="Arial"/>
          <w:sz w:val="28"/>
          <w:szCs w:val="28"/>
        </w:rPr>
      </w:pPr>
    </w:p>
    <w:p w14:paraId="79F19A8A" w14:textId="77777777" w:rsidR="005D5EEB" w:rsidRPr="000D1AC1" w:rsidRDefault="005D5EEB" w:rsidP="005D5EEB">
      <w:pPr>
        <w:pStyle w:val="ListParagraph"/>
        <w:numPr>
          <w:ilvl w:val="1"/>
          <w:numId w:val="1"/>
        </w:numPr>
        <w:spacing w:after="0"/>
        <w:ind w:left="567" w:hanging="567"/>
        <w:rPr>
          <w:rFonts w:ascii="Arial" w:hAnsi="Arial" w:cs="Arial"/>
          <w:sz w:val="28"/>
          <w:szCs w:val="28"/>
        </w:rPr>
      </w:pPr>
      <w:r w:rsidRPr="005550EE">
        <w:rPr>
          <w:rFonts w:ascii="Arial" w:hAnsi="Arial" w:cs="Arial"/>
          <w:sz w:val="28"/>
          <w:szCs w:val="28"/>
        </w:rPr>
        <w:t>We are committed to clear and transparent communication, ensuring that information is readily accessible to residents through our website.</w:t>
      </w:r>
    </w:p>
    <w:p w14:paraId="345ABA91" w14:textId="77777777" w:rsidR="005D5EEB" w:rsidRDefault="005D5EEB" w:rsidP="005D5EEB">
      <w:pPr>
        <w:keepNext/>
        <w:keepLines/>
        <w:spacing w:after="0"/>
        <w:outlineLvl w:val="0"/>
        <w:rPr>
          <w:rFonts w:ascii="Arial" w:eastAsiaTheme="majorEastAsia" w:hAnsi="Arial" w:cs="Arial"/>
          <w:b/>
          <w:bCs/>
          <w:color w:val="2F5496" w:themeColor="accent1" w:themeShade="BF"/>
          <w:sz w:val="32"/>
          <w:szCs w:val="32"/>
        </w:rPr>
      </w:pPr>
    </w:p>
    <w:p w14:paraId="34F39D44" w14:textId="77777777" w:rsidR="005D5EEB" w:rsidRPr="00184044" w:rsidRDefault="005D5EEB" w:rsidP="005D5EEB">
      <w:pPr>
        <w:pStyle w:val="ListParagraph"/>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6" w:name="_Toc192110665"/>
      <w:r w:rsidRPr="00184044">
        <w:rPr>
          <w:rFonts w:ascii="Arial" w:eastAsiaTheme="majorEastAsia" w:hAnsi="Arial" w:cs="Arial"/>
          <w:b/>
          <w:bCs/>
          <w:color w:val="2F5496" w:themeColor="accent1" w:themeShade="BF"/>
          <w:sz w:val="28"/>
          <w:szCs w:val="28"/>
        </w:rPr>
        <w:t>Legal Framework</w:t>
      </w:r>
      <w:bookmarkEnd w:id="16"/>
    </w:p>
    <w:p w14:paraId="00E51412" w14:textId="77777777" w:rsidR="005D5EEB" w:rsidRPr="009F3715" w:rsidRDefault="005D5EEB" w:rsidP="005D5EEB">
      <w:pPr>
        <w:keepNext/>
        <w:keepLines/>
        <w:spacing w:after="0"/>
        <w:outlineLvl w:val="0"/>
        <w:rPr>
          <w:rFonts w:ascii="Arial" w:eastAsiaTheme="majorEastAsia" w:hAnsi="Arial" w:cs="Arial"/>
          <w:b/>
          <w:bCs/>
          <w:color w:val="2F5496" w:themeColor="accent1" w:themeShade="BF"/>
          <w:sz w:val="32"/>
          <w:szCs w:val="32"/>
        </w:rPr>
      </w:pPr>
    </w:p>
    <w:p w14:paraId="6F3FAC43" w14:textId="77777777" w:rsidR="005D5EEB" w:rsidRPr="00F744E1" w:rsidRDefault="005D5EEB" w:rsidP="005D5EEB">
      <w:pPr>
        <w:pStyle w:val="ListParagraph"/>
        <w:numPr>
          <w:ilvl w:val="1"/>
          <w:numId w:val="1"/>
        </w:numPr>
        <w:spacing w:after="0"/>
        <w:ind w:left="567" w:hanging="567"/>
        <w:rPr>
          <w:rFonts w:ascii="Arial" w:hAnsi="Arial" w:cs="Arial"/>
          <w:sz w:val="28"/>
          <w:szCs w:val="28"/>
        </w:rPr>
      </w:pPr>
      <w:r w:rsidRPr="00F744E1">
        <w:rPr>
          <w:rFonts w:ascii="Arial" w:hAnsi="Arial" w:cs="Arial"/>
          <w:sz w:val="28"/>
          <w:szCs w:val="28"/>
        </w:rPr>
        <w:t>This policy is subject to, but not restricted to, the following specific regulations, codes of practice and guidelines:</w:t>
      </w:r>
    </w:p>
    <w:p w14:paraId="78C0693E"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Housing Act 2004</w:t>
      </w:r>
    </w:p>
    <w:p w14:paraId="08927247"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Localism Act 2011</w:t>
      </w:r>
    </w:p>
    <w:p w14:paraId="7536BFEB"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Homelessness Act 2002</w:t>
      </w:r>
    </w:p>
    <w:p w14:paraId="506D8811"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Welfare Reform Act 2012</w:t>
      </w:r>
    </w:p>
    <w:p w14:paraId="1509CB05"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Equalities Act 2010</w:t>
      </w:r>
    </w:p>
    <w:p w14:paraId="33BE464D"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Mental Health Act 1983, 2007</w:t>
      </w:r>
    </w:p>
    <w:p w14:paraId="259BB664"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Anti-Social Behaviour Act 2003, 2006, 2008, 2015</w:t>
      </w:r>
    </w:p>
    <w:p w14:paraId="61B0D991" w14:textId="77777777" w:rsidR="005D5EEB" w:rsidRPr="00305734" w:rsidRDefault="005D5EEB" w:rsidP="005D5EEB">
      <w:pPr>
        <w:pStyle w:val="ListParagraph"/>
        <w:numPr>
          <w:ilvl w:val="0"/>
          <w:numId w:val="3"/>
        </w:numPr>
        <w:rPr>
          <w:rFonts w:ascii="Arial" w:eastAsiaTheme="majorEastAsia" w:hAnsi="Arial" w:cs="Arial"/>
          <w:b/>
          <w:bCs/>
          <w:sz w:val="28"/>
          <w:szCs w:val="28"/>
        </w:rPr>
      </w:pPr>
      <w:r w:rsidRPr="00305734">
        <w:rPr>
          <w:rFonts w:ascii="Arial" w:hAnsi="Arial" w:cs="Arial"/>
          <w:sz w:val="28"/>
          <w:szCs w:val="28"/>
        </w:rPr>
        <w:t>Rehabilitation of Offenders Act 1974</w:t>
      </w:r>
    </w:p>
    <w:p w14:paraId="58977534" w14:textId="77777777" w:rsidR="005D5EEB" w:rsidRDefault="005D5EEB" w:rsidP="005D5EEB">
      <w:pPr>
        <w:keepNext/>
        <w:keepLines/>
        <w:spacing w:after="0"/>
        <w:outlineLvl w:val="0"/>
        <w:rPr>
          <w:rFonts w:ascii="Arial" w:eastAsiaTheme="majorEastAsia" w:hAnsi="Arial" w:cs="Arial"/>
          <w:b/>
          <w:bCs/>
          <w:color w:val="2F5496" w:themeColor="accent1" w:themeShade="BF"/>
          <w:sz w:val="32"/>
          <w:szCs w:val="32"/>
        </w:rPr>
      </w:pPr>
    </w:p>
    <w:p w14:paraId="45782A73" w14:textId="77777777" w:rsidR="005D5EEB" w:rsidRPr="00184044" w:rsidRDefault="005D5EEB" w:rsidP="005D5EEB">
      <w:pPr>
        <w:keepNext/>
        <w:keepLines/>
        <w:numPr>
          <w:ilvl w:val="0"/>
          <w:numId w:val="1"/>
        </w:numPr>
        <w:spacing w:after="0"/>
        <w:outlineLvl w:val="0"/>
        <w:rPr>
          <w:rFonts w:ascii="Arial" w:eastAsiaTheme="majorEastAsia" w:hAnsi="Arial" w:cs="Arial"/>
          <w:b/>
          <w:bCs/>
          <w:color w:val="2F5496" w:themeColor="accent1" w:themeShade="BF"/>
          <w:sz w:val="28"/>
          <w:szCs w:val="28"/>
        </w:rPr>
      </w:pPr>
      <w:bookmarkStart w:id="17" w:name="_Toc192110666"/>
      <w:r w:rsidRPr="00184044">
        <w:rPr>
          <w:rFonts w:ascii="Arial" w:eastAsiaTheme="majorEastAsia" w:hAnsi="Arial" w:cs="Arial"/>
          <w:b/>
          <w:bCs/>
          <w:color w:val="2F5496" w:themeColor="accent1" w:themeShade="BF"/>
          <w:sz w:val="28"/>
          <w:szCs w:val="28"/>
        </w:rPr>
        <w:t>Equality and Diversity</w:t>
      </w:r>
      <w:bookmarkEnd w:id="17"/>
      <w:r w:rsidRPr="00184044">
        <w:rPr>
          <w:rFonts w:ascii="Arial" w:eastAsiaTheme="majorEastAsia" w:hAnsi="Arial" w:cs="Arial"/>
          <w:b/>
          <w:bCs/>
          <w:color w:val="2F5496" w:themeColor="accent1" w:themeShade="BF"/>
          <w:sz w:val="28"/>
          <w:szCs w:val="28"/>
        </w:rPr>
        <w:t xml:space="preserve"> </w:t>
      </w:r>
    </w:p>
    <w:p w14:paraId="2E016076" w14:textId="77777777" w:rsidR="005D5EEB" w:rsidRDefault="005D5EEB" w:rsidP="005D5EEB">
      <w:pPr>
        <w:rPr>
          <w:rFonts w:ascii="Arial" w:hAnsi="Arial" w:cs="Arial"/>
          <w:sz w:val="28"/>
          <w:szCs w:val="28"/>
        </w:rPr>
      </w:pPr>
    </w:p>
    <w:p w14:paraId="4C565499" w14:textId="77777777" w:rsidR="00BA6875" w:rsidRPr="00240E9F" w:rsidRDefault="00BA6875" w:rsidP="00BA6875">
      <w:pPr>
        <w:pStyle w:val="paragraph"/>
        <w:numPr>
          <w:ilvl w:val="1"/>
          <w:numId w:val="13"/>
        </w:numPr>
        <w:spacing w:before="0" w:beforeAutospacing="0" w:after="0" w:afterAutospacing="0"/>
        <w:ind w:left="720"/>
        <w:textAlignment w:val="baseline"/>
        <w:rPr>
          <w:rFonts w:ascii="Arial" w:hAnsi="Arial" w:cs="Arial"/>
          <w:sz w:val="28"/>
          <w:szCs w:val="28"/>
        </w:rPr>
      </w:pPr>
      <w:r w:rsidRPr="00240E9F">
        <w:rPr>
          <w:rStyle w:val="normaltextrun"/>
          <w:rFonts w:ascii="Arial" w:eastAsiaTheme="majorEastAsia" w:hAnsi="Arial" w:cs="Arial"/>
          <w:sz w:val="28"/>
          <w:szCs w:val="28"/>
        </w:rPr>
        <w:t xml:space="preserve">Sandwell Council will ensure equal and fair access to our services; we will do this by taking into consideration the individual needs of our tenants, their family or other persons living with them. We will ensure that individual needs are considered throughout </w:t>
      </w:r>
      <w:r>
        <w:rPr>
          <w:rStyle w:val="normaltextrun"/>
          <w:rFonts w:ascii="Arial" w:eastAsiaTheme="majorEastAsia" w:hAnsi="Arial" w:cs="Arial"/>
          <w:sz w:val="28"/>
          <w:szCs w:val="28"/>
        </w:rPr>
        <w:t xml:space="preserve">the Neighbourhood Management </w:t>
      </w:r>
      <w:r w:rsidRPr="00240E9F">
        <w:rPr>
          <w:rStyle w:val="normaltextrun"/>
          <w:rFonts w:ascii="Arial" w:eastAsiaTheme="majorEastAsia" w:hAnsi="Arial" w:cs="Arial"/>
          <w:sz w:val="28"/>
          <w:szCs w:val="28"/>
        </w:rPr>
        <w:t>process and make reasonable adjustments where necessary. </w:t>
      </w:r>
      <w:r w:rsidRPr="00240E9F">
        <w:rPr>
          <w:rStyle w:val="eop"/>
          <w:rFonts w:ascii="Arial" w:hAnsi="Arial" w:cs="Arial"/>
          <w:sz w:val="28"/>
          <w:szCs w:val="28"/>
        </w:rPr>
        <w:t> </w:t>
      </w:r>
    </w:p>
    <w:p w14:paraId="26F83DDD" w14:textId="77777777" w:rsidR="00BA6875" w:rsidRPr="00240E9F" w:rsidRDefault="00BA6875" w:rsidP="00BA6875">
      <w:pPr>
        <w:pStyle w:val="paragraph"/>
        <w:spacing w:before="0" w:beforeAutospacing="0" w:after="0" w:afterAutospacing="0"/>
        <w:ind w:left="-165"/>
        <w:textAlignment w:val="baseline"/>
        <w:rPr>
          <w:rFonts w:ascii="Arial" w:hAnsi="Arial" w:cs="Arial"/>
          <w:sz w:val="28"/>
          <w:szCs w:val="28"/>
        </w:rPr>
      </w:pPr>
      <w:r w:rsidRPr="00240E9F">
        <w:rPr>
          <w:rStyle w:val="eop"/>
          <w:rFonts w:ascii="Arial" w:hAnsi="Arial" w:cs="Arial"/>
          <w:sz w:val="28"/>
          <w:szCs w:val="28"/>
        </w:rPr>
        <w:t> </w:t>
      </w:r>
    </w:p>
    <w:p w14:paraId="1C6A02C8" w14:textId="77777777" w:rsidR="00BA6875" w:rsidRPr="00240E9F" w:rsidRDefault="00BA6875" w:rsidP="00BA6875">
      <w:pPr>
        <w:pStyle w:val="paragraph"/>
        <w:numPr>
          <w:ilvl w:val="1"/>
          <w:numId w:val="13"/>
        </w:numPr>
        <w:spacing w:before="0" w:beforeAutospacing="0" w:after="0" w:afterAutospacing="0"/>
        <w:ind w:left="720"/>
        <w:textAlignment w:val="baseline"/>
        <w:rPr>
          <w:rFonts w:ascii="Arial" w:hAnsi="Arial" w:cs="Arial"/>
          <w:sz w:val="28"/>
          <w:szCs w:val="28"/>
        </w:rPr>
      </w:pPr>
      <w:r w:rsidRPr="00240E9F">
        <w:rPr>
          <w:rStyle w:val="normaltextrun"/>
          <w:rFonts w:ascii="Arial" w:eastAsiaTheme="majorEastAsia" w:hAnsi="Arial" w:cs="Arial"/>
          <w:sz w:val="28"/>
          <w:szCs w:val="28"/>
        </w:rPr>
        <w:t>The Council will treat people fairly and with dignity and respect. </w:t>
      </w:r>
      <w:r w:rsidRPr="00240E9F">
        <w:rPr>
          <w:rStyle w:val="eop"/>
          <w:rFonts w:ascii="Arial" w:hAnsi="Arial" w:cs="Arial"/>
          <w:sz w:val="28"/>
          <w:szCs w:val="28"/>
        </w:rPr>
        <w:t> </w:t>
      </w:r>
    </w:p>
    <w:p w14:paraId="29F96EAD" w14:textId="77777777" w:rsidR="00BA6875" w:rsidRPr="00240E9F" w:rsidRDefault="00BA6875" w:rsidP="00BA6875">
      <w:pPr>
        <w:pStyle w:val="paragraph"/>
        <w:spacing w:before="0" w:beforeAutospacing="0" w:after="0" w:afterAutospacing="0"/>
        <w:ind w:left="-165"/>
        <w:textAlignment w:val="baseline"/>
        <w:rPr>
          <w:rFonts w:ascii="Arial" w:hAnsi="Arial" w:cs="Arial"/>
          <w:sz w:val="28"/>
          <w:szCs w:val="28"/>
        </w:rPr>
      </w:pPr>
      <w:r w:rsidRPr="00240E9F">
        <w:rPr>
          <w:rStyle w:val="eop"/>
          <w:rFonts w:ascii="Arial" w:hAnsi="Arial" w:cs="Arial"/>
          <w:sz w:val="28"/>
          <w:szCs w:val="28"/>
        </w:rPr>
        <w:t> </w:t>
      </w:r>
    </w:p>
    <w:p w14:paraId="6117A947" w14:textId="77777777" w:rsidR="00BA6875" w:rsidRPr="00240E9F" w:rsidRDefault="00BA6875" w:rsidP="00BA6875">
      <w:pPr>
        <w:pStyle w:val="paragraph"/>
        <w:numPr>
          <w:ilvl w:val="1"/>
          <w:numId w:val="13"/>
        </w:numPr>
        <w:spacing w:before="0" w:beforeAutospacing="0" w:after="0" w:afterAutospacing="0"/>
        <w:ind w:left="720"/>
        <w:textAlignment w:val="baseline"/>
        <w:rPr>
          <w:rStyle w:val="eop"/>
          <w:rFonts w:ascii="Arial" w:hAnsi="Arial" w:cs="Arial"/>
          <w:sz w:val="28"/>
          <w:szCs w:val="28"/>
        </w:rPr>
      </w:pPr>
      <w:r w:rsidRPr="00240E9F">
        <w:rPr>
          <w:rStyle w:val="normaltextrun"/>
          <w:rFonts w:ascii="Arial" w:eastAsiaTheme="majorEastAsia" w:hAnsi="Arial" w:cs="Arial"/>
          <w:sz w:val="28"/>
          <w:szCs w:val="28"/>
        </w:rPr>
        <w:t xml:space="preserve">All staff are trained in Equality, Diversity, and Inclusion to embed understanding about where we may need to adapt normal policies, procedures, and ways of working to accommodate resident’s individual needs. This is mandatory training which is monitored by our Learning and Development Team. Our Equality, Diversity and </w:t>
      </w:r>
      <w:r w:rsidRPr="00240E9F">
        <w:rPr>
          <w:rStyle w:val="normaltextrun"/>
          <w:rFonts w:ascii="Arial" w:eastAsiaTheme="majorEastAsia" w:hAnsi="Arial" w:cs="Arial"/>
          <w:sz w:val="28"/>
          <w:szCs w:val="28"/>
        </w:rPr>
        <w:lastRenderedPageBreak/>
        <w:t>Inclusion Framework also meets our duties under the Equality Act 2010. </w:t>
      </w:r>
      <w:r w:rsidRPr="00240E9F">
        <w:rPr>
          <w:rStyle w:val="eop"/>
          <w:rFonts w:ascii="Arial" w:hAnsi="Arial" w:cs="Arial"/>
          <w:sz w:val="28"/>
          <w:szCs w:val="28"/>
        </w:rPr>
        <w:t> </w:t>
      </w:r>
    </w:p>
    <w:p w14:paraId="63C5FF1A" w14:textId="77777777" w:rsidR="00BA6875" w:rsidRPr="00240E9F" w:rsidRDefault="00BA6875" w:rsidP="00BA6875">
      <w:pPr>
        <w:pStyle w:val="paragraph"/>
        <w:spacing w:before="0" w:beforeAutospacing="0" w:after="0" w:afterAutospacing="0"/>
        <w:ind w:left="720"/>
        <w:textAlignment w:val="baseline"/>
        <w:rPr>
          <w:rFonts w:ascii="Arial" w:hAnsi="Arial" w:cs="Arial"/>
          <w:sz w:val="28"/>
          <w:szCs w:val="28"/>
        </w:rPr>
      </w:pPr>
    </w:p>
    <w:p w14:paraId="3DD88161" w14:textId="554EDF66" w:rsidR="00BA6875" w:rsidRDefault="00BA6875" w:rsidP="00BA6875">
      <w:pPr>
        <w:pStyle w:val="paragraph"/>
        <w:numPr>
          <w:ilvl w:val="1"/>
          <w:numId w:val="13"/>
        </w:numPr>
        <w:spacing w:before="0" w:beforeAutospacing="0" w:after="0" w:afterAutospacing="0"/>
        <w:ind w:left="720"/>
        <w:textAlignment w:val="baseline"/>
        <w:rPr>
          <w:rFonts w:ascii="Arial" w:hAnsi="Arial" w:cs="Arial"/>
          <w:sz w:val="28"/>
          <w:szCs w:val="28"/>
        </w:rPr>
      </w:pPr>
      <w:r w:rsidRPr="00240E9F">
        <w:rPr>
          <w:rFonts w:ascii="Arial" w:hAnsi="Arial" w:cs="Arial"/>
          <w:sz w:val="28"/>
          <w:szCs w:val="28"/>
        </w:rPr>
        <w:t xml:space="preserve">The draft Equality </w:t>
      </w:r>
      <w:r w:rsidRPr="00295DDD">
        <w:rPr>
          <w:rFonts w:ascii="Arial" w:hAnsi="Arial" w:cs="Arial"/>
          <w:sz w:val="28"/>
          <w:szCs w:val="28"/>
        </w:rPr>
        <w:t xml:space="preserve">Impact Assessment completed for the </w:t>
      </w:r>
      <w:r w:rsidR="001F69F1">
        <w:rPr>
          <w:rFonts w:ascii="Arial" w:hAnsi="Arial" w:cs="Arial"/>
          <w:sz w:val="28"/>
          <w:szCs w:val="28"/>
        </w:rPr>
        <w:t>Tenancy Sustainment</w:t>
      </w:r>
      <w:r w:rsidRPr="00295DDD">
        <w:rPr>
          <w:rFonts w:ascii="Arial" w:hAnsi="Arial" w:cs="Arial"/>
          <w:sz w:val="28"/>
          <w:szCs w:val="28"/>
        </w:rPr>
        <w:t xml:space="preserve"> Policy has identified no negative impacts, with positive impacts identified for some protected characteristics as this Policy will promote understanding and good relations within neighbourhoods.</w:t>
      </w:r>
    </w:p>
    <w:p w14:paraId="6F23E608" w14:textId="77777777" w:rsidR="00FA4394" w:rsidRDefault="00FA4394" w:rsidP="00FA4394">
      <w:pPr>
        <w:pStyle w:val="ListParagraph"/>
        <w:rPr>
          <w:rFonts w:ascii="Arial" w:hAnsi="Arial" w:cs="Arial"/>
          <w:sz w:val="28"/>
          <w:szCs w:val="28"/>
        </w:rPr>
      </w:pPr>
    </w:p>
    <w:p w14:paraId="10E9777D" w14:textId="7EB5EA25" w:rsidR="00466B94" w:rsidRPr="00466B94" w:rsidRDefault="00466B94" w:rsidP="00466B94">
      <w:pPr>
        <w:pStyle w:val="ListParagraph"/>
        <w:numPr>
          <w:ilvl w:val="1"/>
          <w:numId w:val="13"/>
        </w:numPr>
        <w:ind w:left="567" w:hanging="567"/>
        <w:rPr>
          <w:rFonts w:ascii="Arial" w:hAnsi="Arial" w:cs="Arial"/>
          <w:b/>
          <w:bCs/>
          <w:sz w:val="28"/>
          <w:szCs w:val="28"/>
        </w:rPr>
      </w:pPr>
      <w:r>
        <w:rPr>
          <w:rFonts w:ascii="Arial" w:hAnsi="Arial" w:cs="Arial"/>
          <w:b/>
          <w:bCs/>
          <w:sz w:val="28"/>
          <w:szCs w:val="28"/>
        </w:rPr>
        <w:t>ST*R Model</w:t>
      </w:r>
    </w:p>
    <w:p w14:paraId="65F739F4" w14:textId="77777777" w:rsidR="00466B94" w:rsidRPr="00466B94" w:rsidRDefault="00466B94" w:rsidP="00466B94">
      <w:pPr>
        <w:pStyle w:val="paragraph"/>
        <w:spacing w:after="0"/>
        <w:textAlignment w:val="baseline"/>
        <w:rPr>
          <w:rFonts w:ascii="Arial" w:hAnsi="Arial" w:cs="Arial"/>
          <w:sz w:val="28"/>
          <w:szCs w:val="28"/>
        </w:rPr>
      </w:pPr>
      <w:r w:rsidRPr="00466B94">
        <w:rPr>
          <w:rFonts w:ascii="Arial" w:hAnsi="Arial" w:cs="Arial"/>
          <w:sz w:val="28"/>
          <w:szCs w:val="28"/>
        </w:rPr>
        <w:t>As part of Sandwell Council’s commitment to providing a safe, supportive, and inclusive environment, the Council has adopted the ST*R practice model in its approach to tenancy sustainment. This model is built on three core principles that guide how the Council supports tenants in maintaining their tenancies:</w:t>
      </w:r>
    </w:p>
    <w:p w14:paraId="58772985" w14:textId="77777777" w:rsidR="00466B94" w:rsidRPr="00466B94" w:rsidRDefault="00466B94" w:rsidP="00466B94">
      <w:pPr>
        <w:pStyle w:val="paragraph"/>
        <w:numPr>
          <w:ilvl w:val="0"/>
          <w:numId w:val="16"/>
        </w:numPr>
        <w:spacing w:after="0"/>
        <w:textAlignment w:val="baseline"/>
        <w:rPr>
          <w:rFonts w:ascii="Arial" w:hAnsi="Arial" w:cs="Arial"/>
          <w:sz w:val="28"/>
          <w:szCs w:val="28"/>
        </w:rPr>
      </w:pPr>
      <w:r w:rsidRPr="00466B94">
        <w:rPr>
          <w:rFonts w:ascii="Arial" w:hAnsi="Arial" w:cs="Arial"/>
          <w:b/>
          <w:bCs/>
          <w:sz w:val="28"/>
          <w:szCs w:val="28"/>
        </w:rPr>
        <w:t>Strengths-Based Approach</w:t>
      </w:r>
      <w:r w:rsidRPr="00466B94">
        <w:rPr>
          <w:rFonts w:ascii="Arial" w:hAnsi="Arial" w:cs="Arial"/>
          <w:sz w:val="28"/>
          <w:szCs w:val="28"/>
        </w:rPr>
        <w:t>: Sandwell Council recognises that every individual has unique strengths, resilience, and capabilities. The Council’s approach focuses on identifying and building upon these strengths, empowering tenants to take control of their tenancy and overcome challenges. The Council works collaboratively with tenants to help them sustain their tenancies and improve their housing outcomes.</w:t>
      </w:r>
    </w:p>
    <w:p w14:paraId="6E80B206" w14:textId="77777777" w:rsidR="00466B94" w:rsidRPr="00466B94" w:rsidRDefault="00466B94" w:rsidP="00466B94">
      <w:pPr>
        <w:pStyle w:val="paragraph"/>
        <w:numPr>
          <w:ilvl w:val="0"/>
          <w:numId w:val="16"/>
        </w:numPr>
        <w:spacing w:after="0"/>
        <w:textAlignment w:val="baseline"/>
        <w:rPr>
          <w:rFonts w:ascii="Arial" w:hAnsi="Arial" w:cs="Arial"/>
          <w:sz w:val="28"/>
          <w:szCs w:val="28"/>
        </w:rPr>
      </w:pPr>
      <w:r w:rsidRPr="00466B94">
        <w:rPr>
          <w:rFonts w:ascii="Arial" w:hAnsi="Arial" w:cs="Arial"/>
          <w:b/>
          <w:bCs/>
          <w:sz w:val="28"/>
          <w:szCs w:val="28"/>
        </w:rPr>
        <w:t>Trauma-Informed Approach</w:t>
      </w:r>
      <w:r w:rsidRPr="00466B94">
        <w:rPr>
          <w:rFonts w:ascii="Arial" w:hAnsi="Arial" w:cs="Arial"/>
          <w:sz w:val="28"/>
          <w:szCs w:val="28"/>
        </w:rPr>
        <w:t>: Sandwell Council understands that tenants may face personal and emotional challenges that can impact their ability to sustain their tenancy. The Council is committed to offering support that is sensitive to these experiences, ensuring that all interactions are safe, compassionate, and respectful. The Council strives to create an environment where tenants feel supported and able to make informed decisions regarding their tenancy.</w:t>
      </w:r>
    </w:p>
    <w:p w14:paraId="5A3A80CC" w14:textId="77777777" w:rsidR="00466B94" w:rsidRPr="00466B94" w:rsidRDefault="00466B94" w:rsidP="00466B94">
      <w:pPr>
        <w:pStyle w:val="paragraph"/>
        <w:numPr>
          <w:ilvl w:val="0"/>
          <w:numId w:val="16"/>
        </w:numPr>
        <w:spacing w:after="0"/>
        <w:textAlignment w:val="baseline"/>
        <w:rPr>
          <w:rFonts w:ascii="Arial" w:hAnsi="Arial" w:cs="Arial"/>
          <w:sz w:val="28"/>
          <w:szCs w:val="28"/>
        </w:rPr>
      </w:pPr>
      <w:r w:rsidRPr="00466B94">
        <w:rPr>
          <w:rFonts w:ascii="Arial" w:hAnsi="Arial" w:cs="Arial"/>
          <w:b/>
          <w:bCs/>
          <w:sz w:val="28"/>
          <w:szCs w:val="28"/>
        </w:rPr>
        <w:t>Relationship-Based Approach</w:t>
      </w:r>
      <w:r w:rsidRPr="00466B94">
        <w:rPr>
          <w:rFonts w:ascii="Arial" w:hAnsi="Arial" w:cs="Arial"/>
          <w:sz w:val="28"/>
          <w:szCs w:val="28"/>
        </w:rPr>
        <w:t>: Sandwell Council believes that building trusting, respectful, and supportive relationships is essential in helping tenants sustain their tenancies. The Council’s staff are trained to approach each case with empathy and understanding, ensuring tenants feel valued and empowered. Through these strong relationships, the Council aims to create an environment where tenants feel secure, supported, and confident in managing their tenancy.</w:t>
      </w:r>
    </w:p>
    <w:p w14:paraId="5A90AE3B" w14:textId="656DCF6E" w:rsidR="005D5EEB" w:rsidRDefault="00466B94" w:rsidP="00466B94">
      <w:pPr>
        <w:pStyle w:val="paragraph"/>
        <w:spacing w:after="0"/>
        <w:textAlignment w:val="baseline"/>
        <w:rPr>
          <w:rFonts w:ascii="Arial" w:hAnsi="Arial" w:cs="Arial"/>
          <w:sz w:val="28"/>
          <w:szCs w:val="28"/>
        </w:rPr>
      </w:pPr>
      <w:r w:rsidRPr="00466B94">
        <w:rPr>
          <w:rFonts w:ascii="Arial" w:hAnsi="Arial" w:cs="Arial"/>
          <w:sz w:val="28"/>
          <w:szCs w:val="28"/>
        </w:rPr>
        <w:t xml:space="preserve">By embedding the ST*R practice model into Sandwell Council’s Tenancy Sustainment Policy, the Council reaffirms its commitment to offering </w:t>
      </w:r>
      <w:r w:rsidRPr="00466B94">
        <w:rPr>
          <w:rFonts w:ascii="Arial" w:hAnsi="Arial" w:cs="Arial"/>
          <w:sz w:val="28"/>
          <w:szCs w:val="28"/>
        </w:rPr>
        <w:lastRenderedPageBreak/>
        <w:t>trauma-informed, strengths-based, and relationship-focused support, ensuring that all tenants receive the care, respect, and assistance they need to sustain their tenancies and improve their housing stability.</w:t>
      </w:r>
    </w:p>
    <w:p w14:paraId="131D790D" w14:textId="77777777" w:rsidR="00466B94" w:rsidRPr="00466B94" w:rsidRDefault="00466B94" w:rsidP="00466B94">
      <w:pPr>
        <w:pStyle w:val="paragraph"/>
        <w:spacing w:after="0"/>
        <w:textAlignment w:val="baseline"/>
        <w:rPr>
          <w:rFonts w:ascii="Arial" w:hAnsi="Arial" w:cs="Arial"/>
          <w:sz w:val="28"/>
          <w:szCs w:val="28"/>
        </w:rPr>
      </w:pPr>
    </w:p>
    <w:p w14:paraId="7B78F14F" w14:textId="09783EFE" w:rsidR="005D5EEB" w:rsidRPr="00BA6875" w:rsidRDefault="005D5EEB" w:rsidP="00BA6875">
      <w:pPr>
        <w:pStyle w:val="ListParagraph"/>
        <w:numPr>
          <w:ilvl w:val="1"/>
          <w:numId w:val="13"/>
        </w:numPr>
        <w:ind w:left="567" w:hanging="567"/>
        <w:rPr>
          <w:rFonts w:ascii="Arial" w:hAnsi="Arial" w:cs="Arial"/>
          <w:b/>
          <w:bCs/>
          <w:sz w:val="28"/>
          <w:szCs w:val="28"/>
        </w:rPr>
      </w:pPr>
      <w:r w:rsidRPr="00BA6875">
        <w:rPr>
          <w:rFonts w:ascii="Arial" w:hAnsi="Arial" w:cs="Arial"/>
          <w:b/>
          <w:bCs/>
          <w:sz w:val="28"/>
          <w:szCs w:val="28"/>
        </w:rPr>
        <w:t>Reasonable Adjustments</w:t>
      </w:r>
    </w:p>
    <w:p w14:paraId="69CE68C5" w14:textId="52BF0E06" w:rsidR="005D5EEB" w:rsidRPr="00305734" w:rsidRDefault="005D5EEB" w:rsidP="005D5EEB">
      <w:pPr>
        <w:rPr>
          <w:rFonts w:ascii="Arial" w:hAnsi="Arial" w:cs="Arial"/>
          <w:sz w:val="28"/>
          <w:szCs w:val="28"/>
        </w:rPr>
      </w:pPr>
      <w:r w:rsidRPr="00305734">
        <w:rPr>
          <w:rFonts w:ascii="Arial" w:hAnsi="Arial" w:cs="Arial"/>
          <w:sz w:val="28"/>
          <w:szCs w:val="28"/>
        </w:rPr>
        <w:t xml:space="preserve">Sandwell Council will support the needs of our diverse residents by making reasonable adjustments to our </w:t>
      </w:r>
      <w:r w:rsidR="00C56835">
        <w:rPr>
          <w:rFonts w:ascii="Arial" w:hAnsi="Arial" w:cs="Arial"/>
          <w:sz w:val="28"/>
          <w:szCs w:val="28"/>
        </w:rPr>
        <w:t>Tenancy Management</w:t>
      </w:r>
      <w:r w:rsidRPr="00305734">
        <w:rPr>
          <w:rFonts w:ascii="Arial" w:hAnsi="Arial" w:cs="Arial"/>
          <w:sz w:val="28"/>
          <w:szCs w:val="28"/>
        </w:rPr>
        <w:t xml:space="preserve"> processes, which could be a physical change or change in work practices to avoid any disadvantage to a resident in accessing this policy. Examples of reasonable adjustments include: </w:t>
      </w:r>
    </w:p>
    <w:p w14:paraId="2E963E2F" w14:textId="77777777" w:rsidR="005D5EEB" w:rsidRPr="00305734" w:rsidRDefault="005D5EEB" w:rsidP="005D5EEB">
      <w:pPr>
        <w:numPr>
          <w:ilvl w:val="0"/>
          <w:numId w:val="5"/>
        </w:numPr>
        <w:rPr>
          <w:rFonts w:ascii="Arial" w:hAnsi="Arial" w:cs="Arial"/>
          <w:sz w:val="28"/>
          <w:szCs w:val="28"/>
        </w:rPr>
      </w:pPr>
      <w:r w:rsidRPr="00305734">
        <w:rPr>
          <w:rFonts w:ascii="Arial" w:hAnsi="Arial" w:cs="Arial"/>
          <w:sz w:val="28"/>
          <w:szCs w:val="28"/>
        </w:rPr>
        <w:t xml:space="preserve">We will provide information in appropriate alternative formats (e.g. large print). </w:t>
      </w:r>
    </w:p>
    <w:p w14:paraId="54DC6B23" w14:textId="5691F3DD" w:rsidR="005D5EEB" w:rsidRPr="00305734" w:rsidRDefault="005D5EEB" w:rsidP="005D5EEB">
      <w:pPr>
        <w:numPr>
          <w:ilvl w:val="0"/>
          <w:numId w:val="5"/>
        </w:numPr>
        <w:rPr>
          <w:rFonts w:ascii="Arial" w:hAnsi="Arial" w:cs="Arial"/>
          <w:sz w:val="28"/>
          <w:szCs w:val="28"/>
        </w:rPr>
      </w:pPr>
      <w:r w:rsidRPr="00305734">
        <w:rPr>
          <w:rFonts w:ascii="Arial" w:hAnsi="Arial" w:cs="Arial"/>
          <w:sz w:val="28"/>
          <w:szCs w:val="28"/>
        </w:rPr>
        <w:t xml:space="preserve">We will risk assess and re-prioritise </w:t>
      </w:r>
      <w:r w:rsidR="00313324">
        <w:rPr>
          <w:rFonts w:ascii="Arial" w:hAnsi="Arial" w:cs="Arial"/>
          <w:sz w:val="28"/>
          <w:szCs w:val="28"/>
        </w:rPr>
        <w:t>duties through</w:t>
      </w:r>
      <w:r w:rsidRPr="00305734">
        <w:rPr>
          <w:rFonts w:ascii="Arial" w:hAnsi="Arial" w:cs="Arial"/>
          <w:sz w:val="28"/>
          <w:szCs w:val="28"/>
        </w:rPr>
        <w:t xml:space="preserve"> considering the vulnerabilities or individual needs of the household where identified. </w:t>
      </w:r>
    </w:p>
    <w:p w14:paraId="2707044B" w14:textId="77777777" w:rsidR="005D5EEB" w:rsidRPr="00305734" w:rsidRDefault="005D5EEB" w:rsidP="005D5EEB">
      <w:pPr>
        <w:numPr>
          <w:ilvl w:val="0"/>
          <w:numId w:val="5"/>
        </w:numPr>
        <w:rPr>
          <w:rFonts w:ascii="Arial" w:hAnsi="Arial" w:cs="Arial"/>
          <w:sz w:val="28"/>
          <w:szCs w:val="28"/>
        </w:rPr>
      </w:pPr>
      <w:r w:rsidRPr="00305734">
        <w:rPr>
          <w:rFonts w:ascii="Arial" w:hAnsi="Arial" w:cs="Arial"/>
          <w:sz w:val="28"/>
          <w:szCs w:val="28"/>
        </w:rPr>
        <w:t xml:space="preserve">We will use plain language. </w:t>
      </w:r>
    </w:p>
    <w:p w14:paraId="533C7E46" w14:textId="77777777" w:rsidR="005D5EEB" w:rsidRPr="00305734" w:rsidRDefault="005D5EEB" w:rsidP="005D5EEB">
      <w:pPr>
        <w:numPr>
          <w:ilvl w:val="0"/>
          <w:numId w:val="5"/>
        </w:numPr>
        <w:rPr>
          <w:rFonts w:ascii="Arial" w:hAnsi="Arial" w:cs="Arial"/>
          <w:sz w:val="28"/>
          <w:szCs w:val="28"/>
        </w:rPr>
      </w:pPr>
      <w:r w:rsidRPr="00305734">
        <w:rPr>
          <w:rFonts w:ascii="Arial" w:hAnsi="Arial" w:cs="Arial"/>
          <w:sz w:val="28"/>
          <w:szCs w:val="28"/>
        </w:rPr>
        <w:t xml:space="preserve">This policy is published on our website, and residents can do the following: </w:t>
      </w:r>
    </w:p>
    <w:p w14:paraId="52C512C7" w14:textId="77777777" w:rsidR="005D5EEB" w:rsidRPr="00305734" w:rsidRDefault="005D5EEB" w:rsidP="005D5EEB">
      <w:pPr>
        <w:pStyle w:val="ListParagraph"/>
        <w:numPr>
          <w:ilvl w:val="0"/>
          <w:numId w:val="7"/>
        </w:numPr>
        <w:rPr>
          <w:rFonts w:ascii="Arial" w:hAnsi="Arial" w:cs="Arial"/>
          <w:sz w:val="28"/>
          <w:szCs w:val="28"/>
        </w:rPr>
      </w:pPr>
      <w:r w:rsidRPr="00305734">
        <w:rPr>
          <w:rFonts w:ascii="Arial" w:hAnsi="Arial" w:cs="Arial"/>
          <w:sz w:val="28"/>
          <w:szCs w:val="28"/>
        </w:rPr>
        <w:t xml:space="preserve">Change colours, contrast levels and font size. </w:t>
      </w:r>
    </w:p>
    <w:p w14:paraId="6D6E43D7" w14:textId="77777777" w:rsidR="005D5EEB" w:rsidRPr="00305734" w:rsidRDefault="005D5EEB" w:rsidP="005D5EEB">
      <w:pPr>
        <w:pStyle w:val="ListParagraph"/>
        <w:numPr>
          <w:ilvl w:val="0"/>
          <w:numId w:val="7"/>
        </w:numPr>
        <w:rPr>
          <w:rFonts w:ascii="Arial" w:hAnsi="Arial" w:cs="Arial"/>
          <w:sz w:val="28"/>
          <w:szCs w:val="28"/>
        </w:rPr>
      </w:pPr>
      <w:r w:rsidRPr="00305734">
        <w:rPr>
          <w:rFonts w:ascii="Arial" w:hAnsi="Arial" w:cs="Arial"/>
          <w:sz w:val="28"/>
          <w:szCs w:val="28"/>
        </w:rPr>
        <w:t xml:space="preserve">Zoom in up to 300% without text spilling off the screen. </w:t>
      </w:r>
    </w:p>
    <w:p w14:paraId="3A2D905C" w14:textId="77777777" w:rsidR="005D5EEB" w:rsidRPr="00305734" w:rsidRDefault="005D5EEB" w:rsidP="005D5EEB">
      <w:pPr>
        <w:pStyle w:val="ListParagraph"/>
        <w:numPr>
          <w:ilvl w:val="0"/>
          <w:numId w:val="7"/>
        </w:numPr>
        <w:rPr>
          <w:rFonts w:ascii="Arial" w:hAnsi="Arial" w:cs="Arial"/>
          <w:sz w:val="28"/>
          <w:szCs w:val="28"/>
        </w:rPr>
      </w:pPr>
      <w:r w:rsidRPr="00305734">
        <w:rPr>
          <w:rFonts w:ascii="Arial" w:hAnsi="Arial" w:cs="Arial"/>
          <w:sz w:val="28"/>
          <w:szCs w:val="28"/>
        </w:rPr>
        <w:t xml:space="preserve">Access the policy from a smart phone, tablet, laptop, or PC. </w:t>
      </w:r>
    </w:p>
    <w:p w14:paraId="0107D9A4" w14:textId="77777777" w:rsidR="005D5EEB" w:rsidRPr="00305734" w:rsidRDefault="005D5EEB" w:rsidP="005D5EEB">
      <w:pPr>
        <w:rPr>
          <w:rFonts w:ascii="Arial" w:hAnsi="Arial" w:cs="Arial"/>
          <w:sz w:val="28"/>
          <w:szCs w:val="28"/>
        </w:rPr>
      </w:pPr>
      <w:r w:rsidRPr="00305734">
        <w:rPr>
          <w:rFonts w:ascii="Arial" w:hAnsi="Arial" w:cs="Arial"/>
          <w:sz w:val="28"/>
          <w:szCs w:val="28"/>
        </w:rPr>
        <w:t>Customers can also request that we make any other reasonable adjustments in the following ways:</w:t>
      </w:r>
    </w:p>
    <w:p w14:paraId="25350F3E" w14:textId="77777777" w:rsidR="005D5EEB" w:rsidRPr="00305734" w:rsidRDefault="005D5EEB" w:rsidP="005D5EEB">
      <w:pPr>
        <w:pStyle w:val="ListParagraph"/>
        <w:numPr>
          <w:ilvl w:val="0"/>
          <w:numId w:val="6"/>
        </w:numPr>
        <w:rPr>
          <w:rFonts w:ascii="Arial" w:hAnsi="Arial" w:cs="Arial"/>
          <w:sz w:val="28"/>
          <w:szCs w:val="28"/>
        </w:rPr>
      </w:pPr>
      <w:r w:rsidRPr="00305734">
        <w:rPr>
          <w:rFonts w:ascii="Arial" w:hAnsi="Arial" w:cs="Arial"/>
          <w:sz w:val="28"/>
          <w:szCs w:val="28"/>
        </w:rPr>
        <w:t>in person</w:t>
      </w:r>
    </w:p>
    <w:p w14:paraId="7F968CDF" w14:textId="77777777" w:rsidR="005D5EEB" w:rsidRPr="00305734" w:rsidRDefault="005D5EEB" w:rsidP="005D5EEB">
      <w:pPr>
        <w:pStyle w:val="ListParagraph"/>
        <w:numPr>
          <w:ilvl w:val="0"/>
          <w:numId w:val="6"/>
        </w:numPr>
        <w:rPr>
          <w:rFonts w:ascii="Arial" w:hAnsi="Arial" w:cs="Arial"/>
          <w:sz w:val="28"/>
          <w:szCs w:val="28"/>
        </w:rPr>
      </w:pPr>
      <w:r w:rsidRPr="00305734">
        <w:rPr>
          <w:rFonts w:ascii="Arial" w:hAnsi="Arial" w:cs="Arial"/>
          <w:sz w:val="28"/>
          <w:szCs w:val="28"/>
        </w:rPr>
        <w:t>in writing for example by email, by post, text</w:t>
      </w:r>
    </w:p>
    <w:p w14:paraId="4DA73A10" w14:textId="77777777" w:rsidR="005D5EEB" w:rsidRPr="00305734" w:rsidRDefault="005D5EEB" w:rsidP="005D5EEB">
      <w:pPr>
        <w:pStyle w:val="ListParagraph"/>
        <w:numPr>
          <w:ilvl w:val="0"/>
          <w:numId w:val="6"/>
        </w:numPr>
        <w:rPr>
          <w:rFonts w:ascii="Arial" w:hAnsi="Arial" w:cs="Arial"/>
          <w:sz w:val="28"/>
          <w:szCs w:val="28"/>
        </w:rPr>
      </w:pPr>
      <w:r w:rsidRPr="00305734">
        <w:rPr>
          <w:rFonts w:ascii="Arial" w:hAnsi="Arial" w:cs="Arial"/>
          <w:sz w:val="28"/>
          <w:szCs w:val="28"/>
        </w:rPr>
        <w:t>by telephone</w:t>
      </w:r>
    </w:p>
    <w:p w14:paraId="236B6163" w14:textId="77777777" w:rsidR="005D5EEB" w:rsidRPr="00305734" w:rsidRDefault="005D5EEB" w:rsidP="005D5EEB">
      <w:pPr>
        <w:pStyle w:val="ListParagraph"/>
        <w:numPr>
          <w:ilvl w:val="0"/>
          <w:numId w:val="6"/>
        </w:numPr>
        <w:rPr>
          <w:rFonts w:ascii="Arial" w:hAnsi="Arial" w:cs="Arial"/>
          <w:sz w:val="28"/>
          <w:szCs w:val="28"/>
        </w:rPr>
      </w:pPr>
      <w:r w:rsidRPr="00305734">
        <w:rPr>
          <w:rFonts w:ascii="Arial" w:hAnsi="Arial" w:cs="Arial"/>
          <w:sz w:val="28"/>
          <w:szCs w:val="28"/>
        </w:rPr>
        <w:t>by a family member when we have been given permission to do so; and or</w:t>
      </w:r>
    </w:p>
    <w:p w14:paraId="6983EA2E" w14:textId="77777777" w:rsidR="005D5EEB" w:rsidRPr="00305734" w:rsidRDefault="005D5EEB" w:rsidP="005D5EEB">
      <w:pPr>
        <w:pStyle w:val="ListParagraph"/>
        <w:numPr>
          <w:ilvl w:val="0"/>
          <w:numId w:val="6"/>
        </w:numPr>
        <w:rPr>
          <w:rFonts w:ascii="Arial" w:hAnsi="Arial" w:cs="Arial"/>
          <w:sz w:val="28"/>
          <w:szCs w:val="28"/>
        </w:rPr>
      </w:pPr>
      <w:r w:rsidRPr="00305734">
        <w:rPr>
          <w:rFonts w:ascii="Arial" w:hAnsi="Arial" w:cs="Arial"/>
          <w:sz w:val="28"/>
          <w:szCs w:val="28"/>
        </w:rPr>
        <w:t>a member of staff may suggest for one to be made, when they are aware it will support the customer needs.</w:t>
      </w:r>
    </w:p>
    <w:p w14:paraId="20AB694D" w14:textId="7B100DAB" w:rsidR="00BA6875" w:rsidRDefault="005D5EEB" w:rsidP="00F60974">
      <w:pPr>
        <w:rPr>
          <w:rFonts w:ascii="Arial" w:hAnsi="Arial" w:cs="Arial"/>
          <w:sz w:val="28"/>
          <w:szCs w:val="28"/>
        </w:rPr>
      </w:pPr>
      <w:r w:rsidRPr="00305734">
        <w:rPr>
          <w:rFonts w:ascii="Arial" w:hAnsi="Arial" w:cs="Arial"/>
          <w:sz w:val="28"/>
          <w:szCs w:val="28"/>
        </w:rPr>
        <w:t xml:space="preserve">For more information, please refer to Sandwell’s </w:t>
      </w:r>
      <w:hyperlink r:id="rId24" w:history="1">
        <w:r w:rsidRPr="00305734">
          <w:rPr>
            <w:rStyle w:val="Hyperlink"/>
            <w:rFonts w:ascii="Arial" w:hAnsi="Arial" w:cs="Arial"/>
            <w:sz w:val="28"/>
            <w:szCs w:val="28"/>
          </w:rPr>
          <w:t>Reasonable Adjustments Policy</w:t>
        </w:r>
      </w:hyperlink>
      <w:r w:rsidR="008B4D1C">
        <w:rPr>
          <w:rFonts w:ascii="Arial" w:hAnsi="Arial" w:cs="Arial"/>
          <w:sz w:val="28"/>
          <w:szCs w:val="28"/>
        </w:rPr>
        <w:t>.</w:t>
      </w:r>
    </w:p>
    <w:p w14:paraId="789342AF" w14:textId="77777777" w:rsidR="00B65BF1" w:rsidRDefault="00B65BF1" w:rsidP="00F60974">
      <w:pPr>
        <w:rPr>
          <w:rFonts w:ascii="Arial" w:hAnsi="Arial" w:cs="Arial"/>
          <w:sz w:val="28"/>
          <w:szCs w:val="28"/>
        </w:rPr>
      </w:pPr>
    </w:p>
    <w:p w14:paraId="3E0F69AE" w14:textId="77777777" w:rsidR="004D07D7" w:rsidRPr="000A5FF6" w:rsidRDefault="004D07D7" w:rsidP="00BA6875">
      <w:pPr>
        <w:keepNext/>
        <w:keepLines/>
        <w:numPr>
          <w:ilvl w:val="0"/>
          <w:numId w:val="13"/>
        </w:numPr>
        <w:spacing w:after="0"/>
        <w:outlineLvl w:val="0"/>
        <w:rPr>
          <w:rFonts w:ascii="Arial" w:eastAsiaTheme="majorEastAsia" w:hAnsi="Arial" w:cs="Arial"/>
          <w:b/>
          <w:bCs/>
          <w:color w:val="2F5496" w:themeColor="accent1" w:themeShade="BF"/>
          <w:sz w:val="28"/>
          <w:szCs w:val="28"/>
        </w:rPr>
      </w:pPr>
      <w:bookmarkStart w:id="18" w:name="_Toc192107538"/>
      <w:bookmarkStart w:id="19" w:name="_Toc192110667"/>
      <w:r w:rsidRPr="000A5FF6">
        <w:rPr>
          <w:rFonts w:ascii="Arial" w:eastAsiaTheme="majorEastAsia" w:hAnsi="Arial" w:cs="Arial"/>
          <w:b/>
          <w:bCs/>
          <w:color w:val="2F5496" w:themeColor="accent1" w:themeShade="BF"/>
          <w:sz w:val="28"/>
          <w:szCs w:val="28"/>
        </w:rPr>
        <w:lastRenderedPageBreak/>
        <w:t>Monitoring and Review</w:t>
      </w:r>
      <w:bookmarkEnd w:id="18"/>
      <w:bookmarkEnd w:id="19"/>
      <w:r w:rsidRPr="000A5FF6">
        <w:rPr>
          <w:rFonts w:ascii="Arial" w:eastAsiaTheme="majorEastAsia" w:hAnsi="Arial" w:cs="Arial"/>
          <w:b/>
          <w:bCs/>
          <w:color w:val="2F5496" w:themeColor="accent1" w:themeShade="BF"/>
          <w:sz w:val="28"/>
          <w:szCs w:val="28"/>
        </w:rPr>
        <w:t xml:space="preserve"> </w:t>
      </w:r>
    </w:p>
    <w:p w14:paraId="705620BC" w14:textId="77777777" w:rsidR="004D07D7" w:rsidRPr="000A5FF6" w:rsidRDefault="004D07D7" w:rsidP="004D07D7">
      <w:pPr>
        <w:rPr>
          <w:rFonts w:ascii="Arial" w:hAnsi="Arial" w:cs="Arial"/>
          <w:sz w:val="28"/>
          <w:szCs w:val="28"/>
        </w:rPr>
      </w:pPr>
    </w:p>
    <w:p w14:paraId="3332B50C" w14:textId="77777777" w:rsidR="004D07D7" w:rsidRDefault="004D07D7" w:rsidP="00BA6875">
      <w:pPr>
        <w:pStyle w:val="ListParagraph"/>
        <w:numPr>
          <w:ilvl w:val="1"/>
          <w:numId w:val="13"/>
        </w:numPr>
        <w:ind w:left="567" w:hanging="567"/>
        <w:rPr>
          <w:rFonts w:ascii="Arial" w:hAnsi="Arial" w:cs="Arial"/>
          <w:sz w:val="28"/>
          <w:szCs w:val="28"/>
        </w:rPr>
      </w:pPr>
      <w:r w:rsidRPr="00793AA3">
        <w:rPr>
          <w:rFonts w:ascii="Arial" w:hAnsi="Arial" w:cs="Arial"/>
          <w:sz w:val="28"/>
          <w:szCs w:val="28"/>
        </w:rPr>
        <w:t>All information used in the writing of this Policy is up to date and in accordance with current legislation.</w:t>
      </w:r>
    </w:p>
    <w:p w14:paraId="3B5864CD" w14:textId="77777777" w:rsidR="004D07D7" w:rsidRPr="00793AA3" w:rsidRDefault="004D07D7" w:rsidP="004D07D7">
      <w:pPr>
        <w:pStyle w:val="ListParagraph"/>
        <w:ind w:left="567"/>
        <w:rPr>
          <w:rFonts w:ascii="Arial" w:hAnsi="Arial" w:cs="Arial"/>
          <w:sz w:val="28"/>
          <w:szCs w:val="28"/>
        </w:rPr>
      </w:pPr>
    </w:p>
    <w:p w14:paraId="491FE556" w14:textId="1D145D9D" w:rsidR="004D07D7" w:rsidRPr="00793AA3" w:rsidRDefault="004D07D7" w:rsidP="00BA6875">
      <w:pPr>
        <w:pStyle w:val="ListParagraph"/>
        <w:numPr>
          <w:ilvl w:val="1"/>
          <w:numId w:val="13"/>
        </w:numPr>
        <w:ind w:left="567" w:hanging="567"/>
        <w:rPr>
          <w:rFonts w:ascii="Arial" w:hAnsi="Arial" w:cs="Arial"/>
          <w:sz w:val="28"/>
          <w:szCs w:val="28"/>
        </w:rPr>
      </w:pPr>
      <w:r w:rsidRPr="00793AA3">
        <w:rPr>
          <w:rFonts w:ascii="Arial" w:hAnsi="Arial" w:cs="Arial"/>
          <w:sz w:val="28"/>
          <w:szCs w:val="28"/>
        </w:rPr>
        <w:t xml:space="preserve">This Policy will be reviewed </w:t>
      </w:r>
      <w:r w:rsidR="00753D23">
        <w:rPr>
          <w:rFonts w:ascii="Arial" w:hAnsi="Arial" w:cs="Arial"/>
          <w:sz w:val="28"/>
          <w:szCs w:val="28"/>
        </w:rPr>
        <w:t>every three years</w:t>
      </w:r>
      <w:r w:rsidRPr="00793AA3">
        <w:rPr>
          <w:rFonts w:ascii="Arial" w:hAnsi="Arial" w:cs="Arial"/>
          <w:sz w:val="28"/>
          <w:szCs w:val="28"/>
        </w:rPr>
        <w:t xml:space="preserve"> or sooner if there are significant changes in legislation, management, a major incident or if it is no longer suitable. </w:t>
      </w:r>
    </w:p>
    <w:p w14:paraId="67ADFE6A" w14:textId="77777777" w:rsidR="004D07D7" w:rsidRPr="005E3E20" w:rsidRDefault="004D07D7" w:rsidP="004D07D7">
      <w:pPr>
        <w:rPr>
          <w:rFonts w:ascii="Arial" w:hAnsi="Arial" w:cs="Arial"/>
          <w:sz w:val="28"/>
          <w:szCs w:val="28"/>
        </w:rPr>
      </w:pPr>
    </w:p>
    <w:p w14:paraId="1906111C" w14:textId="77777777" w:rsidR="004D07D7" w:rsidRDefault="004D07D7" w:rsidP="00BA6875">
      <w:pPr>
        <w:keepNext/>
        <w:keepLines/>
        <w:numPr>
          <w:ilvl w:val="0"/>
          <w:numId w:val="13"/>
        </w:numPr>
        <w:spacing w:after="0"/>
        <w:outlineLvl w:val="0"/>
        <w:rPr>
          <w:rFonts w:ascii="Arial" w:eastAsiaTheme="majorEastAsia" w:hAnsi="Arial" w:cs="Arial"/>
          <w:b/>
          <w:bCs/>
          <w:color w:val="2F5496" w:themeColor="accent1" w:themeShade="BF"/>
          <w:sz w:val="28"/>
          <w:szCs w:val="28"/>
        </w:rPr>
      </w:pPr>
      <w:bookmarkStart w:id="20" w:name="_Toc192107539"/>
      <w:bookmarkStart w:id="21" w:name="_Toc192110668"/>
      <w:r w:rsidRPr="000A5FF6">
        <w:rPr>
          <w:rFonts w:ascii="Arial" w:eastAsiaTheme="majorEastAsia" w:hAnsi="Arial" w:cs="Arial"/>
          <w:b/>
          <w:bCs/>
          <w:color w:val="2F5496" w:themeColor="accent1" w:themeShade="BF"/>
          <w:sz w:val="28"/>
          <w:szCs w:val="28"/>
        </w:rPr>
        <w:t>Policy Document Version Control</w:t>
      </w:r>
      <w:bookmarkEnd w:id="20"/>
      <w:bookmarkEnd w:id="21"/>
      <w:r w:rsidRPr="000A5FF6">
        <w:rPr>
          <w:rFonts w:ascii="Arial" w:eastAsiaTheme="majorEastAsia" w:hAnsi="Arial" w:cs="Arial"/>
          <w:b/>
          <w:bCs/>
          <w:color w:val="2F5496" w:themeColor="accent1" w:themeShade="BF"/>
          <w:sz w:val="28"/>
          <w:szCs w:val="28"/>
        </w:rPr>
        <w:t xml:space="preserve"> </w:t>
      </w:r>
    </w:p>
    <w:p w14:paraId="18CB2888" w14:textId="77777777" w:rsidR="004D07D7" w:rsidRPr="00F56BC0" w:rsidRDefault="004D07D7" w:rsidP="004D07D7">
      <w:pPr>
        <w:keepNext/>
        <w:keepLines/>
        <w:spacing w:after="0"/>
        <w:outlineLvl w:val="0"/>
        <w:rPr>
          <w:rFonts w:ascii="Arial" w:eastAsiaTheme="majorEastAsia" w:hAnsi="Arial" w:cs="Arial"/>
          <w:b/>
          <w:bCs/>
          <w:color w:val="2F5496" w:themeColor="accent1" w:themeShade="BF"/>
          <w:sz w:val="28"/>
          <w:szCs w:val="28"/>
        </w:rPr>
      </w:pPr>
    </w:p>
    <w:tbl>
      <w:tblPr>
        <w:tblStyle w:val="TableGrid"/>
        <w:tblW w:w="9209" w:type="dxa"/>
        <w:tblLook w:val="04A0" w:firstRow="1" w:lastRow="0" w:firstColumn="1" w:lastColumn="0" w:noHBand="0" w:noVBand="1"/>
      </w:tblPr>
      <w:tblGrid>
        <w:gridCol w:w="1395"/>
        <w:gridCol w:w="1618"/>
        <w:gridCol w:w="2850"/>
        <w:gridCol w:w="1536"/>
        <w:gridCol w:w="1810"/>
      </w:tblGrid>
      <w:tr w:rsidR="004D07D7" w:rsidRPr="0044074A" w14:paraId="72B7E78E" w14:textId="77777777">
        <w:trPr>
          <w:trHeight w:val="863"/>
        </w:trPr>
        <w:tc>
          <w:tcPr>
            <w:tcW w:w="1413" w:type="dxa"/>
          </w:tcPr>
          <w:p w14:paraId="44DE9637" w14:textId="77777777" w:rsidR="004D07D7" w:rsidRPr="00AE554F" w:rsidRDefault="004D07D7">
            <w:pPr>
              <w:spacing w:after="160" w:line="259" w:lineRule="auto"/>
              <w:rPr>
                <w:rFonts w:ascii="Arial" w:hAnsi="Arial" w:cs="Arial"/>
                <w:b/>
                <w:bCs/>
                <w:sz w:val="28"/>
                <w:szCs w:val="28"/>
              </w:rPr>
            </w:pPr>
            <w:r w:rsidRPr="00AE554F">
              <w:rPr>
                <w:rFonts w:ascii="Arial" w:hAnsi="Arial" w:cs="Arial"/>
                <w:b/>
                <w:bCs/>
                <w:sz w:val="28"/>
                <w:szCs w:val="28"/>
              </w:rPr>
              <w:t>Version</w:t>
            </w:r>
          </w:p>
        </w:tc>
        <w:tc>
          <w:tcPr>
            <w:tcW w:w="1417" w:type="dxa"/>
          </w:tcPr>
          <w:p w14:paraId="2A358749" w14:textId="77777777" w:rsidR="004D07D7" w:rsidRPr="00AE554F" w:rsidRDefault="004D07D7">
            <w:pPr>
              <w:spacing w:after="160" w:line="259" w:lineRule="auto"/>
              <w:rPr>
                <w:rFonts w:ascii="Arial" w:hAnsi="Arial" w:cs="Arial"/>
                <w:b/>
                <w:bCs/>
                <w:sz w:val="28"/>
                <w:szCs w:val="28"/>
              </w:rPr>
            </w:pPr>
            <w:r w:rsidRPr="00AE554F">
              <w:rPr>
                <w:rFonts w:ascii="Arial" w:hAnsi="Arial" w:cs="Arial"/>
                <w:b/>
                <w:bCs/>
                <w:sz w:val="28"/>
                <w:szCs w:val="28"/>
              </w:rPr>
              <w:t>Date</w:t>
            </w:r>
          </w:p>
        </w:tc>
        <w:tc>
          <w:tcPr>
            <w:tcW w:w="2977" w:type="dxa"/>
          </w:tcPr>
          <w:p w14:paraId="6293C40C" w14:textId="77777777" w:rsidR="004D07D7" w:rsidRPr="00AE554F" w:rsidRDefault="004D07D7">
            <w:pPr>
              <w:spacing w:after="160" w:line="259" w:lineRule="auto"/>
              <w:rPr>
                <w:rFonts w:ascii="Arial" w:hAnsi="Arial" w:cs="Arial"/>
                <w:b/>
                <w:bCs/>
                <w:sz w:val="28"/>
                <w:szCs w:val="28"/>
              </w:rPr>
            </w:pPr>
            <w:r w:rsidRPr="00AE554F">
              <w:rPr>
                <w:rFonts w:ascii="Arial" w:hAnsi="Arial" w:cs="Arial"/>
                <w:b/>
                <w:bCs/>
                <w:sz w:val="28"/>
                <w:szCs w:val="28"/>
              </w:rPr>
              <w:t>Description</w:t>
            </w:r>
          </w:p>
        </w:tc>
        <w:tc>
          <w:tcPr>
            <w:tcW w:w="1559" w:type="dxa"/>
          </w:tcPr>
          <w:p w14:paraId="59D4F9F7" w14:textId="77777777" w:rsidR="004D07D7" w:rsidRPr="00AE554F" w:rsidRDefault="004D07D7">
            <w:pPr>
              <w:spacing w:after="160" w:line="259" w:lineRule="auto"/>
              <w:rPr>
                <w:rFonts w:ascii="Arial" w:hAnsi="Arial" w:cs="Arial"/>
                <w:b/>
                <w:bCs/>
                <w:sz w:val="28"/>
                <w:szCs w:val="28"/>
              </w:rPr>
            </w:pPr>
            <w:r w:rsidRPr="00AE554F">
              <w:rPr>
                <w:rFonts w:ascii="Arial" w:hAnsi="Arial" w:cs="Arial"/>
                <w:b/>
                <w:bCs/>
                <w:sz w:val="28"/>
                <w:szCs w:val="28"/>
              </w:rPr>
              <w:t>Updated By</w:t>
            </w:r>
          </w:p>
        </w:tc>
        <w:tc>
          <w:tcPr>
            <w:tcW w:w="1843" w:type="dxa"/>
          </w:tcPr>
          <w:p w14:paraId="5A86715D" w14:textId="77777777" w:rsidR="004D07D7" w:rsidRPr="00AE554F" w:rsidRDefault="004D07D7">
            <w:pPr>
              <w:spacing w:after="160" w:line="259" w:lineRule="auto"/>
              <w:rPr>
                <w:rFonts w:ascii="Arial" w:hAnsi="Arial" w:cs="Arial"/>
                <w:b/>
                <w:bCs/>
                <w:sz w:val="28"/>
                <w:szCs w:val="28"/>
              </w:rPr>
            </w:pPr>
            <w:r w:rsidRPr="00AE554F">
              <w:rPr>
                <w:rFonts w:ascii="Arial" w:hAnsi="Arial" w:cs="Arial"/>
                <w:b/>
                <w:bCs/>
                <w:sz w:val="28"/>
                <w:szCs w:val="28"/>
              </w:rPr>
              <w:t>Approved By</w:t>
            </w:r>
          </w:p>
        </w:tc>
      </w:tr>
      <w:tr w:rsidR="000B15AF" w:rsidRPr="0044074A" w14:paraId="679AB7C7" w14:textId="77777777">
        <w:trPr>
          <w:trHeight w:val="863"/>
        </w:trPr>
        <w:tc>
          <w:tcPr>
            <w:tcW w:w="1413" w:type="dxa"/>
          </w:tcPr>
          <w:p w14:paraId="143B2C92" w14:textId="5C57BF9D" w:rsidR="000B15AF" w:rsidRPr="00AE554F" w:rsidRDefault="000B15AF" w:rsidP="000B15AF">
            <w:pPr>
              <w:spacing w:after="160" w:line="259" w:lineRule="auto"/>
              <w:rPr>
                <w:rFonts w:ascii="Arial" w:hAnsi="Arial" w:cs="Arial"/>
                <w:sz w:val="28"/>
                <w:szCs w:val="28"/>
              </w:rPr>
            </w:pPr>
            <w:r>
              <w:rPr>
                <w:rFonts w:ascii="Arial" w:hAnsi="Arial" w:cs="Arial"/>
                <w:sz w:val="28"/>
                <w:szCs w:val="28"/>
              </w:rPr>
              <w:t>1.0</w:t>
            </w:r>
          </w:p>
        </w:tc>
        <w:tc>
          <w:tcPr>
            <w:tcW w:w="1417" w:type="dxa"/>
          </w:tcPr>
          <w:p w14:paraId="3D29ABCA" w14:textId="298DE106" w:rsidR="000B15AF" w:rsidRPr="00AE554F" w:rsidRDefault="000B15AF" w:rsidP="000B15AF">
            <w:pPr>
              <w:spacing w:after="160" w:line="259" w:lineRule="auto"/>
              <w:rPr>
                <w:rFonts w:ascii="Arial" w:hAnsi="Arial" w:cs="Arial"/>
                <w:sz w:val="28"/>
                <w:szCs w:val="28"/>
              </w:rPr>
            </w:pPr>
            <w:r>
              <w:rPr>
                <w:rFonts w:ascii="Arial" w:hAnsi="Arial" w:cs="Arial"/>
                <w:sz w:val="28"/>
                <w:szCs w:val="28"/>
              </w:rPr>
              <w:t>07.05.2025</w:t>
            </w:r>
          </w:p>
        </w:tc>
        <w:tc>
          <w:tcPr>
            <w:tcW w:w="2977" w:type="dxa"/>
          </w:tcPr>
          <w:p w14:paraId="02B03A8E" w14:textId="42FE7826" w:rsidR="000B15AF" w:rsidRPr="00AE554F" w:rsidRDefault="000B15AF" w:rsidP="000B15AF">
            <w:pPr>
              <w:spacing w:after="160" w:line="259" w:lineRule="auto"/>
              <w:rPr>
                <w:rFonts w:ascii="Arial" w:hAnsi="Arial" w:cs="Arial"/>
                <w:sz w:val="28"/>
                <w:szCs w:val="28"/>
              </w:rPr>
            </w:pPr>
            <w:r>
              <w:rPr>
                <w:rFonts w:ascii="Arial" w:hAnsi="Arial" w:cs="Arial"/>
                <w:sz w:val="28"/>
                <w:szCs w:val="28"/>
              </w:rPr>
              <w:t>Document approved at Cabinet.</w:t>
            </w:r>
          </w:p>
        </w:tc>
        <w:tc>
          <w:tcPr>
            <w:tcW w:w="1559" w:type="dxa"/>
          </w:tcPr>
          <w:p w14:paraId="3DC308B7" w14:textId="375422E5" w:rsidR="000B15AF" w:rsidRPr="00AE554F" w:rsidRDefault="000B15AF" w:rsidP="000B15AF">
            <w:pPr>
              <w:spacing w:after="160" w:line="259" w:lineRule="auto"/>
              <w:rPr>
                <w:rFonts w:ascii="Arial" w:hAnsi="Arial" w:cs="Arial"/>
                <w:sz w:val="28"/>
                <w:szCs w:val="28"/>
              </w:rPr>
            </w:pPr>
            <w:r>
              <w:rPr>
                <w:rFonts w:ascii="Arial" w:hAnsi="Arial" w:cs="Arial"/>
                <w:sz w:val="28"/>
                <w:szCs w:val="28"/>
              </w:rPr>
              <w:t>Louis Bebb</w:t>
            </w:r>
          </w:p>
        </w:tc>
        <w:tc>
          <w:tcPr>
            <w:tcW w:w="1843" w:type="dxa"/>
          </w:tcPr>
          <w:p w14:paraId="7E3237FC" w14:textId="31CB83E8" w:rsidR="000B15AF" w:rsidRPr="00AE554F" w:rsidRDefault="000B15AF" w:rsidP="000B15AF">
            <w:pPr>
              <w:spacing w:after="160" w:line="259" w:lineRule="auto"/>
              <w:rPr>
                <w:rFonts w:ascii="Arial" w:hAnsi="Arial" w:cs="Arial"/>
                <w:sz w:val="28"/>
                <w:szCs w:val="28"/>
              </w:rPr>
            </w:pPr>
            <w:r>
              <w:rPr>
                <w:rFonts w:ascii="Arial" w:hAnsi="Arial" w:cs="Arial"/>
                <w:sz w:val="28"/>
                <w:szCs w:val="28"/>
              </w:rPr>
              <w:t>Cabinet</w:t>
            </w:r>
          </w:p>
        </w:tc>
      </w:tr>
      <w:tr w:rsidR="000B15AF" w:rsidRPr="0044074A" w14:paraId="6734CA55" w14:textId="77777777">
        <w:trPr>
          <w:trHeight w:val="50"/>
        </w:trPr>
        <w:tc>
          <w:tcPr>
            <w:tcW w:w="1413" w:type="dxa"/>
          </w:tcPr>
          <w:p w14:paraId="3589499A" w14:textId="25AC5177" w:rsidR="000B15AF" w:rsidRPr="00AE554F" w:rsidRDefault="000B15AF" w:rsidP="000B15AF">
            <w:pPr>
              <w:spacing w:after="160" w:line="259" w:lineRule="auto"/>
              <w:rPr>
                <w:rFonts w:ascii="Arial" w:hAnsi="Arial" w:cs="Arial"/>
                <w:sz w:val="28"/>
                <w:szCs w:val="28"/>
              </w:rPr>
            </w:pPr>
            <w:r>
              <w:rPr>
                <w:rFonts w:ascii="Arial" w:hAnsi="Arial" w:cs="Arial"/>
                <w:sz w:val="28"/>
                <w:szCs w:val="28"/>
              </w:rPr>
              <w:t>2.0</w:t>
            </w:r>
          </w:p>
        </w:tc>
        <w:tc>
          <w:tcPr>
            <w:tcW w:w="1417" w:type="dxa"/>
          </w:tcPr>
          <w:p w14:paraId="6ED95988" w14:textId="4FCA8648" w:rsidR="000B15AF" w:rsidRPr="00AE554F" w:rsidRDefault="000B15AF" w:rsidP="000B15AF">
            <w:pPr>
              <w:spacing w:after="160" w:line="259" w:lineRule="auto"/>
              <w:rPr>
                <w:rFonts w:ascii="Arial" w:hAnsi="Arial" w:cs="Arial"/>
                <w:sz w:val="28"/>
                <w:szCs w:val="28"/>
              </w:rPr>
            </w:pPr>
          </w:p>
        </w:tc>
        <w:tc>
          <w:tcPr>
            <w:tcW w:w="2977" w:type="dxa"/>
          </w:tcPr>
          <w:p w14:paraId="234CA647" w14:textId="3C8184A5" w:rsidR="000B15AF" w:rsidRPr="00AE554F" w:rsidRDefault="000B15AF" w:rsidP="000B15AF">
            <w:pPr>
              <w:spacing w:after="160" w:line="259" w:lineRule="auto"/>
              <w:rPr>
                <w:rFonts w:ascii="Arial" w:hAnsi="Arial" w:cs="Arial"/>
                <w:sz w:val="28"/>
                <w:szCs w:val="28"/>
              </w:rPr>
            </w:pPr>
          </w:p>
        </w:tc>
        <w:tc>
          <w:tcPr>
            <w:tcW w:w="1559" w:type="dxa"/>
          </w:tcPr>
          <w:p w14:paraId="4E93AC9C" w14:textId="5EBE103B" w:rsidR="000B15AF" w:rsidRPr="00AE554F" w:rsidRDefault="000B15AF" w:rsidP="000B15AF">
            <w:pPr>
              <w:spacing w:after="160" w:line="259" w:lineRule="auto"/>
              <w:rPr>
                <w:rFonts w:ascii="Arial" w:hAnsi="Arial" w:cs="Arial"/>
                <w:sz w:val="28"/>
                <w:szCs w:val="28"/>
              </w:rPr>
            </w:pPr>
          </w:p>
        </w:tc>
        <w:tc>
          <w:tcPr>
            <w:tcW w:w="1843" w:type="dxa"/>
          </w:tcPr>
          <w:p w14:paraId="1251CD11" w14:textId="77777777" w:rsidR="000B15AF" w:rsidRPr="00AE554F" w:rsidRDefault="000B15AF" w:rsidP="000B15AF">
            <w:pPr>
              <w:spacing w:after="160" w:line="259" w:lineRule="auto"/>
              <w:rPr>
                <w:rFonts w:ascii="Arial" w:hAnsi="Arial" w:cs="Arial"/>
                <w:sz w:val="28"/>
                <w:szCs w:val="28"/>
              </w:rPr>
            </w:pPr>
          </w:p>
        </w:tc>
      </w:tr>
      <w:tr w:rsidR="000B15AF" w:rsidRPr="0044074A" w14:paraId="651F6D87" w14:textId="77777777">
        <w:trPr>
          <w:trHeight w:val="50"/>
        </w:trPr>
        <w:tc>
          <w:tcPr>
            <w:tcW w:w="1413" w:type="dxa"/>
          </w:tcPr>
          <w:p w14:paraId="6F4311D1" w14:textId="59BDCD99" w:rsidR="000B15AF" w:rsidRDefault="000B15AF" w:rsidP="000B15AF">
            <w:pPr>
              <w:rPr>
                <w:rFonts w:ascii="Arial" w:hAnsi="Arial" w:cs="Arial"/>
                <w:sz w:val="28"/>
                <w:szCs w:val="28"/>
              </w:rPr>
            </w:pPr>
            <w:r>
              <w:rPr>
                <w:rFonts w:ascii="Arial" w:hAnsi="Arial" w:cs="Arial"/>
                <w:sz w:val="28"/>
                <w:szCs w:val="28"/>
              </w:rPr>
              <w:t>3.0</w:t>
            </w:r>
          </w:p>
        </w:tc>
        <w:tc>
          <w:tcPr>
            <w:tcW w:w="1417" w:type="dxa"/>
          </w:tcPr>
          <w:p w14:paraId="7B0F7130" w14:textId="77777777" w:rsidR="000B15AF" w:rsidRDefault="000B15AF" w:rsidP="000B15AF">
            <w:pPr>
              <w:rPr>
                <w:rFonts w:ascii="Arial" w:hAnsi="Arial" w:cs="Arial"/>
                <w:sz w:val="28"/>
                <w:szCs w:val="28"/>
              </w:rPr>
            </w:pPr>
          </w:p>
          <w:p w14:paraId="1A763ECB" w14:textId="77777777" w:rsidR="000B15AF" w:rsidRPr="00AE554F" w:rsidRDefault="000B15AF" w:rsidP="000B15AF">
            <w:pPr>
              <w:rPr>
                <w:rFonts w:ascii="Arial" w:hAnsi="Arial" w:cs="Arial"/>
                <w:sz w:val="28"/>
                <w:szCs w:val="28"/>
              </w:rPr>
            </w:pPr>
          </w:p>
        </w:tc>
        <w:tc>
          <w:tcPr>
            <w:tcW w:w="2977" w:type="dxa"/>
          </w:tcPr>
          <w:p w14:paraId="4553AB11" w14:textId="77777777" w:rsidR="000B15AF" w:rsidRPr="00AE554F" w:rsidRDefault="000B15AF" w:rsidP="000B15AF">
            <w:pPr>
              <w:rPr>
                <w:rFonts w:ascii="Arial" w:hAnsi="Arial" w:cs="Arial"/>
                <w:sz w:val="28"/>
                <w:szCs w:val="28"/>
              </w:rPr>
            </w:pPr>
          </w:p>
        </w:tc>
        <w:tc>
          <w:tcPr>
            <w:tcW w:w="1559" w:type="dxa"/>
          </w:tcPr>
          <w:p w14:paraId="35D6834B" w14:textId="77777777" w:rsidR="000B15AF" w:rsidRPr="00AE554F" w:rsidRDefault="000B15AF" w:rsidP="000B15AF">
            <w:pPr>
              <w:rPr>
                <w:rFonts w:ascii="Arial" w:hAnsi="Arial" w:cs="Arial"/>
                <w:sz w:val="28"/>
                <w:szCs w:val="28"/>
              </w:rPr>
            </w:pPr>
          </w:p>
        </w:tc>
        <w:tc>
          <w:tcPr>
            <w:tcW w:w="1843" w:type="dxa"/>
          </w:tcPr>
          <w:p w14:paraId="01779F1B" w14:textId="77777777" w:rsidR="000B15AF" w:rsidRPr="00AE554F" w:rsidRDefault="000B15AF" w:rsidP="000B15AF">
            <w:pPr>
              <w:rPr>
                <w:rFonts w:ascii="Arial" w:hAnsi="Arial" w:cs="Arial"/>
                <w:sz w:val="28"/>
                <w:szCs w:val="28"/>
              </w:rPr>
            </w:pPr>
          </w:p>
        </w:tc>
      </w:tr>
    </w:tbl>
    <w:p w14:paraId="73E491F2" w14:textId="6DD8EDBB" w:rsidR="00F60974" w:rsidRPr="00227B70" w:rsidRDefault="00F60974" w:rsidP="0004133B"/>
    <w:sectPr w:rsidR="00F60974" w:rsidRPr="00227B70" w:rsidSect="008242F5">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4286" w14:textId="77777777" w:rsidR="00F965ED" w:rsidRDefault="00F965ED" w:rsidP="00EA2047">
      <w:pPr>
        <w:spacing w:after="0" w:line="240" w:lineRule="auto"/>
      </w:pPr>
      <w:r>
        <w:separator/>
      </w:r>
    </w:p>
  </w:endnote>
  <w:endnote w:type="continuationSeparator" w:id="0">
    <w:p w14:paraId="7A02DC7A" w14:textId="77777777" w:rsidR="00F965ED" w:rsidRDefault="00F965ED" w:rsidP="00EA2047">
      <w:pPr>
        <w:spacing w:after="0" w:line="240" w:lineRule="auto"/>
      </w:pPr>
      <w:r>
        <w:continuationSeparator/>
      </w:r>
    </w:p>
  </w:endnote>
  <w:endnote w:type="continuationNotice" w:id="1">
    <w:p w14:paraId="23917031" w14:textId="77777777" w:rsidR="00F965ED" w:rsidRDefault="00F96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930535"/>
      <w:docPartObj>
        <w:docPartGallery w:val="Page Numbers (Bottom of Page)"/>
        <w:docPartUnique/>
      </w:docPartObj>
    </w:sdtPr>
    <w:sdtEndPr/>
    <w:sdtContent>
      <w:p w14:paraId="046F72D1" w14:textId="51F689DD" w:rsidR="00EA2047" w:rsidRDefault="00EA2047">
        <w:pPr>
          <w:pStyle w:val="Footer"/>
          <w:jc w:val="right"/>
        </w:pPr>
        <w:r w:rsidRPr="00EA2047">
          <w:rPr>
            <w:rFonts w:ascii="Arial" w:hAnsi="Arial" w:cs="Arial"/>
            <w:sz w:val="24"/>
            <w:szCs w:val="24"/>
          </w:rPr>
          <w:fldChar w:fldCharType="begin"/>
        </w:r>
        <w:r w:rsidRPr="00EA2047">
          <w:rPr>
            <w:rFonts w:ascii="Arial" w:hAnsi="Arial" w:cs="Arial"/>
            <w:sz w:val="24"/>
            <w:szCs w:val="24"/>
          </w:rPr>
          <w:instrText>PAGE   \* MERGEFORMAT</w:instrText>
        </w:r>
        <w:r w:rsidRPr="00EA2047">
          <w:rPr>
            <w:rFonts w:ascii="Arial" w:hAnsi="Arial" w:cs="Arial"/>
            <w:sz w:val="24"/>
            <w:szCs w:val="24"/>
          </w:rPr>
          <w:fldChar w:fldCharType="separate"/>
        </w:r>
        <w:r w:rsidRPr="00EA2047">
          <w:rPr>
            <w:rFonts w:ascii="Arial" w:hAnsi="Arial" w:cs="Arial"/>
            <w:sz w:val="24"/>
            <w:szCs w:val="24"/>
          </w:rPr>
          <w:t>2</w:t>
        </w:r>
        <w:r w:rsidRPr="00EA2047">
          <w:rPr>
            <w:rFonts w:ascii="Arial" w:hAnsi="Arial" w:cs="Arial"/>
            <w:sz w:val="24"/>
            <w:szCs w:val="24"/>
          </w:rPr>
          <w:fldChar w:fldCharType="end"/>
        </w:r>
      </w:p>
    </w:sdtContent>
  </w:sdt>
  <w:p w14:paraId="191118DD" w14:textId="77777777" w:rsidR="00EA2047" w:rsidRDefault="00EA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EC45" w14:textId="77777777" w:rsidR="00F965ED" w:rsidRDefault="00F965ED" w:rsidP="00EA2047">
      <w:pPr>
        <w:spacing w:after="0" w:line="240" w:lineRule="auto"/>
      </w:pPr>
      <w:r>
        <w:separator/>
      </w:r>
    </w:p>
  </w:footnote>
  <w:footnote w:type="continuationSeparator" w:id="0">
    <w:p w14:paraId="4D5F13F3" w14:textId="77777777" w:rsidR="00F965ED" w:rsidRDefault="00F965ED" w:rsidP="00EA2047">
      <w:pPr>
        <w:spacing w:after="0" w:line="240" w:lineRule="auto"/>
      </w:pPr>
      <w:r>
        <w:continuationSeparator/>
      </w:r>
    </w:p>
  </w:footnote>
  <w:footnote w:type="continuationNotice" w:id="1">
    <w:p w14:paraId="6D3CC738" w14:textId="77777777" w:rsidR="00F965ED" w:rsidRDefault="00F965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B38"/>
    <w:multiLevelType w:val="multilevel"/>
    <w:tmpl w:val="3098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244E3"/>
    <w:multiLevelType w:val="hybridMultilevel"/>
    <w:tmpl w:val="DEFCF55C"/>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6087368"/>
    <w:multiLevelType w:val="hybridMultilevel"/>
    <w:tmpl w:val="499E8FD2"/>
    <w:lvl w:ilvl="0" w:tplc="6BD090A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4F41C5"/>
    <w:multiLevelType w:val="hybridMultilevel"/>
    <w:tmpl w:val="BC326B32"/>
    <w:lvl w:ilvl="0" w:tplc="6BD090A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45972"/>
    <w:multiLevelType w:val="multilevel"/>
    <w:tmpl w:val="78E4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C362E"/>
    <w:multiLevelType w:val="multilevel"/>
    <w:tmpl w:val="6A5814C0"/>
    <w:lvl w:ilvl="0">
      <w:start w:val="8"/>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EA2189"/>
    <w:multiLevelType w:val="hybridMultilevel"/>
    <w:tmpl w:val="474A7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7532A9"/>
    <w:multiLevelType w:val="hybridMultilevel"/>
    <w:tmpl w:val="91A8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357C0"/>
    <w:multiLevelType w:val="hybridMultilevel"/>
    <w:tmpl w:val="6860B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45CE5"/>
    <w:multiLevelType w:val="hybridMultilevel"/>
    <w:tmpl w:val="F558D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9627B"/>
    <w:multiLevelType w:val="hybridMultilevel"/>
    <w:tmpl w:val="C938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B6153"/>
    <w:multiLevelType w:val="hybridMultilevel"/>
    <w:tmpl w:val="1C6A957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593" w:hanging="360"/>
      </w:pPr>
      <w:rPr>
        <w:rFonts w:ascii="Courier New" w:hAnsi="Courier New" w:cs="Courier New" w:hint="default"/>
      </w:rPr>
    </w:lvl>
    <w:lvl w:ilvl="2" w:tplc="FFFFFFFF" w:tentative="1">
      <w:start w:val="1"/>
      <w:numFmt w:val="bullet"/>
      <w:lvlText w:val=""/>
      <w:lvlJc w:val="left"/>
      <w:pPr>
        <w:ind w:left="2313" w:hanging="360"/>
      </w:pPr>
      <w:rPr>
        <w:rFonts w:ascii="Wingdings" w:hAnsi="Wingdings" w:hint="default"/>
      </w:rPr>
    </w:lvl>
    <w:lvl w:ilvl="3" w:tplc="FFFFFFFF" w:tentative="1">
      <w:start w:val="1"/>
      <w:numFmt w:val="bullet"/>
      <w:lvlText w:val=""/>
      <w:lvlJc w:val="left"/>
      <w:pPr>
        <w:ind w:left="3033" w:hanging="360"/>
      </w:pPr>
      <w:rPr>
        <w:rFonts w:ascii="Symbol" w:hAnsi="Symbol" w:hint="default"/>
      </w:rPr>
    </w:lvl>
    <w:lvl w:ilvl="4" w:tplc="FFFFFFFF" w:tentative="1">
      <w:start w:val="1"/>
      <w:numFmt w:val="bullet"/>
      <w:lvlText w:val="o"/>
      <w:lvlJc w:val="left"/>
      <w:pPr>
        <w:ind w:left="3753" w:hanging="360"/>
      </w:pPr>
      <w:rPr>
        <w:rFonts w:ascii="Courier New" w:hAnsi="Courier New" w:cs="Courier New" w:hint="default"/>
      </w:rPr>
    </w:lvl>
    <w:lvl w:ilvl="5" w:tplc="FFFFFFFF" w:tentative="1">
      <w:start w:val="1"/>
      <w:numFmt w:val="bullet"/>
      <w:lvlText w:val=""/>
      <w:lvlJc w:val="left"/>
      <w:pPr>
        <w:ind w:left="4473" w:hanging="360"/>
      </w:pPr>
      <w:rPr>
        <w:rFonts w:ascii="Wingdings" w:hAnsi="Wingdings" w:hint="default"/>
      </w:rPr>
    </w:lvl>
    <w:lvl w:ilvl="6" w:tplc="FFFFFFFF" w:tentative="1">
      <w:start w:val="1"/>
      <w:numFmt w:val="bullet"/>
      <w:lvlText w:val=""/>
      <w:lvlJc w:val="left"/>
      <w:pPr>
        <w:ind w:left="5193" w:hanging="360"/>
      </w:pPr>
      <w:rPr>
        <w:rFonts w:ascii="Symbol" w:hAnsi="Symbol" w:hint="default"/>
      </w:rPr>
    </w:lvl>
    <w:lvl w:ilvl="7" w:tplc="FFFFFFFF" w:tentative="1">
      <w:start w:val="1"/>
      <w:numFmt w:val="bullet"/>
      <w:lvlText w:val="o"/>
      <w:lvlJc w:val="left"/>
      <w:pPr>
        <w:ind w:left="5913" w:hanging="360"/>
      </w:pPr>
      <w:rPr>
        <w:rFonts w:ascii="Courier New" w:hAnsi="Courier New" w:cs="Courier New" w:hint="default"/>
      </w:rPr>
    </w:lvl>
    <w:lvl w:ilvl="8" w:tplc="FFFFFFFF" w:tentative="1">
      <w:start w:val="1"/>
      <w:numFmt w:val="bullet"/>
      <w:lvlText w:val=""/>
      <w:lvlJc w:val="left"/>
      <w:pPr>
        <w:ind w:left="6633" w:hanging="360"/>
      </w:pPr>
      <w:rPr>
        <w:rFonts w:ascii="Wingdings" w:hAnsi="Wingdings" w:hint="default"/>
      </w:rPr>
    </w:lvl>
  </w:abstractNum>
  <w:abstractNum w:abstractNumId="12" w15:restartNumberingAfterBreak="0">
    <w:nsid w:val="50A04DA9"/>
    <w:multiLevelType w:val="hybridMultilevel"/>
    <w:tmpl w:val="06C6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04AFB"/>
    <w:multiLevelType w:val="hybridMultilevel"/>
    <w:tmpl w:val="7B6E9EF2"/>
    <w:lvl w:ilvl="0" w:tplc="08090003">
      <w:start w:val="1"/>
      <w:numFmt w:val="bullet"/>
      <w:lvlText w:val="o"/>
      <w:lvlJc w:val="left"/>
      <w:pPr>
        <w:ind w:left="1647" w:hanging="360"/>
      </w:pPr>
      <w:rPr>
        <w:rFonts w:ascii="Courier New" w:hAnsi="Courier New" w:cs="Courier New" w:hint="default"/>
      </w:rPr>
    </w:lvl>
    <w:lvl w:ilvl="1" w:tplc="FFFFFFFF">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4" w15:restartNumberingAfterBreak="0">
    <w:nsid w:val="5888202A"/>
    <w:multiLevelType w:val="hybridMultilevel"/>
    <w:tmpl w:val="2136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4A88"/>
    <w:multiLevelType w:val="hybridMultilevel"/>
    <w:tmpl w:val="01883FE8"/>
    <w:lvl w:ilvl="0" w:tplc="6BD090AA">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66A758EF"/>
    <w:multiLevelType w:val="hybridMultilevel"/>
    <w:tmpl w:val="C8505F0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67C70BDF"/>
    <w:multiLevelType w:val="multilevel"/>
    <w:tmpl w:val="014409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strike w:val="0"/>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894924342">
    <w:abstractNumId w:val="17"/>
  </w:num>
  <w:num w:numId="2" w16cid:durableId="1830632842">
    <w:abstractNumId w:val="11"/>
  </w:num>
  <w:num w:numId="3" w16cid:durableId="1708290823">
    <w:abstractNumId w:val="3"/>
  </w:num>
  <w:num w:numId="4" w16cid:durableId="1167401541">
    <w:abstractNumId w:val="15"/>
  </w:num>
  <w:num w:numId="5" w16cid:durableId="2128615587">
    <w:abstractNumId w:val="16"/>
  </w:num>
  <w:num w:numId="6" w16cid:durableId="632633988">
    <w:abstractNumId w:val="2"/>
  </w:num>
  <w:num w:numId="7" w16cid:durableId="1249340931">
    <w:abstractNumId w:val="13"/>
  </w:num>
  <w:num w:numId="8" w16cid:durableId="2074813521">
    <w:abstractNumId w:val="1"/>
  </w:num>
  <w:num w:numId="9" w16cid:durableId="858009577">
    <w:abstractNumId w:val="8"/>
  </w:num>
  <w:num w:numId="10" w16cid:durableId="384721094">
    <w:abstractNumId w:val="10"/>
  </w:num>
  <w:num w:numId="11" w16cid:durableId="1236554675">
    <w:abstractNumId w:val="9"/>
  </w:num>
  <w:num w:numId="12" w16cid:durableId="1515681321">
    <w:abstractNumId w:val="12"/>
  </w:num>
  <w:num w:numId="13" w16cid:durableId="917129904">
    <w:abstractNumId w:val="5"/>
  </w:num>
  <w:num w:numId="14" w16cid:durableId="1360156995">
    <w:abstractNumId w:val="6"/>
  </w:num>
  <w:num w:numId="15" w16cid:durableId="1257013021">
    <w:abstractNumId w:val="14"/>
  </w:num>
  <w:num w:numId="16" w16cid:durableId="119152512">
    <w:abstractNumId w:val="4"/>
  </w:num>
  <w:num w:numId="17" w16cid:durableId="405079447">
    <w:abstractNumId w:val="0"/>
  </w:num>
  <w:num w:numId="18" w16cid:durableId="107971394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6F"/>
    <w:rsid w:val="00007746"/>
    <w:rsid w:val="00017CA3"/>
    <w:rsid w:val="00027A17"/>
    <w:rsid w:val="00040C95"/>
    <w:rsid w:val="0004133B"/>
    <w:rsid w:val="000453D2"/>
    <w:rsid w:val="0005463F"/>
    <w:rsid w:val="00071DAD"/>
    <w:rsid w:val="000761EF"/>
    <w:rsid w:val="00076745"/>
    <w:rsid w:val="000928DD"/>
    <w:rsid w:val="000948F3"/>
    <w:rsid w:val="000A400A"/>
    <w:rsid w:val="000B15AF"/>
    <w:rsid w:val="000B436A"/>
    <w:rsid w:val="000C39CF"/>
    <w:rsid w:val="000C70F0"/>
    <w:rsid w:val="000C7A6B"/>
    <w:rsid w:val="000D0C0A"/>
    <w:rsid w:val="000D1AC1"/>
    <w:rsid w:val="000D4770"/>
    <w:rsid w:val="000D6473"/>
    <w:rsid w:val="000E0261"/>
    <w:rsid w:val="000E13F3"/>
    <w:rsid w:val="001059DE"/>
    <w:rsid w:val="00126D37"/>
    <w:rsid w:val="001343A8"/>
    <w:rsid w:val="00155702"/>
    <w:rsid w:val="00160229"/>
    <w:rsid w:val="0016496E"/>
    <w:rsid w:val="00165053"/>
    <w:rsid w:val="00170665"/>
    <w:rsid w:val="00174A49"/>
    <w:rsid w:val="00184044"/>
    <w:rsid w:val="001A65BC"/>
    <w:rsid w:val="001C1530"/>
    <w:rsid w:val="001D5DE0"/>
    <w:rsid w:val="001D7BDF"/>
    <w:rsid w:val="001F45AB"/>
    <w:rsid w:val="001F69F1"/>
    <w:rsid w:val="002125E5"/>
    <w:rsid w:val="00225510"/>
    <w:rsid w:val="0022684C"/>
    <w:rsid w:val="00227B70"/>
    <w:rsid w:val="00227FAE"/>
    <w:rsid w:val="002309BB"/>
    <w:rsid w:val="00244E25"/>
    <w:rsid w:val="00251D4F"/>
    <w:rsid w:val="002968F1"/>
    <w:rsid w:val="002B36DC"/>
    <w:rsid w:val="002C5271"/>
    <w:rsid w:val="00304EEE"/>
    <w:rsid w:val="00305734"/>
    <w:rsid w:val="00307FE9"/>
    <w:rsid w:val="00310A8A"/>
    <w:rsid w:val="00313324"/>
    <w:rsid w:val="00315339"/>
    <w:rsid w:val="0032741D"/>
    <w:rsid w:val="00336944"/>
    <w:rsid w:val="00351666"/>
    <w:rsid w:val="00355686"/>
    <w:rsid w:val="003807D1"/>
    <w:rsid w:val="00390457"/>
    <w:rsid w:val="003A1912"/>
    <w:rsid w:val="003A4A57"/>
    <w:rsid w:val="003B3EBF"/>
    <w:rsid w:val="003C18A7"/>
    <w:rsid w:val="003D499A"/>
    <w:rsid w:val="003E05D0"/>
    <w:rsid w:val="003E2D1E"/>
    <w:rsid w:val="003E2F02"/>
    <w:rsid w:val="003E79A3"/>
    <w:rsid w:val="00401B04"/>
    <w:rsid w:val="00403D3F"/>
    <w:rsid w:val="00412104"/>
    <w:rsid w:val="00424D03"/>
    <w:rsid w:val="00426299"/>
    <w:rsid w:val="00433AEB"/>
    <w:rsid w:val="004427AF"/>
    <w:rsid w:val="00466B94"/>
    <w:rsid w:val="00475926"/>
    <w:rsid w:val="0049339E"/>
    <w:rsid w:val="004A4477"/>
    <w:rsid w:val="004B55EB"/>
    <w:rsid w:val="004C7D4D"/>
    <w:rsid w:val="004D07D7"/>
    <w:rsid w:val="004D1F41"/>
    <w:rsid w:val="004D4ABA"/>
    <w:rsid w:val="004D690C"/>
    <w:rsid w:val="004E00E8"/>
    <w:rsid w:val="004F5C25"/>
    <w:rsid w:val="005036BB"/>
    <w:rsid w:val="00513443"/>
    <w:rsid w:val="00522B20"/>
    <w:rsid w:val="00530B21"/>
    <w:rsid w:val="005550EE"/>
    <w:rsid w:val="00563193"/>
    <w:rsid w:val="005639C9"/>
    <w:rsid w:val="00570F61"/>
    <w:rsid w:val="005B440A"/>
    <w:rsid w:val="005B5B4F"/>
    <w:rsid w:val="005D5EEB"/>
    <w:rsid w:val="005F7F52"/>
    <w:rsid w:val="006213AA"/>
    <w:rsid w:val="00625144"/>
    <w:rsid w:val="00680405"/>
    <w:rsid w:val="006A1148"/>
    <w:rsid w:val="006B0A46"/>
    <w:rsid w:val="006C5887"/>
    <w:rsid w:val="006F2063"/>
    <w:rsid w:val="0070183E"/>
    <w:rsid w:val="0070216B"/>
    <w:rsid w:val="00702D7A"/>
    <w:rsid w:val="00706C69"/>
    <w:rsid w:val="00710908"/>
    <w:rsid w:val="0073580F"/>
    <w:rsid w:val="00737577"/>
    <w:rsid w:val="00741149"/>
    <w:rsid w:val="00753D23"/>
    <w:rsid w:val="007619C1"/>
    <w:rsid w:val="0076687A"/>
    <w:rsid w:val="007802FF"/>
    <w:rsid w:val="00784898"/>
    <w:rsid w:val="007C57A1"/>
    <w:rsid w:val="007E78B8"/>
    <w:rsid w:val="007F1083"/>
    <w:rsid w:val="00814747"/>
    <w:rsid w:val="008242F5"/>
    <w:rsid w:val="00837D67"/>
    <w:rsid w:val="00840101"/>
    <w:rsid w:val="00851D03"/>
    <w:rsid w:val="008639C1"/>
    <w:rsid w:val="0086506A"/>
    <w:rsid w:val="00875740"/>
    <w:rsid w:val="008A584E"/>
    <w:rsid w:val="008B4D1C"/>
    <w:rsid w:val="008D2A4C"/>
    <w:rsid w:val="008F1FF3"/>
    <w:rsid w:val="00904543"/>
    <w:rsid w:val="009250A2"/>
    <w:rsid w:val="0092652F"/>
    <w:rsid w:val="00943408"/>
    <w:rsid w:val="00946527"/>
    <w:rsid w:val="009524B0"/>
    <w:rsid w:val="00955BAA"/>
    <w:rsid w:val="00961B1E"/>
    <w:rsid w:val="00970512"/>
    <w:rsid w:val="009727CE"/>
    <w:rsid w:val="0099795F"/>
    <w:rsid w:val="009A7222"/>
    <w:rsid w:val="009F3715"/>
    <w:rsid w:val="00A07202"/>
    <w:rsid w:val="00A3094B"/>
    <w:rsid w:val="00A32C3D"/>
    <w:rsid w:val="00A57C3D"/>
    <w:rsid w:val="00A626B8"/>
    <w:rsid w:val="00A76A44"/>
    <w:rsid w:val="00AD596E"/>
    <w:rsid w:val="00B4322D"/>
    <w:rsid w:val="00B479D8"/>
    <w:rsid w:val="00B65BF1"/>
    <w:rsid w:val="00B65D42"/>
    <w:rsid w:val="00BA2A04"/>
    <w:rsid w:val="00BA6875"/>
    <w:rsid w:val="00BB7FFD"/>
    <w:rsid w:val="00BC2C77"/>
    <w:rsid w:val="00BD0970"/>
    <w:rsid w:val="00BD7E06"/>
    <w:rsid w:val="00C07E1C"/>
    <w:rsid w:val="00C1024E"/>
    <w:rsid w:val="00C12174"/>
    <w:rsid w:val="00C121AF"/>
    <w:rsid w:val="00C141CB"/>
    <w:rsid w:val="00C15F65"/>
    <w:rsid w:val="00C17271"/>
    <w:rsid w:val="00C32EB2"/>
    <w:rsid w:val="00C46580"/>
    <w:rsid w:val="00C47834"/>
    <w:rsid w:val="00C5556D"/>
    <w:rsid w:val="00C56835"/>
    <w:rsid w:val="00C7504D"/>
    <w:rsid w:val="00C90563"/>
    <w:rsid w:val="00C9329E"/>
    <w:rsid w:val="00C94648"/>
    <w:rsid w:val="00CA1A45"/>
    <w:rsid w:val="00CA2EAB"/>
    <w:rsid w:val="00CD3DD7"/>
    <w:rsid w:val="00CD4F0D"/>
    <w:rsid w:val="00CF4F6F"/>
    <w:rsid w:val="00D24D36"/>
    <w:rsid w:val="00D55D7C"/>
    <w:rsid w:val="00D775C7"/>
    <w:rsid w:val="00D9663B"/>
    <w:rsid w:val="00DA55C2"/>
    <w:rsid w:val="00DA7B78"/>
    <w:rsid w:val="00DC09BC"/>
    <w:rsid w:val="00DD754E"/>
    <w:rsid w:val="00DE3411"/>
    <w:rsid w:val="00DE398D"/>
    <w:rsid w:val="00E27FB9"/>
    <w:rsid w:val="00E625E3"/>
    <w:rsid w:val="00E729E9"/>
    <w:rsid w:val="00EA2047"/>
    <w:rsid w:val="00EB3896"/>
    <w:rsid w:val="00EF517C"/>
    <w:rsid w:val="00EF537F"/>
    <w:rsid w:val="00EF5C40"/>
    <w:rsid w:val="00F17706"/>
    <w:rsid w:val="00F33FB8"/>
    <w:rsid w:val="00F34966"/>
    <w:rsid w:val="00F41A14"/>
    <w:rsid w:val="00F5385E"/>
    <w:rsid w:val="00F60974"/>
    <w:rsid w:val="00F725C7"/>
    <w:rsid w:val="00F74345"/>
    <w:rsid w:val="00F744E1"/>
    <w:rsid w:val="00F965ED"/>
    <w:rsid w:val="00FA0F18"/>
    <w:rsid w:val="00FA2559"/>
    <w:rsid w:val="00FA4394"/>
    <w:rsid w:val="00FA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7475"/>
  <w15:chartTrackingRefBased/>
  <w15:docId w15:val="{7D7EFC72-B41B-4093-9717-C241A3E1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F6F"/>
    <w:rPr>
      <w:kern w:val="0"/>
      <w14:ligatures w14:val="none"/>
    </w:rPr>
  </w:style>
  <w:style w:type="paragraph" w:styleId="Heading1">
    <w:name w:val="heading 1"/>
    <w:basedOn w:val="Normal"/>
    <w:next w:val="Normal"/>
    <w:link w:val="Heading1Char"/>
    <w:uiPriority w:val="9"/>
    <w:qFormat/>
    <w:rsid w:val="00CF4F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79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70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24D3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F6F"/>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CF4F6F"/>
    <w:pPr>
      <w:outlineLvl w:val="9"/>
    </w:pPr>
    <w:rPr>
      <w:lang w:val="en-US"/>
    </w:rPr>
  </w:style>
  <w:style w:type="paragraph" w:styleId="TOC1">
    <w:name w:val="toc 1"/>
    <w:basedOn w:val="Normal"/>
    <w:next w:val="Normal"/>
    <w:autoRedefine/>
    <w:uiPriority w:val="39"/>
    <w:unhideWhenUsed/>
    <w:rsid w:val="00CF4F6F"/>
    <w:pPr>
      <w:spacing w:after="100"/>
    </w:pPr>
  </w:style>
  <w:style w:type="character" w:styleId="Hyperlink">
    <w:name w:val="Hyperlink"/>
    <w:basedOn w:val="DefaultParagraphFont"/>
    <w:uiPriority w:val="99"/>
    <w:unhideWhenUsed/>
    <w:rsid w:val="00CF4F6F"/>
    <w:rPr>
      <w:color w:val="0563C1" w:themeColor="hyperlink"/>
      <w:u w:val="single"/>
    </w:rPr>
  </w:style>
  <w:style w:type="paragraph" w:styleId="ListParagraph">
    <w:name w:val="List Paragraph"/>
    <w:basedOn w:val="Normal"/>
    <w:uiPriority w:val="34"/>
    <w:qFormat/>
    <w:rsid w:val="00CF4F6F"/>
    <w:pPr>
      <w:ind w:left="720"/>
      <w:contextualSpacing/>
    </w:pPr>
  </w:style>
  <w:style w:type="table" w:styleId="TableGrid">
    <w:name w:val="Table Grid"/>
    <w:basedOn w:val="TableNormal"/>
    <w:uiPriority w:val="39"/>
    <w:rsid w:val="00227B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3DD7"/>
    <w:rPr>
      <w:sz w:val="16"/>
      <w:szCs w:val="16"/>
    </w:rPr>
  </w:style>
  <w:style w:type="paragraph" w:styleId="CommentText">
    <w:name w:val="annotation text"/>
    <w:basedOn w:val="Normal"/>
    <w:link w:val="CommentTextChar"/>
    <w:uiPriority w:val="99"/>
    <w:unhideWhenUsed/>
    <w:rsid w:val="00CD3DD7"/>
    <w:pPr>
      <w:spacing w:line="240" w:lineRule="auto"/>
    </w:pPr>
    <w:rPr>
      <w:sz w:val="20"/>
      <w:szCs w:val="20"/>
    </w:rPr>
  </w:style>
  <w:style w:type="character" w:customStyle="1" w:styleId="CommentTextChar">
    <w:name w:val="Comment Text Char"/>
    <w:basedOn w:val="DefaultParagraphFont"/>
    <w:link w:val="CommentText"/>
    <w:uiPriority w:val="99"/>
    <w:rsid w:val="00CD3DD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3DD7"/>
    <w:rPr>
      <w:b/>
      <w:bCs/>
    </w:rPr>
  </w:style>
  <w:style w:type="character" w:customStyle="1" w:styleId="CommentSubjectChar">
    <w:name w:val="Comment Subject Char"/>
    <w:basedOn w:val="CommentTextChar"/>
    <w:link w:val="CommentSubject"/>
    <w:uiPriority w:val="99"/>
    <w:semiHidden/>
    <w:rsid w:val="00CD3DD7"/>
    <w:rPr>
      <w:b/>
      <w:bCs/>
      <w:kern w:val="0"/>
      <w:sz w:val="20"/>
      <w:szCs w:val="20"/>
      <w14:ligatures w14:val="none"/>
    </w:rPr>
  </w:style>
  <w:style w:type="character" w:styleId="UnresolvedMention">
    <w:name w:val="Unresolved Mention"/>
    <w:basedOn w:val="DefaultParagraphFont"/>
    <w:uiPriority w:val="99"/>
    <w:semiHidden/>
    <w:unhideWhenUsed/>
    <w:rsid w:val="005639C9"/>
    <w:rPr>
      <w:color w:val="605E5C"/>
      <w:shd w:val="clear" w:color="auto" w:fill="E1DFDD"/>
    </w:rPr>
  </w:style>
  <w:style w:type="paragraph" w:styleId="Header">
    <w:name w:val="header"/>
    <w:basedOn w:val="Normal"/>
    <w:link w:val="HeaderChar"/>
    <w:uiPriority w:val="99"/>
    <w:unhideWhenUsed/>
    <w:rsid w:val="00EA2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047"/>
    <w:rPr>
      <w:kern w:val="0"/>
      <w14:ligatures w14:val="none"/>
    </w:rPr>
  </w:style>
  <w:style w:type="paragraph" w:styleId="Footer">
    <w:name w:val="footer"/>
    <w:basedOn w:val="Normal"/>
    <w:link w:val="FooterChar"/>
    <w:uiPriority w:val="99"/>
    <w:unhideWhenUsed/>
    <w:rsid w:val="00EA2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047"/>
    <w:rPr>
      <w:kern w:val="0"/>
      <w14:ligatures w14:val="none"/>
    </w:rPr>
  </w:style>
  <w:style w:type="paragraph" w:styleId="Revision">
    <w:name w:val="Revision"/>
    <w:hidden/>
    <w:uiPriority w:val="99"/>
    <w:semiHidden/>
    <w:rsid w:val="001F45AB"/>
    <w:pPr>
      <w:spacing w:after="0" w:line="240" w:lineRule="auto"/>
    </w:pPr>
    <w:rPr>
      <w:kern w:val="0"/>
      <w14:ligatures w14:val="none"/>
    </w:rPr>
  </w:style>
  <w:style w:type="character" w:customStyle="1" w:styleId="Heading2Char">
    <w:name w:val="Heading 2 Char"/>
    <w:basedOn w:val="DefaultParagraphFont"/>
    <w:link w:val="Heading2"/>
    <w:uiPriority w:val="9"/>
    <w:rsid w:val="0099795F"/>
    <w:rPr>
      <w:rFonts w:asciiTheme="majorHAnsi" w:eastAsiaTheme="majorEastAsia" w:hAnsiTheme="majorHAnsi" w:cstheme="majorBidi"/>
      <w:color w:val="2F5496" w:themeColor="accent1" w:themeShade="BF"/>
      <w:kern w:val="0"/>
      <w:sz w:val="26"/>
      <w:szCs w:val="26"/>
      <w14:ligatures w14:val="none"/>
    </w:rPr>
  </w:style>
  <w:style w:type="paragraph" w:styleId="TOC2">
    <w:name w:val="toc 2"/>
    <w:basedOn w:val="Normal"/>
    <w:next w:val="Normal"/>
    <w:autoRedefine/>
    <w:uiPriority w:val="39"/>
    <w:unhideWhenUsed/>
    <w:rsid w:val="00FA6893"/>
    <w:pPr>
      <w:tabs>
        <w:tab w:val="right" w:leader="dot" w:pos="9016"/>
      </w:tabs>
      <w:spacing w:after="100"/>
      <w:ind w:left="220" w:hanging="78"/>
    </w:pPr>
  </w:style>
  <w:style w:type="character" w:customStyle="1" w:styleId="Heading3Char">
    <w:name w:val="Heading 3 Char"/>
    <w:basedOn w:val="DefaultParagraphFont"/>
    <w:link w:val="Heading3"/>
    <w:uiPriority w:val="9"/>
    <w:rsid w:val="000C70F0"/>
    <w:rPr>
      <w:rFonts w:asciiTheme="majorHAnsi" w:eastAsiaTheme="majorEastAsia" w:hAnsiTheme="majorHAnsi" w:cstheme="majorBidi"/>
      <w:color w:val="1F3763" w:themeColor="accent1" w:themeShade="7F"/>
      <w:kern w:val="0"/>
      <w:sz w:val="24"/>
      <w:szCs w:val="24"/>
      <w14:ligatures w14:val="none"/>
    </w:rPr>
  </w:style>
  <w:style w:type="paragraph" w:styleId="TOC3">
    <w:name w:val="toc 3"/>
    <w:basedOn w:val="Normal"/>
    <w:next w:val="Normal"/>
    <w:autoRedefine/>
    <w:uiPriority w:val="39"/>
    <w:unhideWhenUsed/>
    <w:rsid w:val="000C70F0"/>
    <w:pPr>
      <w:spacing w:after="100"/>
      <w:ind w:left="440"/>
    </w:pPr>
  </w:style>
  <w:style w:type="character" w:customStyle="1" w:styleId="Heading4Char">
    <w:name w:val="Heading 4 Char"/>
    <w:basedOn w:val="DefaultParagraphFont"/>
    <w:link w:val="Heading4"/>
    <w:uiPriority w:val="9"/>
    <w:semiHidden/>
    <w:rsid w:val="00D24D36"/>
    <w:rPr>
      <w:rFonts w:asciiTheme="majorHAnsi" w:eastAsiaTheme="majorEastAsia" w:hAnsiTheme="majorHAnsi" w:cstheme="majorBidi"/>
      <w:i/>
      <w:iCs/>
      <w:color w:val="2F5496" w:themeColor="accent1" w:themeShade="BF"/>
      <w:kern w:val="0"/>
      <w14:ligatures w14:val="none"/>
    </w:rPr>
  </w:style>
  <w:style w:type="paragraph" w:customStyle="1" w:styleId="paragraph">
    <w:name w:val="paragraph"/>
    <w:basedOn w:val="Normal"/>
    <w:rsid w:val="00BA68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6875"/>
  </w:style>
  <w:style w:type="character" w:customStyle="1" w:styleId="eop">
    <w:name w:val="eop"/>
    <w:basedOn w:val="DefaultParagraphFont"/>
    <w:rsid w:val="00BA6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2943">
      <w:bodyDiv w:val="1"/>
      <w:marLeft w:val="0"/>
      <w:marRight w:val="0"/>
      <w:marTop w:val="0"/>
      <w:marBottom w:val="0"/>
      <w:divBdr>
        <w:top w:val="none" w:sz="0" w:space="0" w:color="auto"/>
        <w:left w:val="none" w:sz="0" w:space="0" w:color="auto"/>
        <w:bottom w:val="none" w:sz="0" w:space="0" w:color="auto"/>
        <w:right w:val="none" w:sz="0" w:space="0" w:color="auto"/>
      </w:divBdr>
    </w:div>
    <w:div w:id="224992422">
      <w:bodyDiv w:val="1"/>
      <w:marLeft w:val="0"/>
      <w:marRight w:val="0"/>
      <w:marTop w:val="0"/>
      <w:marBottom w:val="0"/>
      <w:divBdr>
        <w:top w:val="none" w:sz="0" w:space="0" w:color="auto"/>
        <w:left w:val="none" w:sz="0" w:space="0" w:color="auto"/>
        <w:bottom w:val="none" w:sz="0" w:space="0" w:color="auto"/>
        <w:right w:val="none" w:sz="0" w:space="0" w:color="auto"/>
      </w:divBdr>
    </w:div>
    <w:div w:id="304117910">
      <w:bodyDiv w:val="1"/>
      <w:marLeft w:val="0"/>
      <w:marRight w:val="0"/>
      <w:marTop w:val="0"/>
      <w:marBottom w:val="0"/>
      <w:divBdr>
        <w:top w:val="none" w:sz="0" w:space="0" w:color="auto"/>
        <w:left w:val="none" w:sz="0" w:space="0" w:color="auto"/>
        <w:bottom w:val="none" w:sz="0" w:space="0" w:color="auto"/>
        <w:right w:val="none" w:sz="0" w:space="0" w:color="auto"/>
      </w:divBdr>
    </w:div>
    <w:div w:id="362829595">
      <w:bodyDiv w:val="1"/>
      <w:marLeft w:val="0"/>
      <w:marRight w:val="0"/>
      <w:marTop w:val="0"/>
      <w:marBottom w:val="0"/>
      <w:divBdr>
        <w:top w:val="none" w:sz="0" w:space="0" w:color="auto"/>
        <w:left w:val="none" w:sz="0" w:space="0" w:color="auto"/>
        <w:bottom w:val="none" w:sz="0" w:space="0" w:color="auto"/>
        <w:right w:val="none" w:sz="0" w:space="0" w:color="auto"/>
      </w:divBdr>
    </w:div>
    <w:div w:id="497312571">
      <w:bodyDiv w:val="1"/>
      <w:marLeft w:val="0"/>
      <w:marRight w:val="0"/>
      <w:marTop w:val="0"/>
      <w:marBottom w:val="0"/>
      <w:divBdr>
        <w:top w:val="none" w:sz="0" w:space="0" w:color="auto"/>
        <w:left w:val="none" w:sz="0" w:space="0" w:color="auto"/>
        <w:bottom w:val="none" w:sz="0" w:space="0" w:color="auto"/>
        <w:right w:val="none" w:sz="0" w:space="0" w:color="auto"/>
      </w:divBdr>
    </w:div>
    <w:div w:id="542717762">
      <w:bodyDiv w:val="1"/>
      <w:marLeft w:val="0"/>
      <w:marRight w:val="0"/>
      <w:marTop w:val="0"/>
      <w:marBottom w:val="0"/>
      <w:divBdr>
        <w:top w:val="none" w:sz="0" w:space="0" w:color="auto"/>
        <w:left w:val="none" w:sz="0" w:space="0" w:color="auto"/>
        <w:bottom w:val="none" w:sz="0" w:space="0" w:color="auto"/>
        <w:right w:val="none" w:sz="0" w:space="0" w:color="auto"/>
      </w:divBdr>
    </w:div>
    <w:div w:id="745881841">
      <w:bodyDiv w:val="1"/>
      <w:marLeft w:val="0"/>
      <w:marRight w:val="0"/>
      <w:marTop w:val="0"/>
      <w:marBottom w:val="0"/>
      <w:divBdr>
        <w:top w:val="none" w:sz="0" w:space="0" w:color="auto"/>
        <w:left w:val="none" w:sz="0" w:space="0" w:color="auto"/>
        <w:bottom w:val="none" w:sz="0" w:space="0" w:color="auto"/>
        <w:right w:val="none" w:sz="0" w:space="0" w:color="auto"/>
      </w:divBdr>
    </w:div>
    <w:div w:id="877854726">
      <w:bodyDiv w:val="1"/>
      <w:marLeft w:val="0"/>
      <w:marRight w:val="0"/>
      <w:marTop w:val="0"/>
      <w:marBottom w:val="0"/>
      <w:divBdr>
        <w:top w:val="none" w:sz="0" w:space="0" w:color="auto"/>
        <w:left w:val="none" w:sz="0" w:space="0" w:color="auto"/>
        <w:bottom w:val="none" w:sz="0" w:space="0" w:color="auto"/>
        <w:right w:val="none" w:sz="0" w:space="0" w:color="auto"/>
      </w:divBdr>
    </w:div>
    <w:div w:id="1201212288">
      <w:bodyDiv w:val="1"/>
      <w:marLeft w:val="0"/>
      <w:marRight w:val="0"/>
      <w:marTop w:val="0"/>
      <w:marBottom w:val="0"/>
      <w:divBdr>
        <w:top w:val="none" w:sz="0" w:space="0" w:color="auto"/>
        <w:left w:val="none" w:sz="0" w:space="0" w:color="auto"/>
        <w:bottom w:val="none" w:sz="0" w:space="0" w:color="auto"/>
        <w:right w:val="none" w:sz="0" w:space="0" w:color="auto"/>
      </w:divBdr>
    </w:div>
    <w:div w:id="1367876108">
      <w:bodyDiv w:val="1"/>
      <w:marLeft w:val="0"/>
      <w:marRight w:val="0"/>
      <w:marTop w:val="0"/>
      <w:marBottom w:val="0"/>
      <w:divBdr>
        <w:top w:val="none" w:sz="0" w:space="0" w:color="auto"/>
        <w:left w:val="none" w:sz="0" w:space="0" w:color="auto"/>
        <w:bottom w:val="none" w:sz="0" w:space="0" w:color="auto"/>
        <w:right w:val="none" w:sz="0" w:space="0" w:color="auto"/>
      </w:divBdr>
    </w:div>
    <w:div w:id="1557011725">
      <w:bodyDiv w:val="1"/>
      <w:marLeft w:val="0"/>
      <w:marRight w:val="0"/>
      <w:marTop w:val="0"/>
      <w:marBottom w:val="0"/>
      <w:divBdr>
        <w:top w:val="none" w:sz="0" w:space="0" w:color="auto"/>
        <w:left w:val="none" w:sz="0" w:space="0" w:color="auto"/>
        <w:bottom w:val="none" w:sz="0" w:space="0" w:color="auto"/>
        <w:right w:val="none" w:sz="0" w:space="0" w:color="auto"/>
      </w:divBdr>
    </w:div>
    <w:div w:id="1909487999">
      <w:bodyDiv w:val="1"/>
      <w:marLeft w:val="0"/>
      <w:marRight w:val="0"/>
      <w:marTop w:val="0"/>
      <w:marBottom w:val="0"/>
      <w:divBdr>
        <w:top w:val="none" w:sz="0" w:space="0" w:color="auto"/>
        <w:left w:val="none" w:sz="0" w:space="0" w:color="auto"/>
        <w:bottom w:val="none" w:sz="0" w:space="0" w:color="auto"/>
        <w:right w:val="none" w:sz="0" w:space="0" w:color="auto"/>
      </w:divBdr>
    </w:div>
    <w:div w:id="2055620048">
      <w:bodyDiv w:val="1"/>
      <w:marLeft w:val="0"/>
      <w:marRight w:val="0"/>
      <w:marTop w:val="0"/>
      <w:marBottom w:val="0"/>
      <w:divBdr>
        <w:top w:val="none" w:sz="0" w:space="0" w:color="auto"/>
        <w:left w:val="none" w:sz="0" w:space="0" w:color="auto"/>
        <w:bottom w:val="none" w:sz="0" w:space="0" w:color="auto"/>
        <w:right w:val="none" w:sz="0" w:space="0" w:color="auto"/>
      </w:divBdr>
    </w:div>
    <w:div w:id="21443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sandwell.gov.uk/downloads/download/980/black-country-tenancy-strateg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ndwell.gov.uk/downloads/download/233/housing-allocations-policy" TargetMode="External"/><Relationship Id="rId7" Type="http://schemas.openxmlformats.org/officeDocument/2006/relationships/settings" Target="setting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sandwell.gov.uk/downloads/file/238/sandwell-council-homelessness-and-rough-sleeping-strategy-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ndwell.gov.uk/downloads/download/154/reasonable-adjustments-policy"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sandwell.gov.uk/tenanthandbook/downloads/file/2/tenancy-conditions-april-2023" TargetMode="External"/><Relationship Id="rId10" Type="http://schemas.openxmlformats.org/officeDocument/2006/relationships/endnotes" Target="endnotes.xml"/><Relationship Id="rId19" Type="http://schemas.openxmlformats.org/officeDocument/2006/relationships/hyperlink" Target="https://www.sandwell.gov.uk/downloads/download/640/deca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sandwell.gov.uk/housing/housing-strategy-2023-2028"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86AB15-9D97-4AA7-A97B-85FFE191BF62}" type="doc">
      <dgm:prSet loTypeId="urn:microsoft.com/office/officeart/2005/8/layout/radial6" loCatId="cycle" qsTypeId="urn:microsoft.com/office/officeart/2005/8/quickstyle/simple1" qsCatId="simple" csTypeId="urn:microsoft.com/office/officeart/2005/8/colors/accent3_1" csCatId="accent3" phldr="1"/>
      <dgm:spPr/>
      <dgm:t>
        <a:bodyPr/>
        <a:lstStyle/>
        <a:p>
          <a:endParaRPr lang="en-GB"/>
        </a:p>
      </dgm:t>
    </dgm:pt>
    <dgm:pt modelId="{C1C59A20-4997-44BE-9E92-F4794F4C4DD2}">
      <dgm:prSet phldrT="[Text]" custT="1"/>
      <dgm:spPr>
        <a:xfrm>
          <a:off x="2448966" y="1092909"/>
          <a:ext cx="1198066" cy="1198066"/>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GB" sz="1200" b="1">
              <a:solidFill>
                <a:sysClr val="windowText" lastClr="000000">
                  <a:hueOff val="0"/>
                  <a:satOff val="0"/>
                  <a:lumOff val="0"/>
                  <a:alphaOff val="0"/>
                </a:sysClr>
              </a:solidFill>
              <a:latin typeface="Calibri"/>
              <a:ea typeface="+mn-ea"/>
              <a:cs typeface="+mn-cs"/>
            </a:rPr>
            <a:t>Tenancy Sustainment</a:t>
          </a:r>
        </a:p>
      </dgm:t>
    </dgm:pt>
    <dgm:pt modelId="{414A26DF-8B1C-42B0-A797-D778E06294A8}" type="parTrans" cxnId="{D0E7C20D-C3B2-481A-B83D-41A87C017C7F}">
      <dgm:prSet/>
      <dgm:spPr/>
      <dgm:t>
        <a:bodyPr/>
        <a:lstStyle/>
        <a:p>
          <a:endParaRPr lang="en-GB"/>
        </a:p>
      </dgm:t>
    </dgm:pt>
    <dgm:pt modelId="{6A63497D-DDE3-4A0F-AB88-036FD7962E04}" type="sibTrans" cxnId="{D0E7C20D-C3B2-481A-B83D-41A87C017C7F}">
      <dgm:prSet/>
      <dgm:spPr/>
      <dgm:t>
        <a:bodyPr/>
        <a:lstStyle/>
        <a:p>
          <a:endParaRPr lang="en-GB"/>
        </a:p>
      </dgm:t>
    </dgm:pt>
    <dgm:pt modelId="{E3EB44B8-56AA-43BA-9109-D709C3322E38}">
      <dgm:prSet phldrT="[Text]" custT="1"/>
      <dgm:spPr>
        <a:xfrm>
          <a:off x="2628676" y="1438"/>
          <a:ext cx="838646" cy="838646"/>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GB" sz="1200" b="1">
              <a:solidFill>
                <a:sysClr val="windowText" lastClr="000000">
                  <a:hueOff val="0"/>
                  <a:satOff val="0"/>
                  <a:lumOff val="0"/>
                  <a:alphaOff val="0"/>
                </a:sysClr>
              </a:solidFill>
              <a:latin typeface="Calibri"/>
              <a:ea typeface="+mn-ea"/>
              <a:cs typeface="+mn-cs"/>
            </a:rPr>
            <a:t>Early Help</a:t>
          </a:r>
        </a:p>
      </dgm:t>
    </dgm:pt>
    <dgm:pt modelId="{439B8058-8FC6-4037-B2E9-5C8A3FEBD466}" type="parTrans" cxnId="{1C99EAEB-E28C-4ECF-9C2D-8516383CAFF4}">
      <dgm:prSet/>
      <dgm:spPr/>
      <dgm:t>
        <a:bodyPr/>
        <a:lstStyle/>
        <a:p>
          <a:endParaRPr lang="en-GB"/>
        </a:p>
      </dgm:t>
    </dgm:pt>
    <dgm:pt modelId="{E9541A95-79FE-4FC6-B2DE-4983B91364B5}" type="sibTrans" cxnId="{1C99EAEB-E28C-4ECF-9C2D-8516383CAFF4}">
      <dgm:prSet/>
      <dgm:spPr>
        <a:xfrm>
          <a:off x="1746627" y="390570"/>
          <a:ext cx="2602744" cy="2602744"/>
        </a:xfrm>
        <a:prstGeom prst="blockArc">
          <a:avLst>
            <a:gd name="adj1" fmla="val 16200000"/>
            <a:gd name="adj2" fmla="val 20520000"/>
            <a:gd name="adj3" fmla="val 4640"/>
          </a:avLst>
        </a:prstGeom>
        <a:solidFill>
          <a:srgbClr val="9BBB59">
            <a:tint val="60000"/>
            <a:hueOff val="0"/>
            <a:satOff val="0"/>
            <a:lumOff val="0"/>
            <a:alphaOff val="0"/>
          </a:srgbClr>
        </a:solidFill>
        <a:ln>
          <a:noFill/>
        </a:ln>
        <a:effectLst/>
      </dgm:spPr>
      <dgm:t>
        <a:bodyPr/>
        <a:lstStyle/>
        <a:p>
          <a:endParaRPr lang="en-GB"/>
        </a:p>
      </dgm:t>
    </dgm:pt>
    <dgm:pt modelId="{08675D05-AC84-4A17-83BB-45F826B44EBB}">
      <dgm:prSet phldrT="[Text]" custT="1"/>
      <dgm:spPr>
        <a:xfrm>
          <a:off x="3837641" y="879802"/>
          <a:ext cx="838646" cy="838646"/>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GB" sz="1050" b="1">
              <a:solidFill>
                <a:sysClr val="windowText" lastClr="000000">
                  <a:hueOff val="0"/>
                  <a:satOff val="0"/>
                  <a:lumOff val="0"/>
                  <a:alphaOff val="0"/>
                </a:sysClr>
              </a:solidFill>
              <a:latin typeface="Calibri"/>
              <a:ea typeface="+mn-ea"/>
              <a:cs typeface="+mn-cs"/>
            </a:rPr>
            <a:t>Collecting with Care</a:t>
          </a:r>
        </a:p>
      </dgm:t>
    </dgm:pt>
    <dgm:pt modelId="{5C57BD8D-576B-456A-9EF1-0D9FC5B59798}" type="parTrans" cxnId="{E0D6D030-A423-4674-874B-1B0F38AEEB30}">
      <dgm:prSet/>
      <dgm:spPr/>
      <dgm:t>
        <a:bodyPr/>
        <a:lstStyle/>
        <a:p>
          <a:endParaRPr lang="en-GB"/>
        </a:p>
      </dgm:t>
    </dgm:pt>
    <dgm:pt modelId="{F5E140AE-E138-465A-8B81-D3B3E46F3F71}" type="sibTrans" cxnId="{E0D6D030-A423-4674-874B-1B0F38AEEB30}">
      <dgm:prSet/>
      <dgm:spPr>
        <a:xfrm>
          <a:off x="1746627" y="390570"/>
          <a:ext cx="2602744" cy="2602744"/>
        </a:xfrm>
        <a:prstGeom prst="blockArc">
          <a:avLst>
            <a:gd name="adj1" fmla="val 20520000"/>
            <a:gd name="adj2" fmla="val 3240000"/>
            <a:gd name="adj3" fmla="val 4640"/>
          </a:avLst>
        </a:prstGeom>
        <a:solidFill>
          <a:srgbClr val="9BBB59">
            <a:tint val="60000"/>
            <a:hueOff val="0"/>
            <a:satOff val="0"/>
            <a:lumOff val="0"/>
            <a:alphaOff val="0"/>
          </a:srgbClr>
        </a:solidFill>
        <a:ln>
          <a:noFill/>
        </a:ln>
        <a:effectLst/>
      </dgm:spPr>
      <dgm:t>
        <a:bodyPr/>
        <a:lstStyle/>
        <a:p>
          <a:endParaRPr lang="en-GB"/>
        </a:p>
      </dgm:t>
    </dgm:pt>
    <dgm:pt modelId="{F96C14D4-38B0-40ED-8AFF-D58DB9D1D118}">
      <dgm:prSet phldrT="[Text]" custT="1"/>
      <dgm:spPr>
        <a:xfrm>
          <a:off x="1852088" y="2301026"/>
          <a:ext cx="897460" cy="838646"/>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GB" sz="1000" b="1">
              <a:solidFill>
                <a:sysClr val="windowText" lastClr="000000">
                  <a:hueOff val="0"/>
                  <a:satOff val="0"/>
                  <a:lumOff val="0"/>
                  <a:alphaOff val="0"/>
                </a:sysClr>
              </a:solidFill>
              <a:latin typeface="Calibri"/>
              <a:ea typeface="+mn-ea"/>
              <a:cs typeface="+mn-cs"/>
            </a:rPr>
            <a:t>Homeless Prevention</a:t>
          </a:r>
        </a:p>
      </dgm:t>
    </dgm:pt>
    <dgm:pt modelId="{5C835A7A-622E-471D-9D41-C23037B83221}" type="parTrans" cxnId="{78EB7E9C-BA2E-4E1B-896E-1AA4FB96A655}">
      <dgm:prSet/>
      <dgm:spPr/>
      <dgm:t>
        <a:bodyPr/>
        <a:lstStyle/>
        <a:p>
          <a:endParaRPr lang="en-GB"/>
        </a:p>
      </dgm:t>
    </dgm:pt>
    <dgm:pt modelId="{386D14BB-A2AA-46E9-BEFF-4D348B1143B3}" type="sibTrans" cxnId="{78EB7E9C-BA2E-4E1B-896E-1AA4FB96A655}">
      <dgm:prSet/>
      <dgm:spPr>
        <a:xfrm>
          <a:off x="1758536" y="399329"/>
          <a:ext cx="2602744" cy="2602744"/>
        </a:xfrm>
        <a:prstGeom prst="blockArc">
          <a:avLst>
            <a:gd name="adj1" fmla="val 7599980"/>
            <a:gd name="adj2" fmla="val 11886850"/>
            <a:gd name="adj3" fmla="val 4640"/>
          </a:avLst>
        </a:prstGeom>
        <a:solidFill>
          <a:srgbClr val="9BBB59">
            <a:tint val="60000"/>
            <a:hueOff val="0"/>
            <a:satOff val="0"/>
            <a:lumOff val="0"/>
            <a:alphaOff val="0"/>
          </a:srgbClr>
        </a:solidFill>
        <a:ln>
          <a:noFill/>
        </a:ln>
        <a:effectLst/>
      </dgm:spPr>
      <dgm:t>
        <a:bodyPr/>
        <a:lstStyle/>
        <a:p>
          <a:endParaRPr lang="en-GB"/>
        </a:p>
      </dgm:t>
    </dgm:pt>
    <dgm:pt modelId="{DCADA7F5-4FF3-4275-BCA4-2D5CBFE8769E}">
      <dgm:prSet phldrT="[Text]" custT="1"/>
      <dgm:spPr>
        <a:xfrm>
          <a:off x="1432406" y="886153"/>
          <a:ext cx="838646" cy="838646"/>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GB" sz="1050" b="1">
              <a:solidFill>
                <a:sysClr val="windowText" lastClr="000000">
                  <a:hueOff val="0"/>
                  <a:satOff val="0"/>
                  <a:lumOff val="0"/>
                  <a:alphaOff val="0"/>
                </a:sysClr>
              </a:solidFill>
              <a:latin typeface="Calibri"/>
              <a:ea typeface="+mn-ea"/>
              <a:cs typeface="+mn-cs"/>
            </a:rPr>
            <a:t>3rd Party Advice</a:t>
          </a:r>
        </a:p>
      </dgm:t>
    </dgm:pt>
    <dgm:pt modelId="{65EF5DFD-9424-422F-B2B6-0470C00F01A6}" type="parTrans" cxnId="{F2661630-5DE1-494B-9454-4726267658DE}">
      <dgm:prSet/>
      <dgm:spPr/>
      <dgm:t>
        <a:bodyPr/>
        <a:lstStyle/>
        <a:p>
          <a:endParaRPr lang="en-GB"/>
        </a:p>
      </dgm:t>
    </dgm:pt>
    <dgm:pt modelId="{018D2281-743F-4668-8AD6-B5B5918C8800}" type="sibTrans" cxnId="{F2661630-5DE1-494B-9454-4726267658DE}">
      <dgm:prSet/>
      <dgm:spPr>
        <a:xfrm>
          <a:off x="1761394" y="390484"/>
          <a:ext cx="2602744" cy="2602744"/>
        </a:xfrm>
        <a:prstGeom prst="blockArc">
          <a:avLst>
            <a:gd name="adj1" fmla="val 11861714"/>
            <a:gd name="adj2" fmla="val 16160064"/>
            <a:gd name="adj3" fmla="val 4640"/>
          </a:avLst>
        </a:prstGeom>
        <a:solidFill>
          <a:srgbClr val="9BBB59">
            <a:tint val="60000"/>
            <a:hueOff val="0"/>
            <a:satOff val="0"/>
            <a:lumOff val="0"/>
            <a:alphaOff val="0"/>
          </a:srgbClr>
        </a:solidFill>
        <a:ln>
          <a:noFill/>
        </a:ln>
        <a:effectLst/>
      </dgm:spPr>
      <dgm:t>
        <a:bodyPr/>
        <a:lstStyle/>
        <a:p>
          <a:endParaRPr lang="en-GB"/>
        </a:p>
      </dgm:t>
    </dgm:pt>
    <dgm:pt modelId="{B7F5C8D8-9A86-4ADC-AF08-2E77B6B4229A}">
      <dgm:prSet custT="1"/>
      <dgm:spPr>
        <a:xfrm>
          <a:off x="3375858" y="2301026"/>
          <a:ext cx="838646" cy="838646"/>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GB" sz="1200" b="1">
              <a:solidFill>
                <a:sysClr val="windowText" lastClr="000000">
                  <a:hueOff val="0"/>
                  <a:satOff val="0"/>
                  <a:lumOff val="0"/>
                  <a:alphaOff val="0"/>
                </a:sysClr>
              </a:solidFill>
              <a:latin typeface="Calibri"/>
              <a:ea typeface="+mn-ea"/>
              <a:cs typeface="+mn-cs"/>
            </a:rPr>
            <a:t>Rent on Time</a:t>
          </a:r>
        </a:p>
      </dgm:t>
    </dgm:pt>
    <dgm:pt modelId="{918968D3-41D3-4E0D-BCC9-B7F9E94380E0}" type="parTrans" cxnId="{6996E093-F43D-4FF6-AABF-A65BD1A14592}">
      <dgm:prSet/>
      <dgm:spPr/>
      <dgm:t>
        <a:bodyPr/>
        <a:lstStyle/>
        <a:p>
          <a:endParaRPr lang="en-GB"/>
        </a:p>
      </dgm:t>
    </dgm:pt>
    <dgm:pt modelId="{2A0DC172-B293-456F-BBE1-CC3CC003AF61}" type="sibTrans" cxnId="{6996E093-F43D-4FF6-AABF-A65BD1A14592}">
      <dgm:prSet/>
      <dgm:spPr>
        <a:xfrm>
          <a:off x="1746627" y="390570"/>
          <a:ext cx="2602744" cy="2602744"/>
        </a:xfrm>
        <a:prstGeom prst="blockArc">
          <a:avLst>
            <a:gd name="adj1" fmla="val 3240000"/>
            <a:gd name="adj2" fmla="val 7560000"/>
            <a:gd name="adj3" fmla="val 4640"/>
          </a:avLst>
        </a:prstGeom>
        <a:solidFill>
          <a:srgbClr val="9BBB59">
            <a:tint val="60000"/>
            <a:hueOff val="0"/>
            <a:satOff val="0"/>
            <a:lumOff val="0"/>
            <a:alphaOff val="0"/>
          </a:srgbClr>
        </a:solidFill>
        <a:ln>
          <a:noFill/>
        </a:ln>
        <a:effectLst/>
      </dgm:spPr>
      <dgm:t>
        <a:bodyPr/>
        <a:lstStyle/>
        <a:p>
          <a:endParaRPr lang="en-GB"/>
        </a:p>
      </dgm:t>
    </dgm:pt>
    <dgm:pt modelId="{6C1EC74D-A7FF-402E-8CD3-2FF78DA18CC1}" type="pres">
      <dgm:prSet presAssocID="{4286AB15-9D97-4AA7-A97B-85FFE191BF62}" presName="Name0" presStyleCnt="0">
        <dgm:presLayoutVars>
          <dgm:chMax val="1"/>
          <dgm:dir/>
          <dgm:animLvl val="ctr"/>
          <dgm:resizeHandles val="exact"/>
        </dgm:presLayoutVars>
      </dgm:prSet>
      <dgm:spPr/>
    </dgm:pt>
    <dgm:pt modelId="{FD929FA5-18E0-4C08-BE17-760DCF1F2F54}" type="pres">
      <dgm:prSet presAssocID="{C1C59A20-4997-44BE-9E92-F4794F4C4DD2}" presName="centerShape" presStyleLbl="node0" presStyleIdx="0" presStyleCnt="1" custScaleX="117897" custScaleY="108823"/>
      <dgm:spPr/>
    </dgm:pt>
    <dgm:pt modelId="{385B5822-0494-425A-A5A5-7EDFB1D3FEE7}" type="pres">
      <dgm:prSet presAssocID="{E3EB44B8-56AA-43BA-9109-D709C3322E38}" presName="node" presStyleLbl="node1" presStyleIdx="0" presStyleCnt="5">
        <dgm:presLayoutVars>
          <dgm:bulletEnabled val="1"/>
        </dgm:presLayoutVars>
      </dgm:prSet>
      <dgm:spPr/>
    </dgm:pt>
    <dgm:pt modelId="{5A153D9E-15BA-4E14-95C1-D63CDB44435D}" type="pres">
      <dgm:prSet presAssocID="{E3EB44B8-56AA-43BA-9109-D709C3322E38}" presName="dummy" presStyleCnt="0"/>
      <dgm:spPr/>
    </dgm:pt>
    <dgm:pt modelId="{7BFE0DE6-F8DA-4442-8930-ABBF132223B9}" type="pres">
      <dgm:prSet presAssocID="{E9541A95-79FE-4FC6-B2DE-4983B91364B5}" presName="sibTrans" presStyleLbl="sibTrans2D1" presStyleIdx="0" presStyleCnt="5"/>
      <dgm:spPr/>
    </dgm:pt>
    <dgm:pt modelId="{039197D3-B559-40AE-ABCF-48B19FFA69EA}" type="pres">
      <dgm:prSet presAssocID="{08675D05-AC84-4A17-83BB-45F826B44EBB}" presName="node" presStyleLbl="node1" presStyleIdx="1" presStyleCnt="5" custScaleX="125291">
        <dgm:presLayoutVars>
          <dgm:bulletEnabled val="1"/>
        </dgm:presLayoutVars>
      </dgm:prSet>
      <dgm:spPr/>
    </dgm:pt>
    <dgm:pt modelId="{9099F7B9-4548-40AD-B6F6-349A574CA255}" type="pres">
      <dgm:prSet presAssocID="{08675D05-AC84-4A17-83BB-45F826B44EBB}" presName="dummy" presStyleCnt="0"/>
      <dgm:spPr/>
    </dgm:pt>
    <dgm:pt modelId="{F192134E-62D4-4A39-BE56-3A3691F05BA6}" type="pres">
      <dgm:prSet presAssocID="{F5E140AE-E138-465A-8B81-D3B3E46F3F71}" presName="sibTrans" presStyleLbl="sibTrans2D1" presStyleIdx="1" presStyleCnt="5"/>
      <dgm:spPr/>
    </dgm:pt>
    <dgm:pt modelId="{201D04D1-5DC9-450A-BF81-CE399F73F875}" type="pres">
      <dgm:prSet presAssocID="{B7F5C8D8-9A86-4ADC-AF08-2E77B6B4229A}" presName="node" presStyleLbl="node1" presStyleIdx="2" presStyleCnt="5">
        <dgm:presLayoutVars>
          <dgm:bulletEnabled val="1"/>
        </dgm:presLayoutVars>
      </dgm:prSet>
      <dgm:spPr/>
    </dgm:pt>
    <dgm:pt modelId="{AF520F73-A64A-42FA-AA4A-0A2A351011A0}" type="pres">
      <dgm:prSet presAssocID="{B7F5C8D8-9A86-4ADC-AF08-2E77B6B4229A}" presName="dummy" presStyleCnt="0"/>
      <dgm:spPr/>
    </dgm:pt>
    <dgm:pt modelId="{321B418F-0B26-42D9-863E-740441549FDC}" type="pres">
      <dgm:prSet presAssocID="{2A0DC172-B293-456F-BBE1-CC3CC003AF61}" presName="sibTrans" presStyleLbl="sibTrans2D1" presStyleIdx="2" presStyleCnt="5"/>
      <dgm:spPr/>
    </dgm:pt>
    <dgm:pt modelId="{4BDA3A5C-E110-4790-B185-470B37F4565F}" type="pres">
      <dgm:prSet presAssocID="{F96C14D4-38B0-40ED-8AFF-D58DB9D1D118}" presName="node" presStyleLbl="node1" presStyleIdx="3" presStyleCnt="5" custScaleX="122933">
        <dgm:presLayoutVars>
          <dgm:bulletEnabled val="1"/>
        </dgm:presLayoutVars>
      </dgm:prSet>
      <dgm:spPr/>
    </dgm:pt>
    <dgm:pt modelId="{276B3694-D76A-4D4E-A148-06EC14D865A4}" type="pres">
      <dgm:prSet presAssocID="{F96C14D4-38B0-40ED-8AFF-D58DB9D1D118}" presName="dummy" presStyleCnt="0"/>
      <dgm:spPr/>
    </dgm:pt>
    <dgm:pt modelId="{CB4AC3D1-B62A-4B24-ADEA-47E1F0CAC5E6}" type="pres">
      <dgm:prSet presAssocID="{386D14BB-A2AA-46E9-BEFF-4D348B1143B3}" presName="sibTrans" presStyleLbl="sibTrans2D1" presStyleIdx="3" presStyleCnt="5"/>
      <dgm:spPr/>
    </dgm:pt>
    <dgm:pt modelId="{095B3C04-21C3-42F9-BAC3-AB7BAE0C12C1}" type="pres">
      <dgm:prSet presAssocID="{DCADA7F5-4FF3-4275-BCA4-2D5CBFE8769E}" presName="node" presStyleLbl="node1" presStyleIdx="4" presStyleCnt="5" custRadScaleRad="98896" custRadScaleInc="-402">
        <dgm:presLayoutVars>
          <dgm:bulletEnabled val="1"/>
        </dgm:presLayoutVars>
      </dgm:prSet>
      <dgm:spPr/>
    </dgm:pt>
    <dgm:pt modelId="{767055A2-9BFC-4AF3-8ADD-A2613696C1DD}" type="pres">
      <dgm:prSet presAssocID="{DCADA7F5-4FF3-4275-BCA4-2D5CBFE8769E}" presName="dummy" presStyleCnt="0"/>
      <dgm:spPr/>
    </dgm:pt>
    <dgm:pt modelId="{DAD28257-F3C9-4F74-BC27-D183E79E4833}" type="pres">
      <dgm:prSet presAssocID="{018D2281-743F-4668-8AD6-B5B5918C8800}" presName="sibTrans" presStyleLbl="sibTrans2D1" presStyleIdx="4" presStyleCnt="5"/>
      <dgm:spPr/>
    </dgm:pt>
  </dgm:ptLst>
  <dgm:cxnLst>
    <dgm:cxn modelId="{A8659F00-193E-4EB5-BB99-7B6C2BE39A15}" type="presOf" srcId="{4286AB15-9D97-4AA7-A97B-85FFE191BF62}" destId="{6C1EC74D-A7FF-402E-8CD3-2FF78DA18CC1}" srcOrd="0" destOrd="0" presId="urn:microsoft.com/office/officeart/2005/8/layout/radial6"/>
    <dgm:cxn modelId="{EA325C08-51C0-4753-BAAE-A93135B92A8D}" type="presOf" srcId="{386D14BB-A2AA-46E9-BEFF-4D348B1143B3}" destId="{CB4AC3D1-B62A-4B24-ADEA-47E1F0CAC5E6}" srcOrd="0" destOrd="0" presId="urn:microsoft.com/office/officeart/2005/8/layout/radial6"/>
    <dgm:cxn modelId="{74B1DB08-AACB-42AB-A547-03A76617DB6C}" type="presOf" srcId="{F96C14D4-38B0-40ED-8AFF-D58DB9D1D118}" destId="{4BDA3A5C-E110-4790-B185-470B37F4565F}" srcOrd="0" destOrd="0" presId="urn:microsoft.com/office/officeart/2005/8/layout/radial6"/>
    <dgm:cxn modelId="{D0E7C20D-C3B2-481A-B83D-41A87C017C7F}" srcId="{4286AB15-9D97-4AA7-A97B-85FFE191BF62}" destId="{C1C59A20-4997-44BE-9E92-F4794F4C4DD2}" srcOrd="0" destOrd="0" parTransId="{414A26DF-8B1C-42B0-A797-D778E06294A8}" sibTransId="{6A63497D-DDE3-4A0F-AB88-036FD7962E04}"/>
    <dgm:cxn modelId="{F2661630-5DE1-494B-9454-4726267658DE}" srcId="{C1C59A20-4997-44BE-9E92-F4794F4C4DD2}" destId="{DCADA7F5-4FF3-4275-BCA4-2D5CBFE8769E}" srcOrd="4" destOrd="0" parTransId="{65EF5DFD-9424-422F-B2B6-0470C00F01A6}" sibTransId="{018D2281-743F-4668-8AD6-B5B5918C8800}"/>
    <dgm:cxn modelId="{E0D6D030-A423-4674-874B-1B0F38AEEB30}" srcId="{C1C59A20-4997-44BE-9E92-F4794F4C4DD2}" destId="{08675D05-AC84-4A17-83BB-45F826B44EBB}" srcOrd="1" destOrd="0" parTransId="{5C57BD8D-576B-456A-9EF1-0D9FC5B59798}" sibTransId="{F5E140AE-E138-465A-8B81-D3B3E46F3F71}"/>
    <dgm:cxn modelId="{C7CEFD67-94FE-4BF5-B2D9-51CA12F54C71}" type="presOf" srcId="{C1C59A20-4997-44BE-9E92-F4794F4C4DD2}" destId="{FD929FA5-18E0-4C08-BE17-760DCF1F2F54}" srcOrd="0" destOrd="0" presId="urn:microsoft.com/office/officeart/2005/8/layout/radial6"/>
    <dgm:cxn modelId="{5752236A-9250-4CB4-8D2F-A6E94E1AAF77}" type="presOf" srcId="{B7F5C8D8-9A86-4ADC-AF08-2E77B6B4229A}" destId="{201D04D1-5DC9-450A-BF81-CE399F73F875}" srcOrd="0" destOrd="0" presId="urn:microsoft.com/office/officeart/2005/8/layout/radial6"/>
    <dgm:cxn modelId="{77249A7A-F4AD-4308-A28A-B22B7413A6D3}" type="presOf" srcId="{F5E140AE-E138-465A-8B81-D3B3E46F3F71}" destId="{F192134E-62D4-4A39-BE56-3A3691F05BA6}" srcOrd="0" destOrd="0" presId="urn:microsoft.com/office/officeart/2005/8/layout/radial6"/>
    <dgm:cxn modelId="{DD941D7F-3AE3-4CB7-9286-4987B1DFC831}" type="presOf" srcId="{DCADA7F5-4FF3-4275-BCA4-2D5CBFE8769E}" destId="{095B3C04-21C3-42F9-BAC3-AB7BAE0C12C1}" srcOrd="0" destOrd="0" presId="urn:microsoft.com/office/officeart/2005/8/layout/radial6"/>
    <dgm:cxn modelId="{74F1878D-1690-4C34-94D8-34E0DFD6D1FA}" type="presOf" srcId="{08675D05-AC84-4A17-83BB-45F826B44EBB}" destId="{039197D3-B559-40AE-ABCF-48B19FFA69EA}" srcOrd="0" destOrd="0" presId="urn:microsoft.com/office/officeart/2005/8/layout/radial6"/>
    <dgm:cxn modelId="{6996E093-F43D-4FF6-AABF-A65BD1A14592}" srcId="{C1C59A20-4997-44BE-9E92-F4794F4C4DD2}" destId="{B7F5C8D8-9A86-4ADC-AF08-2E77B6B4229A}" srcOrd="2" destOrd="0" parTransId="{918968D3-41D3-4E0D-BCC9-B7F9E94380E0}" sibTransId="{2A0DC172-B293-456F-BBE1-CC3CC003AF61}"/>
    <dgm:cxn modelId="{78EB7E9C-BA2E-4E1B-896E-1AA4FB96A655}" srcId="{C1C59A20-4997-44BE-9E92-F4794F4C4DD2}" destId="{F96C14D4-38B0-40ED-8AFF-D58DB9D1D118}" srcOrd="3" destOrd="0" parTransId="{5C835A7A-622E-471D-9D41-C23037B83221}" sibTransId="{386D14BB-A2AA-46E9-BEFF-4D348B1143B3}"/>
    <dgm:cxn modelId="{3D9FADA2-EE3B-45C3-879B-B8BDD38936FE}" type="presOf" srcId="{E3EB44B8-56AA-43BA-9109-D709C3322E38}" destId="{385B5822-0494-425A-A5A5-7EDFB1D3FEE7}" srcOrd="0" destOrd="0" presId="urn:microsoft.com/office/officeart/2005/8/layout/radial6"/>
    <dgm:cxn modelId="{7F9B73D2-5B83-4BBD-88C0-D9151825CA34}" type="presOf" srcId="{2A0DC172-B293-456F-BBE1-CC3CC003AF61}" destId="{321B418F-0B26-42D9-863E-740441549FDC}" srcOrd="0" destOrd="0" presId="urn:microsoft.com/office/officeart/2005/8/layout/radial6"/>
    <dgm:cxn modelId="{6E143FE6-E0E1-4CB1-9E4F-6C141DD21BBA}" type="presOf" srcId="{E9541A95-79FE-4FC6-B2DE-4983B91364B5}" destId="{7BFE0DE6-F8DA-4442-8930-ABBF132223B9}" srcOrd="0" destOrd="0" presId="urn:microsoft.com/office/officeart/2005/8/layout/radial6"/>
    <dgm:cxn modelId="{685B4EE9-1D70-4BB9-A284-180E44B8AE37}" type="presOf" srcId="{018D2281-743F-4668-8AD6-B5B5918C8800}" destId="{DAD28257-F3C9-4F74-BC27-D183E79E4833}" srcOrd="0" destOrd="0" presId="urn:microsoft.com/office/officeart/2005/8/layout/radial6"/>
    <dgm:cxn modelId="{1C99EAEB-E28C-4ECF-9C2D-8516383CAFF4}" srcId="{C1C59A20-4997-44BE-9E92-F4794F4C4DD2}" destId="{E3EB44B8-56AA-43BA-9109-D709C3322E38}" srcOrd="0" destOrd="0" parTransId="{439B8058-8FC6-4037-B2E9-5C8A3FEBD466}" sibTransId="{E9541A95-79FE-4FC6-B2DE-4983B91364B5}"/>
    <dgm:cxn modelId="{DE08A8E6-84B0-4A8E-9BCA-D382ACFE5C2F}" type="presParOf" srcId="{6C1EC74D-A7FF-402E-8CD3-2FF78DA18CC1}" destId="{FD929FA5-18E0-4C08-BE17-760DCF1F2F54}" srcOrd="0" destOrd="0" presId="urn:microsoft.com/office/officeart/2005/8/layout/radial6"/>
    <dgm:cxn modelId="{F1F16143-BF8A-478E-838D-0007E3D06123}" type="presParOf" srcId="{6C1EC74D-A7FF-402E-8CD3-2FF78DA18CC1}" destId="{385B5822-0494-425A-A5A5-7EDFB1D3FEE7}" srcOrd="1" destOrd="0" presId="urn:microsoft.com/office/officeart/2005/8/layout/radial6"/>
    <dgm:cxn modelId="{C6375317-F8DD-474B-B9BE-912083237EC9}" type="presParOf" srcId="{6C1EC74D-A7FF-402E-8CD3-2FF78DA18CC1}" destId="{5A153D9E-15BA-4E14-95C1-D63CDB44435D}" srcOrd="2" destOrd="0" presId="urn:microsoft.com/office/officeart/2005/8/layout/radial6"/>
    <dgm:cxn modelId="{7A21C4D0-527E-4DD4-9EC0-3F543977BFAC}" type="presParOf" srcId="{6C1EC74D-A7FF-402E-8CD3-2FF78DA18CC1}" destId="{7BFE0DE6-F8DA-4442-8930-ABBF132223B9}" srcOrd="3" destOrd="0" presId="urn:microsoft.com/office/officeart/2005/8/layout/radial6"/>
    <dgm:cxn modelId="{EE96B5F8-5271-4C7F-82F0-BAE878702E17}" type="presParOf" srcId="{6C1EC74D-A7FF-402E-8CD3-2FF78DA18CC1}" destId="{039197D3-B559-40AE-ABCF-48B19FFA69EA}" srcOrd="4" destOrd="0" presId="urn:microsoft.com/office/officeart/2005/8/layout/radial6"/>
    <dgm:cxn modelId="{655E77BA-1D0E-48B7-BFA3-954CEA6A2AC7}" type="presParOf" srcId="{6C1EC74D-A7FF-402E-8CD3-2FF78DA18CC1}" destId="{9099F7B9-4548-40AD-B6F6-349A574CA255}" srcOrd="5" destOrd="0" presId="urn:microsoft.com/office/officeart/2005/8/layout/radial6"/>
    <dgm:cxn modelId="{30A2A28B-7583-4872-9557-6EE54F192F85}" type="presParOf" srcId="{6C1EC74D-A7FF-402E-8CD3-2FF78DA18CC1}" destId="{F192134E-62D4-4A39-BE56-3A3691F05BA6}" srcOrd="6" destOrd="0" presId="urn:microsoft.com/office/officeart/2005/8/layout/radial6"/>
    <dgm:cxn modelId="{AEB2F23A-CFBC-45D5-8461-9E6DC505228D}" type="presParOf" srcId="{6C1EC74D-A7FF-402E-8CD3-2FF78DA18CC1}" destId="{201D04D1-5DC9-450A-BF81-CE399F73F875}" srcOrd="7" destOrd="0" presId="urn:microsoft.com/office/officeart/2005/8/layout/radial6"/>
    <dgm:cxn modelId="{5554B84C-2713-4522-9D4D-B6879EE371A8}" type="presParOf" srcId="{6C1EC74D-A7FF-402E-8CD3-2FF78DA18CC1}" destId="{AF520F73-A64A-42FA-AA4A-0A2A351011A0}" srcOrd="8" destOrd="0" presId="urn:microsoft.com/office/officeart/2005/8/layout/radial6"/>
    <dgm:cxn modelId="{BF142318-0CF8-490E-BBE1-F96E230B1430}" type="presParOf" srcId="{6C1EC74D-A7FF-402E-8CD3-2FF78DA18CC1}" destId="{321B418F-0B26-42D9-863E-740441549FDC}" srcOrd="9" destOrd="0" presId="urn:microsoft.com/office/officeart/2005/8/layout/radial6"/>
    <dgm:cxn modelId="{8B5E4F17-7704-4EFE-963B-0966569A93F5}" type="presParOf" srcId="{6C1EC74D-A7FF-402E-8CD3-2FF78DA18CC1}" destId="{4BDA3A5C-E110-4790-B185-470B37F4565F}" srcOrd="10" destOrd="0" presId="urn:microsoft.com/office/officeart/2005/8/layout/radial6"/>
    <dgm:cxn modelId="{D93CBA69-E636-4E2B-A2CF-AB28FC325F27}" type="presParOf" srcId="{6C1EC74D-A7FF-402E-8CD3-2FF78DA18CC1}" destId="{276B3694-D76A-4D4E-A148-06EC14D865A4}" srcOrd="11" destOrd="0" presId="urn:microsoft.com/office/officeart/2005/8/layout/radial6"/>
    <dgm:cxn modelId="{119D6553-D37D-43F6-9FAD-7AF5CE52F0E9}" type="presParOf" srcId="{6C1EC74D-A7FF-402E-8CD3-2FF78DA18CC1}" destId="{CB4AC3D1-B62A-4B24-ADEA-47E1F0CAC5E6}" srcOrd="12" destOrd="0" presId="urn:microsoft.com/office/officeart/2005/8/layout/radial6"/>
    <dgm:cxn modelId="{64B31A5C-8F25-4CAC-BE33-B3C1FD6ED1D1}" type="presParOf" srcId="{6C1EC74D-A7FF-402E-8CD3-2FF78DA18CC1}" destId="{095B3C04-21C3-42F9-BAC3-AB7BAE0C12C1}" srcOrd="13" destOrd="0" presId="urn:microsoft.com/office/officeart/2005/8/layout/radial6"/>
    <dgm:cxn modelId="{62CE9D29-71A5-4783-9F10-1E6D6F4568A8}" type="presParOf" srcId="{6C1EC74D-A7FF-402E-8CD3-2FF78DA18CC1}" destId="{767055A2-9BFC-4AF3-8ADD-A2613696C1DD}" srcOrd="14" destOrd="0" presId="urn:microsoft.com/office/officeart/2005/8/layout/radial6"/>
    <dgm:cxn modelId="{179F098E-B825-4BBF-966A-D9DA4856987E}" type="presParOf" srcId="{6C1EC74D-A7FF-402E-8CD3-2FF78DA18CC1}" destId="{DAD28257-F3C9-4F74-BC27-D183E79E4833}" srcOrd="15"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D28257-F3C9-4F74-BC27-D183E79E4833}">
      <dsp:nvSpPr>
        <dsp:cNvPr id="0" name=""/>
        <dsp:cNvSpPr/>
      </dsp:nvSpPr>
      <dsp:spPr>
        <a:xfrm>
          <a:off x="1579148" y="330493"/>
          <a:ext cx="2199913" cy="2199913"/>
        </a:xfrm>
        <a:prstGeom prst="blockArc">
          <a:avLst>
            <a:gd name="adj1" fmla="val 11861714"/>
            <a:gd name="adj2" fmla="val 16160064"/>
            <a:gd name="adj3" fmla="val 464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B4AC3D1-B62A-4B24-ADEA-47E1F0CAC5E6}">
      <dsp:nvSpPr>
        <dsp:cNvPr id="0" name=""/>
        <dsp:cNvSpPr/>
      </dsp:nvSpPr>
      <dsp:spPr>
        <a:xfrm>
          <a:off x="1576732" y="337969"/>
          <a:ext cx="2199913" cy="2199913"/>
        </a:xfrm>
        <a:prstGeom prst="blockArc">
          <a:avLst>
            <a:gd name="adj1" fmla="val 7599980"/>
            <a:gd name="adj2" fmla="val 11886850"/>
            <a:gd name="adj3" fmla="val 464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21B418F-0B26-42D9-863E-740441549FDC}">
      <dsp:nvSpPr>
        <dsp:cNvPr id="0" name=""/>
        <dsp:cNvSpPr/>
      </dsp:nvSpPr>
      <dsp:spPr>
        <a:xfrm>
          <a:off x="1566666" y="330566"/>
          <a:ext cx="2199913" cy="2199913"/>
        </a:xfrm>
        <a:prstGeom prst="blockArc">
          <a:avLst>
            <a:gd name="adj1" fmla="val 3240000"/>
            <a:gd name="adj2" fmla="val 7560000"/>
            <a:gd name="adj3" fmla="val 464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192134E-62D4-4A39-BE56-3A3691F05BA6}">
      <dsp:nvSpPr>
        <dsp:cNvPr id="0" name=""/>
        <dsp:cNvSpPr/>
      </dsp:nvSpPr>
      <dsp:spPr>
        <a:xfrm>
          <a:off x="1566666" y="330566"/>
          <a:ext cx="2199913" cy="2199913"/>
        </a:xfrm>
        <a:prstGeom prst="blockArc">
          <a:avLst>
            <a:gd name="adj1" fmla="val 20520000"/>
            <a:gd name="adj2" fmla="val 3240000"/>
            <a:gd name="adj3" fmla="val 464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BFE0DE6-F8DA-4442-8930-ABBF132223B9}">
      <dsp:nvSpPr>
        <dsp:cNvPr id="0" name=""/>
        <dsp:cNvSpPr/>
      </dsp:nvSpPr>
      <dsp:spPr>
        <a:xfrm>
          <a:off x="1566666" y="330566"/>
          <a:ext cx="2199913" cy="2199913"/>
        </a:xfrm>
        <a:prstGeom prst="blockArc">
          <a:avLst>
            <a:gd name="adj1" fmla="val 16200000"/>
            <a:gd name="adj2" fmla="val 20520000"/>
            <a:gd name="adj3" fmla="val 4640"/>
          </a:avLst>
        </a:prstGeom>
        <a:solidFill>
          <a:srgbClr val="9BBB59">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D929FA5-18E0-4C08-BE17-760DCF1F2F54}">
      <dsp:nvSpPr>
        <dsp:cNvPr id="0" name=""/>
        <dsp:cNvSpPr/>
      </dsp:nvSpPr>
      <dsp:spPr>
        <a:xfrm>
          <a:off x="2069579" y="879431"/>
          <a:ext cx="1194086" cy="1102183"/>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Tenancy Sustainment</a:t>
          </a:r>
        </a:p>
      </dsp:txBody>
      <dsp:txXfrm>
        <a:off x="2244449" y="1040842"/>
        <a:ext cx="844346" cy="779361"/>
      </dsp:txXfrm>
    </dsp:sp>
    <dsp:sp modelId="{385B5822-0494-425A-A5A5-7EDFB1D3FEE7}">
      <dsp:nvSpPr>
        <dsp:cNvPr id="0" name=""/>
        <dsp:cNvSpPr/>
      </dsp:nvSpPr>
      <dsp:spPr>
        <a:xfrm>
          <a:off x="2312135" y="1601"/>
          <a:ext cx="708975" cy="7089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Early Help</a:t>
          </a:r>
        </a:p>
      </dsp:txBody>
      <dsp:txXfrm>
        <a:off x="2415962" y="105428"/>
        <a:ext cx="501321" cy="501321"/>
      </dsp:txXfrm>
    </dsp:sp>
    <dsp:sp modelId="{039197D3-B559-40AE-ABCF-48B19FFA69EA}">
      <dsp:nvSpPr>
        <dsp:cNvPr id="0" name=""/>
        <dsp:cNvSpPr/>
      </dsp:nvSpPr>
      <dsp:spPr>
        <a:xfrm>
          <a:off x="3244329" y="744016"/>
          <a:ext cx="888282" cy="7089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Text" lastClr="000000">
                  <a:hueOff val="0"/>
                  <a:satOff val="0"/>
                  <a:lumOff val="0"/>
                  <a:alphaOff val="0"/>
                </a:sysClr>
              </a:solidFill>
              <a:latin typeface="Calibri"/>
              <a:ea typeface="+mn-ea"/>
              <a:cs typeface="+mn-cs"/>
            </a:rPr>
            <a:t>Collecting with Care</a:t>
          </a:r>
        </a:p>
      </dsp:txBody>
      <dsp:txXfrm>
        <a:off x="3374415" y="847843"/>
        <a:ext cx="628110" cy="501321"/>
      </dsp:txXfrm>
    </dsp:sp>
    <dsp:sp modelId="{201D04D1-5DC9-450A-BF81-CE399F73F875}">
      <dsp:nvSpPr>
        <dsp:cNvPr id="0" name=""/>
        <dsp:cNvSpPr/>
      </dsp:nvSpPr>
      <dsp:spPr>
        <a:xfrm>
          <a:off x="2943671" y="1945269"/>
          <a:ext cx="708975" cy="7089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hueOff val="0"/>
                  <a:satOff val="0"/>
                  <a:lumOff val="0"/>
                  <a:alphaOff val="0"/>
                </a:sysClr>
              </a:solidFill>
              <a:latin typeface="Calibri"/>
              <a:ea typeface="+mn-ea"/>
              <a:cs typeface="+mn-cs"/>
            </a:rPr>
            <a:t>Rent on Time</a:t>
          </a:r>
        </a:p>
      </dsp:txBody>
      <dsp:txXfrm>
        <a:off x="3047498" y="2049096"/>
        <a:ext cx="501321" cy="501321"/>
      </dsp:txXfrm>
    </dsp:sp>
    <dsp:sp modelId="{4BDA3A5C-E110-4790-B185-470B37F4565F}">
      <dsp:nvSpPr>
        <dsp:cNvPr id="0" name=""/>
        <dsp:cNvSpPr/>
      </dsp:nvSpPr>
      <dsp:spPr>
        <a:xfrm>
          <a:off x="1599304" y="1945269"/>
          <a:ext cx="871564" cy="7089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a:solidFill>
                <a:sysClr val="windowText" lastClr="000000">
                  <a:hueOff val="0"/>
                  <a:satOff val="0"/>
                  <a:lumOff val="0"/>
                  <a:alphaOff val="0"/>
                </a:sysClr>
              </a:solidFill>
              <a:latin typeface="Calibri"/>
              <a:ea typeface="+mn-ea"/>
              <a:cs typeface="+mn-cs"/>
            </a:rPr>
            <a:t>Homeless Prevention</a:t>
          </a:r>
        </a:p>
      </dsp:txBody>
      <dsp:txXfrm>
        <a:off x="1726942" y="2049096"/>
        <a:ext cx="616288" cy="501321"/>
      </dsp:txXfrm>
    </dsp:sp>
    <dsp:sp modelId="{095B3C04-21C3-42F9-BAC3-AB7BAE0C12C1}">
      <dsp:nvSpPr>
        <dsp:cNvPr id="0" name=""/>
        <dsp:cNvSpPr/>
      </dsp:nvSpPr>
      <dsp:spPr>
        <a:xfrm>
          <a:off x="1301018" y="749384"/>
          <a:ext cx="708975" cy="708975"/>
        </a:xfrm>
        <a:prstGeom prst="ellipse">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Text" lastClr="000000">
                  <a:hueOff val="0"/>
                  <a:satOff val="0"/>
                  <a:lumOff val="0"/>
                  <a:alphaOff val="0"/>
                </a:sysClr>
              </a:solidFill>
              <a:latin typeface="Calibri"/>
              <a:ea typeface="+mn-ea"/>
              <a:cs typeface="+mn-cs"/>
            </a:rPr>
            <a:t>3rd Party Advice</a:t>
          </a:r>
        </a:p>
      </dsp:txBody>
      <dsp:txXfrm>
        <a:off x="1404845" y="853211"/>
        <a:ext cx="501321" cy="50132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2" ma:contentTypeDescription="Create a new document." ma:contentTypeScope="" ma:versionID="48a879befa20dfb6ef29941c8e12ed74">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0eaf677bdab3aff1af73e144fd74314b"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TaxCatchAll xmlns="0a2ace62-6eff-49e2-8365-79ba2d40e546" xsi:nil="true"/>
    <Comments xmlns="a9425197-31e1-4d34-8419-48789e20a78a" xsi:nil="true"/>
  </documentManagement>
</p:properties>
</file>

<file path=customXml/itemProps1.xml><?xml version="1.0" encoding="utf-8"?>
<ds:datastoreItem xmlns:ds="http://schemas.openxmlformats.org/officeDocument/2006/customXml" ds:itemID="{33FE9C04-F741-4F40-B6D0-007B74F97F52}">
  <ds:schemaRefs>
    <ds:schemaRef ds:uri="http://schemas.microsoft.com/sharepoint/v3/contenttype/forms"/>
  </ds:schemaRefs>
</ds:datastoreItem>
</file>

<file path=customXml/itemProps2.xml><?xml version="1.0" encoding="utf-8"?>
<ds:datastoreItem xmlns:ds="http://schemas.openxmlformats.org/officeDocument/2006/customXml" ds:itemID="{9B3F6E72-AEB3-4D50-A7E5-FFD88384C988}">
  <ds:schemaRefs>
    <ds:schemaRef ds:uri="http://schemas.openxmlformats.org/officeDocument/2006/bibliography"/>
  </ds:schemaRefs>
</ds:datastoreItem>
</file>

<file path=customXml/itemProps3.xml><?xml version="1.0" encoding="utf-8"?>
<ds:datastoreItem xmlns:ds="http://schemas.openxmlformats.org/officeDocument/2006/customXml" ds:itemID="{913F80AD-CCAC-413A-9EC1-FE210932D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D1429-A1D2-4889-B33D-CAEDB5A875E5}">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23283</CharactersWithSpaces>
  <SharedDoc>false</SharedDoc>
  <HLinks>
    <vt:vector size="120" baseType="variant">
      <vt:variant>
        <vt:i4>6225932</vt:i4>
      </vt:variant>
      <vt:variant>
        <vt:i4>96</vt:i4>
      </vt:variant>
      <vt:variant>
        <vt:i4>0</vt:i4>
      </vt:variant>
      <vt:variant>
        <vt:i4>5</vt:i4>
      </vt:variant>
      <vt:variant>
        <vt:lpwstr>https://www.sandwell.gov.uk/downloads/download/154/reasonable-adjustments-policy</vt:lpwstr>
      </vt:variant>
      <vt:variant>
        <vt:lpwstr/>
      </vt:variant>
      <vt:variant>
        <vt:i4>5177422</vt:i4>
      </vt:variant>
      <vt:variant>
        <vt:i4>93</vt:i4>
      </vt:variant>
      <vt:variant>
        <vt:i4>0</vt:i4>
      </vt:variant>
      <vt:variant>
        <vt:i4>5</vt:i4>
      </vt:variant>
      <vt:variant>
        <vt:lpwstr>https://www.sandwell.gov.uk/tenanthandbook/downloads/file/2/tenancy-conditions-april-2023</vt:lpwstr>
      </vt:variant>
      <vt:variant>
        <vt:lpwstr/>
      </vt:variant>
      <vt:variant>
        <vt:i4>2162814</vt:i4>
      </vt:variant>
      <vt:variant>
        <vt:i4>90</vt:i4>
      </vt:variant>
      <vt:variant>
        <vt:i4>0</vt:i4>
      </vt:variant>
      <vt:variant>
        <vt:i4>5</vt:i4>
      </vt:variant>
      <vt:variant>
        <vt:lpwstr>https://www.sandwell.gov.uk/housing/housing-strategy-2023-2028</vt:lpwstr>
      </vt:variant>
      <vt:variant>
        <vt:lpwstr/>
      </vt:variant>
      <vt:variant>
        <vt:i4>4915219</vt:i4>
      </vt:variant>
      <vt:variant>
        <vt:i4>87</vt:i4>
      </vt:variant>
      <vt:variant>
        <vt:i4>0</vt:i4>
      </vt:variant>
      <vt:variant>
        <vt:i4>5</vt:i4>
      </vt:variant>
      <vt:variant>
        <vt:lpwstr>https://www.sandwell.gov.uk/downloads/download/233/housing-allocations-policy</vt:lpwstr>
      </vt:variant>
      <vt:variant>
        <vt:lpwstr/>
      </vt:variant>
      <vt:variant>
        <vt:i4>6029397</vt:i4>
      </vt:variant>
      <vt:variant>
        <vt:i4>84</vt:i4>
      </vt:variant>
      <vt:variant>
        <vt:i4>0</vt:i4>
      </vt:variant>
      <vt:variant>
        <vt:i4>5</vt:i4>
      </vt:variant>
      <vt:variant>
        <vt:lpwstr>https://www.sandwell.gov.uk/downloads/file/238/sandwell-council-homelessness-and-rough-sleeping-strategy-2022</vt:lpwstr>
      </vt:variant>
      <vt:variant>
        <vt:lpwstr>:~:text=Our%20Strategy%20sets%20out%20how,set%20of%20more%20complex%20circumstances.</vt:lpwstr>
      </vt:variant>
      <vt:variant>
        <vt:i4>1900554</vt:i4>
      </vt:variant>
      <vt:variant>
        <vt:i4>81</vt:i4>
      </vt:variant>
      <vt:variant>
        <vt:i4>0</vt:i4>
      </vt:variant>
      <vt:variant>
        <vt:i4>5</vt:i4>
      </vt:variant>
      <vt:variant>
        <vt:lpwstr>https://www.sandwell.gov.uk/downloads/download/640/decant-policy</vt:lpwstr>
      </vt:variant>
      <vt:variant>
        <vt:lpwstr/>
      </vt:variant>
      <vt:variant>
        <vt:i4>4522063</vt:i4>
      </vt:variant>
      <vt:variant>
        <vt:i4>78</vt:i4>
      </vt:variant>
      <vt:variant>
        <vt:i4>0</vt:i4>
      </vt:variant>
      <vt:variant>
        <vt:i4>5</vt:i4>
      </vt:variant>
      <vt:variant>
        <vt:lpwstr>https://www.sandwell.gov.uk/downloads/download/980/black-country-tenancy-strategy</vt:lpwstr>
      </vt:variant>
      <vt:variant>
        <vt:lpwstr/>
      </vt:variant>
      <vt:variant>
        <vt:i4>7012468</vt:i4>
      </vt:variant>
      <vt:variant>
        <vt:i4>75</vt:i4>
      </vt:variant>
      <vt:variant>
        <vt:i4>0</vt:i4>
      </vt:variant>
      <vt:variant>
        <vt:i4>5</vt:i4>
      </vt:variant>
      <vt:variant>
        <vt:lpwstr>https://www.sandwell.gov.uk/downloads/file/594/anti-social-behaviour-policy</vt:lpwstr>
      </vt:variant>
      <vt:variant>
        <vt:lpwstr/>
      </vt:variant>
      <vt:variant>
        <vt:i4>1638452</vt:i4>
      </vt:variant>
      <vt:variant>
        <vt:i4>68</vt:i4>
      </vt:variant>
      <vt:variant>
        <vt:i4>0</vt:i4>
      </vt:variant>
      <vt:variant>
        <vt:i4>5</vt:i4>
      </vt:variant>
      <vt:variant>
        <vt:lpwstr/>
      </vt:variant>
      <vt:variant>
        <vt:lpwstr>_Toc192110668</vt:lpwstr>
      </vt:variant>
      <vt:variant>
        <vt:i4>1638452</vt:i4>
      </vt:variant>
      <vt:variant>
        <vt:i4>62</vt:i4>
      </vt:variant>
      <vt:variant>
        <vt:i4>0</vt:i4>
      </vt:variant>
      <vt:variant>
        <vt:i4>5</vt:i4>
      </vt:variant>
      <vt:variant>
        <vt:lpwstr/>
      </vt:variant>
      <vt:variant>
        <vt:lpwstr>_Toc192110667</vt:lpwstr>
      </vt:variant>
      <vt:variant>
        <vt:i4>1638452</vt:i4>
      </vt:variant>
      <vt:variant>
        <vt:i4>56</vt:i4>
      </vt:variant>
      <vt:variant>
        <vt:i4>0</vt:i4>
      </vt:variant>
      <vt:variant>
        <vt:i4>5</vt:i4>
      </vt:variant>
      <vt:variant>
        <vt:lpwstr/>
      </vt:variant>
      <vt:variant>
        <vt:lpwstr>_Toc192110666</vt:lpwstr>
      </vt:variant>
      <vt:variant>
        <vt:i4>1638452</vt:i4>
      </vt:variant>
      <vt:variant>
        <vt:i4>50</vt:i4>
      </vt:variant>
      <vt:variant>
        <vt:i4>0</vt:i4>
      </vt:variant>
      <vt:variant>
        <vt:i4>5</vt:i4>
      </vt:variant>
      <vt:variant>
        <vt:lpwstr/>
      </vt:variant>
      <vt:variant>
        <vt:lpwstr>_Toc192110665</vt:lpwstr>
      </vt:variant>
      <vt:variant>
        <vt:i4>1638452</vt:i4>
      </vt:variant>
      <vt:variant>
        <vt:i4>44</vt:i4>
      </vt:variant>
      <vt:variant>
        <vt:i4>0</vt:i4>
      </vt:variant>
      <vt:variant>
        <vt:i4>5</vt:i4>
      </vt:variant>
      <vt:variant>
        <vt:lpwstr/>
      </vt:variant>
      <vt:variant>
        <vt:lpwstr>_Toc192110664</vt:lpwstr>
      </vt:variant>
      <vt:variant>
        <vt:i4>1638452</vt:i4>
      </vt:variant>
      <vt:variant>
        <vt:i4>38</vt:i4>
      </vt:variant>
      <vt:variant>
        <vt:i4>0</vt:i4>
      </vt:variant>
      <vt:variant>
        <vt:i4>5</vt:i4>
      </vt:variant>
      <vt:variant>
        <vt:lpwstr/>
      </vt:variant>
      <vt:variant>
        <vt:lpwstr>_Toc192110663</vt:lpwstr>
      </vt:variant>
      <vt:variant>
        <vt:i4>1703988</vt:i4>
      </vt:variant>
      <vt:variant>
        <vt:i4>32</vt:i4>
      </vt:variant>
      <vt:variant>
        <vt:i4>0</vt:i4>
      </vt:variant>
      <vt:variant>
        <vt:i4>5</vt:i4>
      </vt:variant>
      <vt:variant>
        <vt:lpwstr/>
      </vt:variant>
      <vt:variant>
        <vt:lpwstr>_Toc192110659</vt:lpwstr>
      </vt:variant>
      <vt:variant>
        <vt:i4>1703988</vt:i4>
      </vt:variant>
      <vt:variant>
        <vt:i4>26</vt:i4>
      </vt:variant>
      <vt:variant>
        <vt:i4>0</vt:i4>
      </vt:variant>
      <vt:variant>
        <vt:i4>5</vt:i4>
      </vt:variant>
      <vt:variant>
        <vt:lpwstr/>
      </vt:variant>
      <vt:variant>
        <vt:lpwstr>_Toc192110658</vt:lpwstr>
      </vt:variant>
      <vt:variant>
        <vt:i4>1703988</vt:i4>
      </vt:variant>
      <vt:variant>
        <vt:i4>20</vt:i4>
      </vt:variant>
      <vt:variant>
        <vt:i4>0</vt:i4>
      </vt:variant>
      <vt:variant>
        <vt:i4>5</vt:i4>
      </vt:variant>
      <vt:variant>
        <vt:lpwstr/>
      </vt:variant>
      <vt:variant>
        <vt:lpwstr>_Toc192110657</vt:lpwstr>
      </vt:variant>
      <vt:variant>
        <vt:i4>1703988</vt:i4>
      </vt:variant>
      <vt:variant>
        <vt:i4>14</vt:i4>
      </vt:variant>
      <vt:variant>
        <vt:i4>0</vt:i4>
      </vt:variant>
      <vt:variant>
        <vt:i4>5</vt:i4>
      </vt:variant>
      <vt:variant>
        <vt:lpwstr/>
      </vt:variant>
      <vt:variant>
        <vt:lpwstr>_Toc192110656</vt:lpwstr>
      </vt:variant>
      <vt:variant>
        <vt:i4>1703988</vt:i4>
      </vt:variant>
      <vt:variant>
        <vt:i4>8</vt:i4>
      </vt:variant>
      <vt:variant>
        <vt:i4>0</vt:i4>
      </vt:variant>
      <vt:variant>
        <vt:i4>5</vt:i4>
      </vt:variant>
      <vt:variant>
        <vt:lpwstr/>
      </vt:variant>
      <vt:variant>
        <vt:lpwstr>_Toc192110655</vt:lpwstr>
      </vt:variant>
      <vt:variant>
        <vt:i4>1703988</vt:i4>
      </vt:variant>
      <vt:variant>
        <vt:i4>2</vt:i4>
      </vt:variant>
      <vt:variant>
        <vt:i4>0</vt:i4>
      </vt:variant>
      <vt:variant>
        <vt:i4>5</vt:i4>
      </vt:variant>
      <vt:variant>
        <vt:lpwstr/>
      </vt:variant>
      <vt:variant>
        <vt:lpwstr>_Toc192110654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Fisher</dc:creator>
  <cp:keywords/>
  <dc:description/>
  <cp:lastModifiedBy>Louis Bebb</cp:lastModifiedBy>
  <cp:revision>2</cp:revision>
  <dcterms:created xsi:type="dcterms:W3CDTF">2025-05-30T08:35:00Z</dcterms:created>
  <dcterms:modified xsi:type="dcterms:W3CDTF">2025-05-30T08:35:00Z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