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AFE4" w14:textId="20DD2465" w:rsidR="00DE2676" w:rsidRPr="00DD7CAE" w:rsidRDefault="00760B54" w:rsidP="00FE774C">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Home Loss and Disturbance Payment Policy</w:t>
      </w:r>
    </w:p>
    <w:p w14:paraId="5B35B072" w14:textId="5EE834C6"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4FC3C2A" wp14:editId="1943B22D">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78399EC1" w14:textId="6C3201F5"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5585D86C" wp14:editId="3C11AE26">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01E8AE7E" w14:textId="1C4C390D"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1727260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DA22314" w14:textId="7315F0EA" w:rsidR="00DD7CAE" w:rsidRDefault="00DD7CAE"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553B9DEE"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701F546D"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1E388569"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85070B" w:rsidRPr="0085070B" w14:paraId="2372967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BCD89B" w14:textId="77777777" w:rsidR="0085070B" w:rsidRPr="00F015C5" w:rsidRDefault="0085070B" w:rsidP="00DD7CAE">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5CEA3E6" w14:textId="631A8368" w:rsidR="0085070B" w:rsidRPr="00F015C5" w:rsidRDefault="00E7532C" w:rsidP="00D259C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Home Loss and Disturbance Payment Policy</w:t>
            </w:r>
          </w:p>
        </w:tc>
      </w:tr>
      <w:tr w:rsidR="0085070B" w:rsidRPr="0085070B" w14:paraId="1542B3C5"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E03C40C"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184F89E" w14:textId="49FF4BA4" w:rsidR="0085070B" w:rsidRPr="00F015C5" w:rsidRDefault="003B18D2" w:rsidP="00FC170A">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Jim Brennan (</w:t>
            </w:r>
            <w:r w:rsidRPr="003B18D2">
              <w:rPr>
                <w:rFonts w:ascii="Arial" w:eastAsia="Times New Roman" w:hAnsi="Arial" w:cs="Arial"/>
                <w:i/>
                <w:iCs/>
                <w:color w:val="000000"/>
                <w:sz w:val="32"/>
                <w:szCs w:val="32"/>
                <w:lang w:eastAsia="en-GB"/>
              </w:rPr>
              <w:t>Head of Tenancy and Estate Management</w:t>
            </w:r>
            <w:r>
              <w:rPr>
                <w:rFonts w:ascii="Arial" w:eastAsia="Times New Roman" w:hAnsi="Arial" w:cs="Arial"/>
                <w:i/>
                <w:iCs/>
                <w:color w:val="000000"/>
                <w:sz w:val="32"/>
                <w:szCs w:val="32"/>
                <w:lang w:eastAsia="en-GB"/>
              </w:rPr>
              <w:t>)</w:t>
            </w:r>
          </w:p>
        </w:tc>
      </w:tr>
      <w:tr w:rsidR="00D62F6A" w:rsidRPr="00DD7CAE" w14:paraId="0F46E89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637E8C" w14:textId="3713DD3B" w:rsidR="00D62F6A" w:rsidRPr="00F015C5" w:rsidRDefault="00D62F6A"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29FAA2DE" w14:textId="46ACAE2C" w:rsidR="00D62F6A" w:rsidRPr="00F015C5" w:rsidRDefault="00E7532C" w:rsidP="0085070B">
            <w:pPr>
              <w:spacing w:after="0" w:line="240" w:lineRule="auto"/>
              <w:ind w:left="-15"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Cabinet</w:t>
            </w:r>
          </w:p>
        </w:tc>
      </w:tr>
      <w:tr w:rsidR="0085070B" w:rsidRPr="0085070B" w14:paraId="3584A036"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F75579"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3D96D2AE" w14:textId="1DF11084" w:rsidR="0085070B" w:rsidRPr="00F015C5" w:rsidRDefault="00AC5E82"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E1D413D" w14:textId="77777777" w:rsidR="0085070B" w:rsidRPr="00F015C5" w:rsidRDefault="0085070B" w:rsidP="0085070B">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235CADCF" w14:textId="37075920" w:rsidR="0085070B" w:rsidRPr="00F015C5" w:rsidRDefault="00AC5E82" w:rsidP="00665317">
            <w:pPr>
              <w:spacing w:after="0" w:line="240" w:lineRule="auto"/>
              <w:ind w:left="96" w:firstLine="2"/>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2.0</w:t>
            </w:r>
            <w:r w:rsidR="0085070B" w:rsidRPr="00F015C5">
              <w:rPr>
                <w:rFonts w:ascii="Arial" w:eastAsia="Times New Roman" w:hAnsi="Arial" w:cs="Arial"/>
                <w:i/>
                <w:iCs/>
                <w:color w:val="000000"/>
                <w:sz w:val="32"/>
                <w:szCs w:val="32"/>
                <w:lang w:eastAsia="en-GB"/>
              </w:rPr>
              <w:t> </w:t>
            </w:r>
          </w:p>
        </w:tc>
      </w:tr>
      <w:tr w:rsidR="0085070B" w:rsidRPr="0085070B" w14:paraId="12269204"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C03126E" w14:textId="77777777" w:rsidR="0085070B" w:rsidRPr="00F015C5" w:rsidRDefault="0085070B" w:rsidP="00AC5E82">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5CE6E57E" w14:textId="59499619" w:rsidR="0085070B" w:rsidRPr="00F015C5" w:rsidRDefault="00AC5E82"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31.06.2025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0FF0351" w14:textId="52F38DDB" w:rsidR="0085070B" w:rsidRPr="00F015C5" w:rsidRDefault="0085070B" w:rsidP="00AC5E82">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sidR="00F700E2">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722F0D85" w14:textId="0FC6E3A5" w:rsidR="0085070B" w:rsidRPr="00F015C5" w:rsidRDefault="00AC5E82" w:rsidP="0085070B">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25.06.2025</w:t>
            </w:r>
            <w:r w:rsidR="00665317" w:rsidRPr="00F015C5">
              <w:rPr>
                <w:rFonts w:ascii="Arial" w:eastAsia="Times New Roman" w:hAnsi="Arial" w:cs="Arial"/>
                <w:i/>
                <w:iCs/>
                <w:color w:val="000000"/>
                <w:sz w:val="32"/>
                <w:szCs w:val="32"/>
                <w:lang w:eastAsia="en-GB"/>
              </w:rPr>
              <w:t xml:space="preserve"> </w:t>
            </w:r>
          </w:p>
        </w:tc>
      </w:tr>
      <w:tr w:rsidR="0085070B" w:rsidRPr="0085070B" w14:paraId="617888EA"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CBC701A" w14:textId="77777777" w:rsidR="0085070B" w:rsidRPr="00F015C5" w:rsidRDefault="0085070B" w:rsidP="00AC5E82">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14258EAF" w14:textId="2818EF17" w:rsidR="0085070B" w:rsidRPr="00F015C5" w:rsidRDefault="00E7532C" w:rsidP="0085070B">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24.04.2025</w:t>
            </w:r>
            <w:r w:rsidR="00FC170A"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FDF7F26" w14:textId="77777777" w:rsidR="0085070B" w:rsidRPr="00F015C5" w:rsidRDefault="0085070B" w:rsidP="00665317">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3C1DE21F" w14:textId="6A7EFDF6" w:rsidR="0085070B" w:rsidRPr="00F015C5" w:rsidRDefault="00E7532C" w:rsidP="0085070B">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00665317" w:rsidRPr="00F015C5">
              <w:rPr>
                <w:rFonts w:ascii="Arial" w:eastAsia="Times New Roman" w:hAnsi="Arial" w:cs="Arial"/>
                <w:i/>
                <w:iCs/>
                <w:color w:val="000000"/>
                <w:sz w:val="32"/>
                <w:szCs w:val="32"/>
                <w:lang w:eastAsia="en-GB"/>
              </w:rPr>
              <w:t xml:space="preserve"> </w:t>
            </w:r>
          </w:p>
        </w:tc>
      </w:tr>
      <w:tr w:rsidR="0085070B" w:rsidRPr="0085070B" w14:paraId="152EDD50"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829680D"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7899BE8" w14:textId="2564820A" w:rsidR="0085070B" w:rsidRPr="00F015C5" w:rsidRDefault="00E7532C" w:rsidP="00C13F6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June 2030</w:t>
            </w:r>
          </w:p>
        </w:tc>
      </w:tr>
      <w:tr w:rsidR="0085070B" w:rsidRPr="0085070B" w14:paraId="15FEFA6D"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1ED0B39"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DD45649" w14:textId="26D0FA6B" w:rsidR="0085070B" w:rsidRPr="00F015C5" w:rsidRDefault="00E7532C" w:rsidP="0085070B">
            <w:pPr>
              <w:spacing w:after="0" w:line="240" w:lineRule="auto"/>
              <w:ind w:left="98"/>
              <w:textAlignment w:val="baseline"/>
              <w:rPr>
                <w:rFonts w:ascii="Arial" w:eastAsia="Times New Roman" w:hAnsi="Arial" w:cs="Arial"/>
                <w:i/>
                <w:iCs/>
                <w:color w:val="000000"/>
                <w:sz w:val="32"/>
                <w:szCs w:val="32"/>
                <w:lang w:eastAsia="en-GB"/>
              </w:rPr>
            </w:pPr>
            <w:r w:rsidRPr="00E7532C">
              <w:rPr>
                <w:rFonts w:ascii="Arial" w:eastAsia="Times New Roman" w:hAnsi="Arial" w:cs="Arial"/>
                <w:i/>
                <w:iCs/>
                <w:color w:val="000000"/>
                <w:sz w:val="32"/>
                <w:szCs w:val="32"/>
                <w:lang w:eastAsia="en-GB"/>
              </w:rPr>
              <w:t>Sandwell Council’s policy ensures tenants permanently rehoused due to improvement or redevelopment works receive fair compensation. It outlines how Home Loss and Disturbance Payments will be made and ensures a consistent, supportive approach throughout the process.</w:t>
            </w:r>
          </w:p>
        </w:tc>
      </w:tr>
    </w:tbl>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rPr>
      </w:sdtEndPr>
      <w:sdtContent>
        <w:p w14:paraId="30BB5B92" w14:textId="77777777" w:rsidR="00A00C18" w:rsidRPr="00E7532C" w:rsidRDefault="00A00C18" w:rsidP="00A00C18">
          <w:pPr>
            <w:pStyle w:val="TOCHeading"/>
            <w:jc w:val="center"/>
            <w:rPr>
              <w:rFonts w:ascii="Arial" w:hAnsi="Arial" w:cs="Arial"/>
              <w:b/>
              <w:bCs/>
              <w:color w:val="auto"/>
              <w:sz w:val="28"/>
              <w:szCs w:val="28"/>
              <w:u w:val="single"/>
            </w:rPr>
          </w:pPr>
          <w:r w:rsidRPr="00E7532C">
            <w:rPr>
              <w:rFonts w:ascii="Arial" w:hAnsi="Arial" w:cs="Arial"/>
              <w:b/>
              <w:bCs/>
              <w:color w:val="auto"/>
              <w:sz w:val="28"/>
              <w:szCs w:val="28"/>
              <w:u w:val="single"/>
            </w:rPr>
            <w:t>Contents</w:t>
          </w:r>
        </w:p>
        <w:p w14:paraId="157ABE76" w14:textId="1A6A24C4" w:rsidR="00E7532C" w:rsidRPr="00E7532C" w:rsidRDefault="00A00C18">
          <w:pPr>
            <w:pStyle w:val="TOC1"/>
            <w:tabs>
              <w:tab w:val="left" w:pos="480"/>
              <w:tab w:val="right" w:leader="dot" w:pos="9016"/>
            </w:tabs>
            <w:rPr>
              <w:rFonts w:eastAsiaTheme="minorEastAsia"/>
              <w:noProof/>
              <w:kern w:val="2"/>
              <w:sz w:val="28"/>
              <w:szCs w:val="28"/>
              <w:lang w:eastAsia="en-GB"/>
              <w14:ligatures w14:val="standardContextual"/>
            </w:rPr>
          </w:pPr>
          <w:r w:rsidRPr="00E7532C">
            <w:rPr>
              <w:rFonts w:ascii="Arial" w:hAnsi="Arial" w:cs="Arial"/>
              <w:b/>
              <w:bCs/>
              <w:sz w:val="28"/>
              <w:szCs w:val="28"/>
            </w:rPr>
            <w:fldChar w:fldCharType="begin"/>
          </w:r>
          <w:r w:rsidRPr="00E7532C">
            <w:rPr>
              <w:rFonts w:ascii="Arial" w:hAnsi="Arial" w:cs="Arial"/>
              <w:b/>
              <w:bCs/>
              <w:sz w:val="28"/>
              <w:szCs w:val="28"/>
            </w:rPr>
            <w:instrText xml:space="preserve"> TOC \o "1-3" \h \z \u </w:instrText>
          </w:r>
          <w:r w:rsidRPr="00E7532C">
            <w:rPr>
              <w:rFonts w:ascii="Arial" w:hAnsi="Arial" w:cs="Arial"/>
              <w:b/>
              <w:bCs/>
              <w:sz w:val="28"/>
              <w:szCs w:val="28"/>
            </w:rPr>
            <w:fldChar w:fldCharType="separate"/>
          </w:r>
          <w:hyperlink w:anchor="_Toc196427200" w:history="1">
            <w:r w:rsidR="00E7532C" w:rsidRPr="00E7532C">
              <w:rPr>
                <w:rStyle w:val="Hyperlink"/>
                <w:rFonts w:ascii="Arial" w:eastAsiaTheme="majorEastAsia" w:hAnsi="Arial" w:cs="Arial"/>
                <w:b/>
                <w:bCs/>
                <w:noProof/>
                <w:sz w:val="28"/>
                <w:szCs w:val="28"/>
              </w:rPr>
              <w:t>1.</w:t>
            </w:r>
            <w:r w:rsidR="00E7532C" w:rsidRPr="00E7532C">
              <w:rPr>
                <w:rFonts w:eastAsiaTheme="minorEastAsia"/>
                <w:noProof/>
                <w:kern w:val="2"/>
                <w:sz w:val="28"/>
                <w:szCs w:val="28"/>
                <w:lang w:eastAsia="en-GB"/>
                <w14:ligatures w14:val="standardContextual"/>
              </w:rPr>
              <w:tab/>
            </w:r>
            <w:r w:rsidR="00E7532C" w:rsidRPr="00E7532C">
              <w:rPr>
                <w:rStyle w:val="Hyperlink"/>
                <w:rFonts w:ascii="Arial" w:eastAsiaTheme="majorEastAsia" w:hAnsi="Arial" w:cs="Arial"/>
                <w:b/>
                <w:bCs/>
                <w:noProof/>
                <w:sz w:val="28"/>
                <w:szCs w:val="28"/>
              </w:rPr>
              <w:t>Purpose</w:t>
            </w:r>
            <w:r w:rsidR="00E7532C" w:rsidRPr="00E7532C">
              <w:rPr>
                <w:noProof/>
                <w:webHidden/>
                <w:sz w:val="28"/>
                <w:szCs w:val="28"/>
              </w:rPr>
              <w:tab/>
            </w:r>
            <w:r w:rsidR="00E7532C" w:rsidRPr="00E7532C">
              <w:rPr>
                <w:noProof/>
                <w:webHidden/>
                <w:sz w:val="28"/>
                <w:szCs w:val="28"/>
              </w:rPr>
              <w:fldChar w:fldCharType="begin"/>
            </w:r>
            <w:r w:rsidR="00E7532C" w:rsidRPr="00E7532C">
              <w:rPr>
                <w:noProof/>
                <w:webHidden/>
                <w:sz w:val="28"/>
                <w:szCs w:val="28"/>
              </w:rPr>
              <w:instrText xml:space="preserve"> PAGEREF _Toc196427200 \h </w:instrText>
            </w:r>
            <w:r w:rsidR="00E7532C" w:rsidRPr="00E7532C">
              <w:rPr>
                <w:noProof/>
                <w:webHidden/>
                <w:sz w:val="28"/>
                <w:szCs w:val="28"/>
              </w:rPr>
            </w:r>
            <w:r w:rsidR="00E7532C" w:rsidRPr="00E7532C">
              <w:rPr>
                <w:noProof/>
                <w:webHidden/>
                <w:sz w:val="28"/>
                <w:szCs w:val="28"/>
              </w:rPr>
              <w:fldChar w:fldCharType="separate"/>
            </w:r>
            <w:r w:rsidR="00E7532C" w:rsidRPr="00E7532C">
              <w:rPr>
                <w:noProof/>
                <w:webHidden/>
                <w:sz w:val="28"/>
                <w:szCs w:val="28"/>
              </w:rPr>
              <w:t>2</w:t>
            </w:r>
            <w:r w:rsidR="00E7532C" w:rsidRPr="00E7532C">
              <w:rPr>
                <w:noProof/>
                <w:webHidden/>
                <w:sz w:val="28"/>
                <w:szCs w:val="28"/>
              </w:rPr>
              <w:fldChar w:fldCharType="end"/>
            </w:r>
          </w:hyperlink>
        </w:p>
        <w:p w14:paraId="20E98438" w14:textId="6A7AB565"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1" w:history="1">
            <w:r w:rsidRPr="00E7532C">
              <w:rPr>
                <w:rStyle w:val="Hyperlink"/>
                <w:rFonts w:ascii="Arial" w:eastAsiaTheme="majorEastAsia" w:hAnsi="Arial" w:cs="Arial"/>
                <w:b/>
                <w:bCs/>
                <w:noProof/>
                <w:sz w:val="28"/>
                <w:szCs w:val="28"/>
              </w:rPr>
              <w:t>2.</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Scope</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_Toc196427201 \h </w:instrText>
            </w:r>
            <w:r w:rsidRPr="00E7532C">
              <w:rPr>
                <w:noProof/>
                <w:webHidden/>
                <w:sz w:val="28"/>
                <w:szCs w:val="28"/>
              </w:rPr>
            </w:r>
            <w:r w:rsidRPr="00E7532C">
              <w:rPr>
                <w:noProof/>
                <w:webHidden/>
                <w:sz w:val="28"/>
                <w:szCs w:val="28"/>
              </w:rPr>
              <w:fldChar w:fldCharType="separate"/>
            </w:r>
            <w:r w:rsidRPr="00E7532C">
              <w:rPr>
                <w:noProof/>
                <w:webHidden/>
                <w:sz w:val="28"/>
                <w:szCs w:val="28"/>
              </w:rPr>
              <w:t>3</w:t>
            </w:r>
            <w:r w:rsidRPr="00E7532C">
              <w:rPr>
                <w:noProof/>
                <w:webHidden/>
                <w:sz w:val="28"/>
                <w:szCs w:val="28"/>
              </w:rPr>
              <w:fldChar w:fldCharType="end"/>
            </w:r>
          </w:hyperlink>
        </w:p>
        <w:p w14:paraId="39821988" w14:textId="023E7206"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2" w:history="1">
            <w:r w:rsidRPr="00E7532C">
              <w:rPr>
                <w:rStyle w:val="Hyperlink"/>
                <w:rFonts w:ascii="Arial" w:eastAsiaTheme="majorEastAsia" w:hAnsi="Arial" w:cs="Arial"/>
                <w:b/>
                <w:bCs/>
                <w:noProof/>
                <w:sz w:val="28"/>
                <w:szCs w:val="28"/>
              </w:rPr>
              <w:t>3.</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What are Home Loss and Disturbance Payments to Sandwell Council?</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_Toc196427202 \h </w:instrText>
            </w:r>
            <w:r w:rsidRPr="00E7532C">
              <w:rPr>
                <w:noProof/>
                <w:webHidden/>
                <w:sz w:val="28"/>
                <w:szCs w:val="28"/>
              </w:rPr>
            </w:r>
            <w:r w:rsidRPr="00E7532C">
              <w:rPr>
                <w:noProof/>
                <w:webHidden/>
                <w:sz w:val="28"/>
                <w:szCs w:val="28"/>
              </w:rPr>
              <w:fldChar w:fldCharType="separate"/>
            </w:r>
            <w:r w:rsidRPr="00E7532C">
              <w:rPr>
                <w:noProof/>
                <w:webHidden/>
                <w:sz w:val="28"/>
                <w:szCs w:val="28"/>
              </w:rPr>
              <w:t>3</w:t>
            </w:r>
            <w:r w:rsidRPr="00E7532C">
              <w:rPr>
                <w:noProof/>
                <w:webHidden/>
                <w:sz w:val="28"/>
                <w:szCs w:val="28"/>
              </w:rPr>
              <w:fldChar w:fldCharType="end"/>
            </w:r>
          </w:hyperlink>
        </w:p>
        <w:p w14:paraId="4F1A514B" w14:textId="11D851CC"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3" w:history="1">
            <w:r w:rsidRPr="00E7532C">
              <w:rPr>
                <w:rStyle w:val="Hyperlink"/>
                <w:rFonts w:ascii="Arial" w:eastAsiaTheme="majorEastAsia" w:hAnsi="Arial" w:cs="Arial"/>
                <w:b/>
                <w:bCs/>
                <w:noProof/>
                <w:sz w:val="28"/>
                <w:szCs w:val="28"/>
              </w:rPr>
              <w:t>4.</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Policy Statement</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_Toc196427203 \h </w:instrText>
            </w:r>
            <w:r w:rsidRPr="00E7532C">
              <w:rPr>
                <w:noProof/>
                <w:webHidden/>
                <w:sz w:val="28"/>
                <w:szCs w:val="28"/>
              </w:rPr>
            </w:r>
            <w:r w:rsidRPr="00E7532C">
              <w:rPr>
                <w:noProof/>
                <w:webHidden/>
                <w:sz w:val="28"/>
                <w:szCs w:val="28"/>
              </w:rPr>
              <w:fldChar w:fldCharType="separate"/>
            </w:r>
            <w:r w:rsidRPr="00E7532C">
              <w:rPr>
                <w:noProof/>
                <w:webHidden/>
                <w:sz w:val="28"/>
                <w:szCs w:val="28"/>
              </w:rPr>
              <w:t>3</w:t>
            </w:r>
            <w:r w:rsidRPr="00E7532C">
              <w:rPr>
                <w:noProof/>
                <w:webHidden/>
                <w:sz w:val="28"/>
                <w:szCs w:val="28"/>
              </w:rPr>
              <w:fldChar w:fldCharType="end"/>
            </w:r>
          </w:hyperlink>
        </w:p>
        <w:p w14:paraId="3FAD90C0" w14:textId="79AECBEA"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4" w:history="1">
            <w:r w:rsidRPr="00E7532C">
              <w:rPr>
                <w:rStyle w:val="Hyperlink"/>
                <w:rFonts w:ascii="Arial" w:eastAsiaTheme="majorEastAsia" w:hAnsi="Arial" w:cs="Arial"/>
                <w:b/>
                <w:bCs/>
                <w:noProof/>
                <w:sz w:val="28"/>
                <w:szCs w:val="28"/>
              </w:rPr>
              <w:t>5.</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Development of Policy</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_Toc196427204 \h </w:instrText>
            </w:r>
            <w:r w:rsidRPr="00E7532C">
              <w:rPr>
                <w:noProof/>
                <w:webHidden/>
                <w:sz w:val="28"/>
                <w:szCs w:val="28"/>
              </w:rPr>
            </w:r>
            <w:r w:rsidRPr="00E7532C">
              <w:rPr>
                <w:noProof/>
                <w:webHidden/>
                <w:sz w:val="28"/>
                <w:szCs w:val="28"/>
              </w:rPr>
              <w:fldChar w:fldCharType="separate"/>
            </w:r>
            <w:r w:rsidRPr="00E7532C">
              <w:rPr>
                <w:noProof/>
                <w:webHidden/>
                <w:sz w:val="28"/>
                <w:szCs w:val="28"/>
              </w:rPr>
              <w:t>7</w:t>
            </w:r>
            <w:r w:rsidRPr="00E7532C">
              <w:rPr>
                <w:noProof/>
                <w:webHidden/>
                <w:sz w:val="28"/>
                <w:szCs w:val="28"/>
              </w:rPr>
              <w:fldChar w:fldCharType="end"/>
            </w:r>
          </w:hyperlink>
        </w:p>
        <w:p w14:paraId="0096DBD0" w14:textId="078A4E6F"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5" w:history="1">
            <w:r w:rsidRPr="00E7532C">
              <w:rPr>
                <w:rStyle w:val="Hyperlink"/>
                <w:rFonts w:ascii="Arial" w:eastAsiaTheme="majorEastAsia" w:hAnsi="Arial" w:cs="Arial"/>
                <w:b/>
                <w:bCs/>
                <w:noProof/>
                <w:sz w:val="28"/>
                <w:szCs w:val="28"/>
              </w:rPr>
              <w:t>6.</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Related Documents</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_Toc196427205 \h </w:instrText>
            </w:r>
            <w:r w:rsidRPr="00E7532C">
              <w:rPr>
                <w:noProof/>
                <w:webHidden/>
                <w:sz w:val="28"/>
                <w:szCs w:val="28"/>
              </w:rPr>
            </w:r>
            <w:r w:rsidRPr="00E7532C">
              <w:rPr>
                <w:noProof/>
                <w:webHidden/>
                <w:sz w:val="28"/>
                <w:szCs w:val="28"/>
              </w:rPr>
              <w:fldChar w:fldCharType="separate"/>
            </w:r>
            <w:r w:rsidRPr="00E7532C">
              <w:rPr>
                <w:noProof/>
                <w:webHidden/>
                <w:sz w:val="28"/>
                <w:szCs w:val="28"/>
              </w:rPr>
              <w:t>7</w:t>
            </w:r>
            <w:r w:rsidRPr="00E7532C">
              <w:rPr>
                <w:noProof/>
                <w:webHidden/>
                <w:sz w:val="28"/>
                <w:szCs w:val="28"/>
              </w:rPr>
              <w:fldChar w:fldCharType="end"/>
            </w:r>
          </w:hyperlink>
        </w:p>
        <w:p w14:paraId="367B67AC" w14:textId="59FBD332"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6" w:history="1">
            <w:r w:rsidRPr="00E7532C">
              <w:rPr>
                <w:rStyle w:val="Hyperlink"/>
                <w:rFonts w:ascii="Arial" w:eastAsiaTheme="majorEastAsia" w:hAnsi="Arial" w:cs="Arial"/>
                <w:b/>
                <w:bCs/>
                <w:noProof/>
                <w:sz w:val="28"/>
                <w:szCs w:val="28"/>
              </w:rPr>
              <w:t>7.</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Legal Framework</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_Toc196427206 \h </w:instrText>
            </w:r>
            <w:r w:rsidRPr="00E7532C">
              <w:rPr>
                <w:noProof/>
                <w:webHidden/>
                <w:sz w:val="28"/>
                <w:szCs w:val="28"/>
              </w:rPr>
            </w:r>
            <w:r w:rsidRPr="00E7532C">
              <w:rPr>
                <w:noProof/>
                <w:webHidden/>
                <w:sz w:val="28"/>
                <w:szCs w:val="28"/>
              </w:rPr>
              <w:fldChar w:fldCharType="separate"/>
            </w:r>
            <w:r w:rsidRPr="00E7532C">
              <w:rPr>
                <w:noProof/>
                <w:webHidden/>
                <w:sz w:val="28"/>
                <w:szCs w:val="28"/>
              </w:rPr>
              <w:t>8</w:t>
            </w:r>
            <w:r w:rsidRPr="00E7532C">
              <w:rPr>
                <w:noProof/>
                <w:webHidden/>
                <w:sz w:val="28"/>
                <w:szCs w:val="28"/>
              </w:rPr>
              <w:fldChar w:fldCharType="end"/>
            </w:r>
          </w:hyperlink>
        </w:p>
        <w:p w14:paraId="3744F24D" w14:textId="6611EB7E"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7" w:history="1">
            <w:r w:rsidRPr="00E7532C">
              <w:rPr>
                <w:rStyle w:val="Hyperlink"/>
                <w:rFonts w:ascii="Arial" w:eastAsiaTheme="majorEastAsia" w:hAnsi="Arial" w:cs="Arial"/>
                <w:b/>
                <w:bCs/>
                <w:noProof/>
                <w:sz w:val="28"/>
                <w:szCs w:val="28"/>
              </w:rPr>
              <w:t>8.</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Equality and Diversity</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_Toc196427207 \h </w:instrText>
            </w:r>
            <w:r w:rsidRPr="00E7532C">
              <w:rPr>
                <w:noProof/>
                <w:webHidden/>
                <w:sz w:val="28"/>
                <w:szCs w:val="28"/>
              </w:rPr>
            </w:r>
            <w:r w:rsidRPr="00E7532C">
              <w:rPr>
                <w:noProof/>
                <w:webHidden/>
                <w:sz w:val="28"/>
                <w:szCs w:val="28"/>
              </w:rPr>
              <w:fldChar w:fldCharType="separate"/>
            </w:r>
            <w:r w:rsidRPr="00E7532C">
              <w:rPr>
                <w:noProof/>
                <w:webHidden/>
                <w:sz w:val="28"/>
                <w:szCs w:val="28"/>
              </w:rPr>
              <w:t>8</w:t>
            </w:r>
            <w:r w:rsidRPr="00E7532C">
              <w:rPr>
                <w:noProof/>
                <w:webHidden/>
                <w:sz w:val="28"/>
                <w:szCs w:val="28"/>
              </w:rPr>
              <w:fldChar w:fldCharType="end"/>
            </w:r>
          </w:hyperlink>
        </w:p>
        <w:p w14:paraId="6B10377B" w14:textId="525C5B09" w:rsidR="00E7532C" w:rsidRPr="00E7532C" w:rsidRDefault="00E7532C">
          <w:pPr>
            <w:pStyle w:val="TOC1"/>
            <w:tabs>
              <w:tab w:val="left" w:pos="480"/>
              <w:tab w:val="right" w:leader="dot" w:pos="9016"/>
            </w:tabs>
            <w:rPr>
              <w:rFonts w:eastAsiaTheme="minorEastAsia"/>
              <w:noProof/>
              <w:kern w:val="2"/>
              <w:sz w:val="28"/>
              <w:szCs w:val="28"/>
              <w:lang w:eastAsia="en-GB"/>
              <w14:ligatures w14:val="standardContextual"/>
            </w:rPr>
          </w:pPr>
          <w:hyperlink w:anchor="_Toc196427208" w:history="1">
            <w:r w:rsidRPr="00E7532C">
              <w:rPr>
                <w:rStyle w:val="Hyperlink"/>
                <w:rFonts w:ascii="Arial" w:eastAsiaTheme="majorEastAsia" w:hAnsi="Arial" w:cs="Arial"/>
                <w:b/>
                <w:bCs/>
                <w:noProof/>
                <w:sz w:val="28"/>
                <w:szCs w:val="28"/>
              </w:rPr>
              <w:t>9.</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Monitoring and Review</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_Toc196427208 \h </w:instrText>
            </w:r>
            <w:r w:rsidRPr="00E7532C">
              <w:rPr>
                <w:noProof/>
                <w:webHidden/>
                <w:sz w:val="28"/>
                <w:szCs w:val="28"/>
              </w:rPr>
            </w:r>
            <w:r w:rsidRPr="00E7532C">
              <w:rPr>
                <w:noProof/>
                <w:webHidden/>
                <w:sz w:val="28"/>
                <w:szCs w:val="28"/>
              </w:rPr>
              <w:fldChar w:fldCharType="separate"/>
            </w:r>
            <w:r w:rsidRPr="00E7532C">
              <w:rPr>
                <w:noProof/>
                <w:webHidden/>
                <w:sz w:val="28"/>
                <w:szCs w:val="28"/>
              </w:rPr>
              <w:t>10</w:t>
            </w:r>
            <w:r w:rsidRPr="00E7532C">
              <w:rPr>
                <w:noProof/>
                <w:webHidden/>
                <w:sz w:val="28"/>
                <w:szCs w:val="28"/>
              </w:rPr>
              <w:fldChar w:fldCharType="end"/>
            </w:r>
          </w:hyperlink>
        </w:p>
        <w:p w14:paraId="682D5CC5" w14:textId="36ACE330" w:rsidR="00E7532C" w:rsidRPr="00E7532C" w:rsidRDefault="00E7532C">
          <w:pPr>
            <w:pStyle w:val="TOC1"/>
            <w:tabs>
              <w:tab w:val="left" w:pos="720"/>
              <w:tab w:val="right" w:leader="dot" w:pos="9016"/>
            </w:tabs>
            <w:rPr>
              <w:rFonts w:eastAsiaTheme="minorEastAsia"/>
              <w:noProof/>
              <w:kern w:val="2"/>
              <w:sz w:val="28"/>
              <w:szCs w:val="28"/>
              <w:lang w:eastAsia="en-GB"/>
              <w14:ligatures w14:val="standardContextual"/>
            </w:rPr>
          </w:pPr>
          <w:hyperlink w:anchor="_Toc196427209" w:history="1">
            <w:r w:rsidRPr="00E7532C">
              <w:rPr>
                <w:rStyle w:val="Hyperlink"/>
                <w:rFonts w:ascii="Arial" w:eastAsiaTheme="majorEastAsia" w:hAnsi="Arial" w:cs="Arial"/>
                <w:b/>
                <w:bCs/>
                <w:noProof/>
                <w:sz w:val="28"/>
                <w:szCs w:val="28"/>
              </w:rPr>
              <w:t>10.</w:t>
            </w:r>
            <w:r w:rsidRPr="00E7532C">
              <w:rPr>
                <w:rFonts w:eastAsiaTheme="minorEastAsia"/>
                <w:noProof/>
                <w:kern w:val="2"/>
                <w:sz w:val="28"/>
                <w:szCs w:val="28"/>
                <w:lang w:eastAsia="en-GB"/>
                <w14:ligatures w14:val="standardContextual"/>
              </w:rPr>
              <w:tab/>
            </w:r>
            <w:r w:rsidRPr="00E7532C">
              <w:rPr>
                <w:rStyle w:val="Hyperlink"/>
                <w:rFonts w:ascii="Arial" w:eastAsiaTheme="majorEastAsia" w:hAnsi="Arial" w:cs="Arial"/>
                <w:b/>
                <w:bCs/>
                <w:noProof/>
                <w:sz w:val="28"/>
                <w:szCs w:val="28"/>
              </w:rPr>
              <w:t>Policy Document Version Control</w:t>
            </w:r>
            <w:r w:rsidRPr="00E7532C">
              <w:rPr>
                <w:noProof/>
                <w:webHidden/>
                <w:sz w:val="28"/>
                <w:szCs w:val="28"/>
              </w:rPr>
              <w:tab/>
            </w:r>
            <w:r w:rsidRPr="00E7532C">
              <w:rPr>
                <w:noProof/>
                <w:webHidden/>
                <w:sz w:val="28"/>
                <w:szCs w:val="28"/>
              </w:rPr>
              <w:fldChar w:fldCharType="begin"/>
            </w:r>
            <w:r w:rsidRPr="00E7532C">
              <w:rPr>
                <w:noProof/>
                <w:webHidden/>
                <w:sz w:val="28"/>
                <w:szCs w:val="28"/>
              </w:rPr>
              <w:instrText xml:space="preserve"> PAGEREF _Toc196427209 \h </w:instrText>
            </w:r>
            <w:r w:rsidRPr="00E7532C">
              <w:rPr>
                <w:noProof/>
                <w:webHidden/>
                <w:sz w:val="28"/>
                <w:szCs w:val="28"/>
              </w:rPr>
            </w:r>
            <w:r w:rsidRPr="00E7532C">
              <w:rPr>
                <w:noProof/>
                <w:webHidden/>
                <w:sz w:val="28"/>
                <w:szCs w:val="28"/>
              </w:rPr>
              <w:fldChar w:fldCharType="separate"/>
            </w:r>
            <w:r w:rsidRPr="00E7532C">
              <w:rPr>
                <w:noProof/>
                <w:webHidden/>
                <w:sz w:val="28"/>
                <w:szCs w:val="28"/>
              </w:rPr>
              <w:t>10</w:t>
            </w:r>
            <w:r w:rsidRPr="00E7532C">
              <w:rPr>
                <w:noProof/>
                <w:webHidden/>
                <w:sz w:val="28"/>
                <w:szCs w:val="28"/>
              </w:rPr>
              <w:fldChar w:fldCharType="end"/>
            </w:r>
          </w:hyperlink>
        </w:p>
        <w:p w14:paraId="0C6A57A1" w14:textId="2F4CF1C5" w:rsidR="00A00C18" w:rsidRDefault="00A00C18" w:rsidP="00A00C18">
          <w:pPr>
            <w:rPr>
              <w:b/>
              <w:bCs/>
              <w:noProof/>
            </w:rPr>
          </w:pPr>
          <w:r w:rsidRPr="00E7532C">
            <w:rPr>
              <w:rFonts w:ascii="Arial" w:hAnsi="Arial" w:cs="Arial"/>
              <w:b/>
              <w:bCs/>
              <w:noProof/>
              <w:sz w:val="28"/>
              <w:szCs w:val="28"/>
            </w:rPr>
            <w:fldChar w:fldCharType="end"/>
          </w:r>
        </w:p>
      </w:sdtContent>
    </w:sdt>
    <w:p w14:paraId="0D9567F4" w14:textId="59A264EB" w:rsidR="00DD7CAE" w:rsidRDefault="00DD7CAE"/>
    <w:p w14:paraId="1EA109F7" w14:textId="77777777" w:rsidR="00DD7CAE" w:rsidRDefault="00DD7CAE"/>
    <w:p w14:paraId="08851F56" w14:textId="77777777" w:rsidR="00DD7CAE" w:rsidRDefault="00DD7CAE"/>
    <w:p w14:paraId="5BC0DB41" w14:textId="77777777" w:rsidR="00DD7CAE" w:rsidRDefault="00DD7CAE"/>
    <w:p w14:paraId="775AC2D8" w14:textId="77777777" w:rsidR="00A00C18" w:rsidRDefault="00A00C18"/>
    <w:p w14:paraId="2CBE8879" w14:textId="77777777" w:rsidR="00A00C18" w:rsidRDefault="00A00C18"/>
    <w:p w14:paraId="511CECE3" w14:textId="77777777" w:rsidR="00A00C18" w:rsidRDefault="00A00C18"/>
    <w:p w14:paraId="0E2CB233" w14:textId="77777777" w:rsidR="00A00C18" w:rsidRDefault="00A00C18"/>
    <w:p w14:paraId="67CB91F6" w14:textId="77777777" w:rsidR="00A00C18" w:rsidRDefault="00A00C18"/>
    <w:p w14:paraId="572FBFE8" w14:textId="77777777" w:rsidR="00A00C18" w:rsidRDefault="00A00C18"/>
    <w:p w14:paraId="418E5CBA" w14:textId="77777777" w:rsidR="00A00C18" w:rsidRDefault="00A00C18"/>
    <w:p w14:paraId="3CBF2B6B" w14:textId="77777777" w:rsidR="00A00C18" w:rsidRDefault="00A00C18"/>
    <w:p w14:paraId="2751FD11" w14:textId="77777777" w:rsidR="00A00C18" w:rsidRDefault="00A00C18"/>
    <w:p w14:paraId="6228E72D" w14:textId="77777777" w:rsidR="00A00C18" w:rsidRDefault="00A00C18"/>
    <w:p w14:paraId="0B784EE1" w14:textId="77777777" w:rsidR="00A00C18" w:rsidRDefault="00A00C18"/>
    <w:p w14:paraId="50280D8F" w14:textId="77777777" w:rsidR="009B57FA" w:rsidRDefault="009B57FA"/>
    <w:p w14:paraId="3FB5C841" w14:textId="77777777" w:rsidR="009B57FA" w:rsidRDefault="009B57FA"/>
    <w:p w14:paraId="70D21F8D" w14:textId="77777777" w:rsidR="009B57FA" w:rsidRDefault="009B57FA"/>
    <w:p w14:paraId="23D54469" w14:textId="74BA1F58" w:rsidR="00775A60" w:rsidRPr="00AA65DC" w:rsidRDefault="00A00C18"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6427200"/>
      <w:bookmarkStart w:id="1" w:name="_Hlk165643217"/>
      <w:r w:rsidRPr="00AA65DC">
        <w:rPr>
          <w:rFonts w:ascii="Arial" w:eastAsiaTheme="majorEastAsia" w:hAnsi="Arial" w:cs="Arial"/>
          <w:b/>
          <w:bCs/>
          <w:color w:val="2F5496" w:themeColor="accent1" w:themeShade="BF"/>
          <w:sz w:val="28"/>
          <w:szCs w:val="28"/>
        </w:rPr>
        <w:lastRenderedPageBreak/>
        <w:t>Purpose</w:t>
      </w:r>
      <w:bookmarkEnd w:id="0"/>
    </w:p>
    <w:bookmarkEnd w:id="1"/>
    <w:p w14:paraId="39503FA6" w14:textId="77777777" w:rsidR="00C13F6F" w:rsidRPr="00AA65DC" w:rsidRDefault="00C13F6F" w:rsidP="00C13F6F">
      <w:pPr>
        <w:rPr>
          <w:sz w:val="20"/>
          <w:szCs w:val="20"/>
        </w:rPr>
      </w:pPr>
    </w:p>
    <w:p w14:paraId="419695A8" w14:textId="77777777" w:rsidR="00AA65DC" w:rsidRPr="00AA65DC" w:rsidRDefault="00AA65DC" w:rsidP="00AA65DC">
      <w:pPr>
        <w:pStyle w:val="ListParagraph"/>
        <w:numPr>
          <w:ilvl w:val="1"/>
          <w:numId w:val="1"/>
        </w:numPr>
        <w:spacing w:after="0"/>
        <w:ind w:left="567" w:hanging="567"/>
        <w:rPr>
          <w:rFonts w:ascii="Arial" w:hAnsi="Arial" w:cs="Arial"/>
          <w:sz w:val="28"/>
          <w:szCs w:val="28"/>
        </w:rPr>
      </w:pPr>
      <w:bookmarkStart w:id="2" w:name="_Hlk197674726"/>
      <w:r w:rsidRPr="00AA65DC">
        <w:rPr>
          <w:rFonts w:ascii="Arial" w:hAnsi="Arial" w:cs="Arial"/>
          <w:sz w:val="28"/>
          <w:szCs w:val="28"/>
        </w:rPr>
        <w:t>Sandwell Council occasionally needs to permanently rehouse tenants to carry out essential property improvements or to redevelop land. While these projects aim to improve housing quality and support regeneration, they can disrupt the lives of those affected.</w:t>
      </w:r>
    </w:p>
    <w:bookmarkEnd w:id="2"/>
    <w:p w14:paraId="759A3E40" w14:textId="77777777" w:rsidR="00AA65DC" w:rsidRPr="00AA65DC" w:rsidRDefault="00AA65DC" w:rsidP="00AA65DC">
      <w:pPr>
        <w:pStyle w:val="ListParagraph"/>
        <w:spacing w:after="0"/>
        <w:ind w:left="567"/>
        <w:rPr>
          <w:rFonts w:ascii="Arial" w:hAnsi="Arial" w:cs="Arial"/>
          <w:sz w:val="28"/>
          <w:szCs w:val="28"/>
        </w:rPr>
      </w:pPr>
    </w:p>
    <w:p w14:paraId="48F8253F" w14:textId="77777777" w:rsidR="00AA65DC" w:rsidRPr="00AA65DC" w:rsidRDefault="00AA65DC" w:rsidP="00AA65DC">
      <w:pPr>
        <w:pStyle w:val="ListParagraph"/>
        <w:numPr>
          <w:ilvl w:val="1"/>
          <w:numId w:val="1"/>
        </w:numPr>
        <w:spacing w:after="0"/>
        <w:ind w:left="567" w:hanging="567"/>
        <w:rPr>
          <w:rFonts w:ascii="Arial" w:hAnsi="Arial" w:cs="Arial"/>
          <w:sz w:val="28"/>
          <w:szCs w:val="28"/>
        </w:rPr>
      </w:pPr>
      <w:bookmarkStart w:id="3" w:name="_Hlk197674743"/>
      <w:r w:rsidRPr="00AA65DC">
        <w:rPr>
          <w:rFonts w:ascii="Arial" w:hAnsi="Arial" w:cs="Arial"/>
          <w:sz w:val="28"/>
          <w:szCs w:val="28"/>
        </w:rPr>
        <w:t>This policy sets out how the Council will compensate tenants who are permanently displaced due to such works.</w:t>
      </w:r>
      <w:bookmarkEnd w:id="3"/>
      <w:r w:rsidRPr="00AA65DC">
        <w:rPr>
          <w:rFonts w:ascii="Arial" w:hAnsi="Arial" w:cs="Arial"/>
          <w:sz w:val="28"/>
          <w:szCs w:val="28"/>
        </w:rPr>
        <w:t xml:space="preserve"> It explains the approach to Home Loss and Disturbance Payments, ensuring tenants are treated fairly and consistently throughout the process.</w:t>
      </w:r>
    </w:p>
    <w:p w14:paraId="4C52F3A4" w14:textId="77777777" w:rsidR="00483D6B" w:rsidRPr="00AA65DC" w:rsidRDefault="00483D6B" w:rsidP="00483D6B">
      <w:pPr>
        <w:spacing w:after="0"/>
        <w:rPr>
          <w:rFonts w:ascii="Arial" w:hAnsi="Arial" w:cs="Arial"/>
          <w:sz w:val="28"/>
          <w:szCs w:val="28"/>
        </w:rPr>
      </w:pPr>
    </w:p>
    <w:p w14:paraId="76974F70" w14:textId="0712FDCC" w:rsidR="00775A60" w:rsidRPr="00AA65DC" w:rsidRDefault="00DC3EDD"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 w:name="_Toc196427201"/>
      <w:bookmarkStart w:id="5" w:name="_Hlk164762292"/>
      <w:r w:rsidRPr="00AA65DC">
        <w:rPr>
          <w:rFonts w:ascii="Arial" w:eastAsiaTheme="majorEastAsia" w:hAnsi="Arial" w:cs="Arial"/>
          <w:b/>
          <w:bCs/>
          <w:color w:val="2F5496" w:themeColor="accent1" w:themeShade="BF"/>
          <w:sz w:val="28"/>
          <w:szCs w:val="28"/>
        </w:rPr>
        <w:t>Scope</w:t>
      </w:r>
      <w:bookmarkEnd w:id="4"/>
    </w:p>
    <w:bookmarkEnd w:id="5"/>
    <w:p w14:paraId="3B6C266F" w14:textId="77777777" w:rsidR="00DC3EDD" w:rsidRPr="00AA65DC"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1BD840F7" w14:textId="2D5216DE" w:rsidR="00236900" w:rsidRPr="00AA65DC" w:rsidRDefault="00AA65DC" w:rsidP="00866512">
      <w:pPr>
        <w:pStyle w:val="ListParagraph"/>
        <w:numPr>
          <w:ilvl w:val="1"/>
          <w:numId w:val="1"/>
        </w:numPr>
        <w:ind w:left="567" w:hanging="567"/>
        <w:rPr>
          <w:rFonts w:ascii="Arial" w:hAnsi="Arial" w:cs="Arial"/>
          <w:sz w:val="28"/>
          <w:szCs w:val="28"/>
        </w:rPr>
      </w:pPr>
      <w:r w:rsidRPr="00AA65DC">
        <w:rPr>
          <w:rFonts w:ascii="Arial" w:hAnsi="Arial" w:cs="Arial"/>
          <w:sz w:val="28"/>
          <w:szCs w:val="28"/>
        </w:rPr>
        <w:t>This policy covers all general needs tenants, residents of extra care schemes, leaseholders, and affected owner-occupiers.</w:t>
      </w:r>
    </w:p>
    <w:p w14:paraId="6149BCC0" w14:textId="77777777" w:rsidR="0045700D" w:rsidRPr="00AA65DC" w:rsidRDefault="0045700D" w:rsidP="0045700D">
      <w:pPr>
        <w:pStyle w:val="ListParagraph"/>
        <w:ind w:left="567"/>
        <w:rPr>
          <w:rFonts w:ascii="Arial" w:hAnsi="Arial" w:cs="Arial"/>
          <w:sz w:val="28"/>
          <w:szCs w:val="28"/>
        </w:rPr>
      </w:pPr>
    </w:p>
    <w:p w14:paraId="58227565" w14:textId="5DCE55FF" w:rsidR="003D2B21" w:rsidRPr="00AA65DC" w:rsidRDefault="00866512"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6" w:name="_Toc196427202"/>
      <w:r w:rsidRPr="00AA65DC">
        <w:rPr>
          <w:rFonts w:ascii="Arial" w:eastAsiaTheme="majorEastAsia" w:hAnsi="Arial" w:cs="Arial"/>
          <w:b/>
          <w:bCs/>
          <w:color w:val="2F5496" w:themeColor="accent1" w:themeShade="BF"/>
          <w:sz w:val="28"/>
          <w:szCs w:val="28"/>
        </w:rPr>
        <w:t xml:space="preserve">What </w:t>
      </w:r>
      <w:r w:rsidR="00AA65DC">
        <w:rPr>
          <w:rFonts w:ascii="Arial" w:eastAsiaTheme="majorEastAsia" w:hAnsi="Arial" w:cs="Arial"/>
          <w:b/>
          <w:bCs/>
          <w:color w:val="2F5496" w:themeColor="accent1" w:themeShade="BF"/>
          <w:sz w:val="28"/>
          <w:szCs w:val="28"/>
        </w:rPr>
        <w:t>are</w:t>
      </w:r>
      <w:r w:rsidRPr="00AA65DC">
        <w:rPr>
          <w:rFonts w:ascii="Arial" w:eastAsiaTheme="majorEastAsia" w:hAnsi="Arial" w:cs="Arial"/>
          <w:b/>
          <w:bCs/>
          <w:color w:val="2F5496" w:themeColor="accent1" w:themeShade="BF"/>
          <w:sz w:val="28"/>
          <w:szCs w:val="28"/>
        </w:rPr>
        <w:t xml:space="preserve"> </w:t>
      </w:r>
      <w:r w:rsidR="00AA65DC">
        <w:rPr>
          <w:rFonts w:ascii="Arial" w:eastAsiaTheme="majorEastAsia" w:hAnsi="Arial" w:cs="Arial"/>
          <w:b/>
          <w:bCs/>
          <w:color w:val="2F5496" w:themeColor="accent1" w:themeShade="BF"/>
          <w:sz w:val="28"/>
          <w:szCs w:val="28"/>
        </w:rPr>
        <w:t>Home Loss and Disturbance Payments</w:t>
      </w:r>
      <w:r w:rsidRPr="00AA65DC">
        <w:rPr>
          <w:rFonts w:ascii="Arial" w:eastAsiaTheme="majorEastAsia" w:hAnsi="Arial" w:cs="Arial"/>
          <w:b/>
          <w:bCs/>
          <w:color w:val="2F5496" w:themeColor="accent1" w:themeShade="BF"/>
          <w:sz w:val="28"/>
          <w:szCs w:val="28"/>
        </w:rPr>
        <w:t xml:space="preserve"> to Sandwell Council?</w:t>
      </w:r>
      <w:bookmarkEnd w:id="6"/>
    </w:p>
    <w:p w14:paraId="1C5C8804" w14:textId="77777777" w:rsidR="00AA61DE" w:rsidRPr="00AA65DC"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4E33D63E" w14:textId="77777777" w:rsidR="00AA65DC" w:rsidRDefault="00AA65DC" w:rsidP="00AA65DC">
      <w:pPr>
        <w:pStyle w:val="ListParagraph"/>
        <w:numPr>
          <w:ilvl w:val="1"/>
          <w:numId w:val="1"/>
        </w:numPr>
        <w:ind w:left="567" w:hanging="567"/>
        <w:rPr>
          <w:rFonts w:ascii="Arial" w:hAnsi="Arial" w:cs="Arial"/>
          <w:sz w:val="28"/>
          <w:szCs w:val="28"/>
        </w:rPr>
      </w:pPr>
      <w:bookmarkStart w:id="7" w:name="_Hlk164766688"/>
      <w:r w:rsidRPr="00AA65DC">
        <w:rPr>
          <w:rFonts w:ascii="Arial" w:hAnsi="Arial" w:cs="Arial"/>
          <w:sz w:val="28"/>
          <w:szCs w:val="28"/>
        </w:rPr>
        <w:t>A home loss payment is intended to compensate people for the inconvenience of having to move permanently to another home at a time not of their choosing.</w:t>
      </w:r>
    </w:p>
    <w:p w14:paraId="766999AE" w14:textId="77777777" w:rsidR="00AA65DC" w:rsidRPr="00AA65DC" w:rsidRDefault="00AA65DC" w:rsidP="00AA65DC">
      <w:pPr>
        <w:pStyle w:val="ListParagraph"/>
        <w:ind w:left="567"/>
        <w:rPr>
          <w:rFonts w:ascii="Arial" w:hAnsi="Arial" w:cs="Arial"/>
          <w:sz w:val="28"/>
          <w:szCs w:val="28"/>
        </w:rPr>
      </w:pPr>
    </w:p>
    <w:p w14:paraId="46EF3A9E" w14:textId="5A244615" w:rsidR="003D2B21" w:rsidRDefault="00AA65DC" w:rsidP="003D2B21">
      <w:pPr>
        <w:pStyle w:val="ListParagraph"/>
        <w:numPr>
          <w:ilvl w:val="1"/>
          <w:numId w:val="1"/>
        </w:numPr>
        <w:ind w:left="567" w:hanging="567"/>
        <w:rPr>
          <w:rFonts w:ascii="Arial" w:hAnsi="Arial" w:cs="Arial"/>
          <w:sz w:val="28"/>
          <w:szCs w:val="28"/>
        </w:rPr>
      </w:pPr>
      <w:r w:rsidRPr="00AA65DC">
        <w:rPr>
          <w:rFonts w:ascii="Arial" w:hAnsi="Arial" w:cs="Arial"/>
          <w:sz w:val="28"/>
          <w:szCs w:val="28"/>
        </w:rPr>
        <w:t>A disturbance payment is made to compensate the occupier of the property for the reasonable expenses and losses involved in moving from their home.</w:t>
      </w:r>
    </w:p>
    <w:p w14:paraId="192948AD" w14:textId="77777777" w:rsidR="00AA65DC" w:rsidRPr="00AA65DC" w:rsidRDefault="00AA65DC" w:rsidP="00AA65DC">
      <w:pPr>
        <w:pStyle w:val="ListParagraph"/>
        <w:rPr>
          <w:rFonts w:ascii="Arial" w:hAnsi="Arial" w:cs="Arial"/>
          <w:sz w:val="28"/>
          <w:szCs w:val="28"/>
        </w:rPr>
      </w:pPr>
    </w:p>
    <w:p w14:paraId="7C1D7554" w14:textId="71E143B8" w:rsidR="00AA65DC" w:rsidRPr="00AA65DC" w:rsidRDefault="00AA65DC" w:rsidP="003D2B21">
      <w:pPr>
        <w:pStyle w:val="ListParagraph"/>
        <w:numPr>
          <w:ilvl w:val="1"/>
          <w:numId w:val="1"/>
        </w:numPr>
        <w:ind w:left="567" w:hanging="567"/>
        <w:rPr>
          <w:rFonts w:ascii="Arial" w:hAnsi="Arial" w:cs="Arial"/>
          <w:sz w:val="28"/>
          <w:szCs w:val="28"/>
        </w:rPr>
      </w:pPr>
      <w:r w:rsidRPr="00AA65DC">
        <w:rPr>
          <w:rFonts w:ascii="Arial" w:hAnsi="Arial" w:cs="Arial"/>
          <w:sz w:val="28"/>
          <w:szCs w:val="28"/>
        </w:rPr>
        <w:t>Entitlement to home loss and disturbance payment depends on a number of qualifying circumstances and the calculation of amounts due, if not determined by law, will be based on a fair assessment of the loss or costs incurred by customers losing their homes.</w:t>
      </w:r>
    </w:p>
    <w:bookmarkEnd w:id="7"/>
    <w:p w14:paraId="089DF0FE" w14:textId="77777777" w:rsidR="003D2B21" w:rsidRPr="00AA65DC" w:rsidRDefault="003D2B21" w:rsidP="003D2B21">
      <w:pPr>
        <w:rPr>
          <w:rFonts w:ascii="Arial" w:hAnsi="Arial" w:cs="Arial"/>
          <w:sz w:val="28"/>
          <w:szCs w:val="28"/>
        </w:rPr>
      </w:pPr>
    </w:p>
    <w:p w14:paraId="32000047" w14:textId="77777777" w:rsidR="0045700D" w:rsidRPr="00AA65DC" w:rsidRDefault="0045700D" w:rsidP="003D2B21">
      <w:pPr>
        <w:rPr>
          <w:rFonts w:ascii="Arial" w:hAnsi="Arial" w:cs="Arial"/>
          <w:sz w:val="28"/>
          <w:szCs w:val="28"/>
        </w:rPr>
      </w:pPr>
    </w:p>
    <w:p w14:paraId="48BBDB9F" w14:textId="77777777" w:rsidR="0045700D" w:rsidRPr="00AA65DC" w:rsidRDefault="0045700D" w:rsidP="003D2B21">
      <w:pPr>
        <w:rPr>
          <w:rFonts w:ascii="Arial" w:hAnsi="Arial" w:cs="Arial"/>
          <w:sz w:val="28"/>
          <w:szCs w:val="28"/>
        </w:rPr>
      </w:pPr>
    </w:p>
    <w:p w14:paraId="17B2FB92" w14:textId="12CE18F8" w:rsidR="00574EA2" w:rsidRPr="00AA65DC"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8" w:name="_Toc196427203"/>
      <w:bookmarkStart w:id="9" w:name="_Hlk164766672"/>
      <w:r w:rsidRPr="00AA65DC">
        <w:rPr>
          <w:rFonts w:ascii="Arial" w:eastAsiaTheme="majorEastAsia" w:hAnsi="Arial" w:cs="Arial"/>
          <w:b/>
          <w:bCs/>
          <w:color w:val="2F5496" w:themeColor="accent1" w:themeShade="BF"/>
          <w:sz w:val="28"/>
          <w:szCs w:val="28"/>
        </w:rPr>
        <w:lastRenderedPageBreak/>
        <w:t>Policy Statement</w:t>
      </w:r>
      <w:bookmarkEnd w:id="8"/>
      <w:r w:rsidRPr="00AA65DC">
        <w:rPr>
          <w:rFonts w:ascii="Arial" w:eastAsiaTheme="majorEastAsia" w:hAnsi="Arial" w:cs="Arial"/>
          <w:b/>
          <w:bCs/>
          <w:color w:val="2F5496" w:themeColor="accent1" w:themeShade="BF"/>
          <w:sz w:val="28"/>
          <w:szCs w:val="28"/>
        </w:rPr>
        <w:t xml:space="preserve"> </w:t>
      </w:r>
    </w:p>
    <w:p w14:paraId="56992643" w14:textId="77777777" w:rsidR="00AA65DC" w:rsidRPr="00AA65DC" w:rsidRDefault="00AA65DC" w:rsidP="00574EA2">
      <w:pPr>
        <w:keepNext/>
        <w:keepLines/>
        <w:spacing w:after="0"/>
        <w:outlineLvl w:val="0"/>
        <w:rPr>
          <w:rFonts w:ascii="Arial" w:eastAsiaTheme="majorEastAsia" w:hAnsi="Arial" w:cs="Arial"/>
          <w:b/>
          <w:bCs/>
          <w:color w:val="2F5496" w:themeColor="accent1" w:themeShade="BF"/>
          <w:sz w:val="28"/>
          <w:szCs w:val="28"/>
        </w:rPr>
      </w:pPr>
    </w:p>
    <w:bookmarkEnd w:id="9"/>
    <w:p w14:paraId="5003384C" w14:textId="7A79FF0F" w:rsidR="00AA65DC" w:rsidRPr="00AA65DC" w:rsidRDefault="00AA65DC" w:rsidP="00AA65DC">
      <w:pPr>
        <w:rPr>
          <w:rFonts w:ascii="Arial" w:hAnsi="Arial" w:cs="Arial"/>
          <w:b/>
          <w:bCs/>
          <w:sz w:val="28"/>
          <w:szCs w:val="28"/>
        </w:rPr>
      </w:pPr>
      <w:r>
        <w:rPr>
          <w:rFonts w:ascii="Arial" w:hAnsi="Arial" w:cs="Arial"/>
          <w:b/>
          <w:bCs/>
          <w:sz w:val="28"/>
          <w:szCs w:val="28"/>
        </w:rPr>
        <w:t xml:space="preserve">Statutory </w:t>
      </w:r>
      <w:r w:rsidRPr="00AA65DC">
        <w:rPr>
          <w:rFonts w:ascii="Arial" w:hAnsi="Arial" w:cs="Arial"/>
          <w:b/>
          <w:bCs/>
          <w:sz w:val="28"/>
          <w:szCs w:val="28"/>
        </w:rPr>
        <w:t>Home Loss Payments</w:t>
      </w:r>
    </w:p>
    <w:p w14:paraId="2CB9226D" w14:textId="77777777" w:rsidR="00AA65DC" w:rsidRDefault="00AA65DC" w:rsidP="00AA65DC">
      <w:pPr>
        <w:pStyle w:val="ListParagraph"/>
        <w:numPr>
          <w:ilvl w:val="1"/>
          <w:numId w:val="1"/>
        </w:numPr>
        <w:ind w:left="567" w:hanging="567"/>
        <w:rPr>
          <w:rFonts w:ascii="Arial" w:hAnsi="Arial" w:cs="Arial"/>
          <w:sz w:val="28"/>
          <w:szCs w:val="28"/>
        </w:rPr>
      </w:pPr>
      <w:r w:rsidRPr="00AA65DC">
        <w:rPr>
          <w:rFonts w:ascii="Arial" w:hAnsi="Arial" w:cs="Arial"/>
          <w:sz w:val="28"/>
          <w:szCs w:val="28"/>
        </w:rPr>
        <w:t>Statutory home loss payments are made to residents who are permanently and compulsorily required to move out of their homes due to works carried out by the Council, such as redevelopment or demolition. These payments are governed by Section 29(1) of the Land Compensation Act 1973.</w:t>
      </w:r>
    </w:p>
    <w:p w14:paraId="4DF0A531" w14:textId="77777777" w:rsidR="00AA65DC" w:rsidRPr="00AA65DC" w:rsidRDefault="00AA65DC" w:rsidP="00AA65DC">
      <w:pPr>
        <w:pStyle w:val="ListParagraph"/>
        <w:ind w:left="567"/>
        <w:rPr>
          <w:rFonts w:ascii="Arial" w:hAnsi="Arial" w:cs="Arial"/>
          <w:sz w:val="28"/>
          <w:szCs w:val="28"/>
        </w:rPr>
      </w:pPr>
    </w:p>
    <w:p w14:paraId="556A7475" w14:textId="77777777" w:rsidR="00AA65DC" w:rsidRPr="00AA65DC" w:rsidRDefault="00AA65DC" w:rsidP="00AA65DC">
      <w:pPr>
        <w:pStyle w:val="ListParagraph"/>
        <w:numPr>
          <w:ilvl w:val="1"/>
          <w:numId w:val="1"/>
        </w:numPr>
        <w:ind w:left="567" w:hanging="567"/>
        <w:rPr>
          <w:rFonts w:ascii="Arial" w:hAnsi="Arial" w:cs="Arial"/>
          <w:sz w:val="28"/>
          <w:szCs w:val="28"/>
        </w:rPr>
      </w:pPr>
      <w:r w:rsidRPr="00AA65DC">
        <w:rPr>
          <w:rFonts w:ascii="Arial" w:hAnsi="Arial" w:cs="Arial"/>
          <w:sz w:val="28"/>
          <w:szCs w:val="28"/>
        </w:rPr>
        <w:t>To qualify for a home loss payment:</w:t>
      </w:r>
    </w:p>
    <w:p w14:paraId="70028391" w14:textId="77777777" w:rsidR="00AA65DC" w:rsidRPr="00AA65DC" w:rsidRDefault="00AA65DC" w:rsidP="00AA65DC">
      <w:pPr>
        <w:pStyle w:val="ListParagraph"/>
        <w:numPr>
          <w:ilvl w:val="0"/>
          <w:numId w:val="9"/>
        </w:numPr>
        <w:rPr>
          <w:rFonts w:ascii="Arial" w:hAnsi="Arial" w:cs="Arial"/>
          <w:sz w:val="28"/>
          <w:szCs w:val="28"/>
        </w:rPr>
      </w:pPr>
      <w:r w:rsidRPr="00AA65DC">
        <w:rPr>
          <w:rFonts w:ascii="Arial" w:hAnsi="Arial" w:cs="Arial"/>
          <w:sz w:val="28"/>
          <w:szCs w:val="28"/>
        </w:rPr>
        <w:t>You must have lived in the property as your only or main home for at least 12 months before you are asked to leave.</w:t>
      </w:r>
    </w:p>
    <w:p w14:paraId="2B7E546D" w14:textId="77777777" w:rsidR="00AA65DC" w:rsidRPr="00AA65DC" w:rsidRDefault="00AA65DC" w:rsidP="00AA65DC">
      <w:pPr>
        <w:pStyle w:val="ListParagraph"/>
        <w:numPr>
          <w:ilvl w:val="0"/>
          <w:numId w:val="9"/>
        </w:numPr>
        <w:rPr>
          <w:rFonts w:ascii="Arial" w:hAnsi="Arial" w:cs="Arial"/>
          <w:sz w:val="28"/>
          <w:szCs w:val="28"/>
        </w:rPr>
      </w:pPr>
      <w:r w:rsidRPr="00AA65DC">
        <w:rPr>
          <w:rFonts w:ascii="Arial" w:hAnsi="Arial" w:cs="Arial"/>
          <w:sz w:val="28"/>
          <w:szCs w:val="28"/>
        </w:rPr>
        <w:t>The move must be permanent.</w:t>
      </w:r>
    </w:p>
    <w:p w14:paraId="2879B217" w14:textId="77777777" w:rsidR="00AA65DC" w:rsidRPr="00AA65DC" w:rsidRDefault="00AA65DC" w:rsidP="00AA65DC">
      <w:pPr>
        <w:pStyle w:val="ListParagraph"/>
        <w:numPr>
          <w:ilvl w:val="0"/>
          <w:numId w:val="9"/>
        </w:numPr>
        <w:rPr>
          <w:rFonts w:ascii="Arial" w:hAnsi="Arial" w:cs="Arial"/>
          <w:sz w:val="28"/>
          <w:szCs w:val="28"/>
        </w:rPr>
      </w:pPr>
      <w:r w:rsidRPr="00AA65DC">
        <w:rPr>
          <w:rFonts w:ascii="Arial" w:hAnsi="Arial" w:cs="Arial"/>
          <w:sz w:val="28"/>
          <w:szCs w:val="28"/>
        </w:rPr>
        <w:t>The reason for the move must be one of the following:</w:t>
      </w:r>
    </w:p>
    <w:p w14:paraId="5FB1E3B0" w14:textId="77777777" w:rsidR="00AA65DC" w:rsidRPr="00AA65DC" w:rsidRDefault="00AA65DC" w:rsidP="00591D4B">
      <w:pPr>
        <w:pStyle w:val="ListParagraph"/>
        <w:numPr>
          <w:ilvl w:val="1"/>
          <w:numId w:val="9"/>
        </w:numPr>
        <w:rPr>
          <w:rFonts w:ascii="Arial" w:hAnsi="Arial" w:cs="Arial"/>
          <w:sz w:val="28"/>
          <w:szCs w:val="28"/>
        </w:rPr>
      </w:pPr>
      <w:r w:rsidRPr="00AA65DC">
        <w:rPr>
          <w:rFonts w:ascii="Arial" w:hAnsi="Arial" w:cs="Arial"/>
          <w:sz w:val="28"/>
          <w:szCs w:val="28"/>
        </w:rPr>
        <w:t>The Council has compulsorily purchased the property.</w:t>
      </w:r>
    </w:p>
    <w:p w14:paraId="4678ADC8" w14:textId="77777777" w:rsidR="00AA65DC" w:rsidRPr="00AA65DC" w:rsidRDefault="00AA65DC" w:rsidP="00591D4B">
      <w:pPr>
        <w:pStyle w:val="ListParagraph"/>
        <w:numPr>
          <w:ilvl w:val="1"/>
          <w:numId w:val="9"/>
        </w:numPr>
        <w:rPr>
          <w:rFonts w:ascii="Arial" w:hAnsi="Arial" w:cs="Arial"/>
          <w:sz w:val="28"/>
          <w:szCs w:val="28"/>
        </w:rPr>
      </w:pPr>
      <w:r w:rsidRPr="00AA65DC">
        <w:rPr>
          <w:rFonts w:ascii="Arial" w:hAnsi="Arial" w:cs="Arial"/>
          <w:sz w:val="28"/>
          <w:szCs w:val="28"/>
        </w:rPr>
        <w:t>A legal order has been made about the property, such as a prohibition or demolition order.</w:t>
      </w:r>
    </w:p>
    <w:p w14:paraId="1EAF9924" w14:textId="77777777" w:rsidR="00AA65DC" w:rsidRPr="00AA65DC" w:rsidRDefault="00AA65DC" w:rsidP="00591D4B">
      <w:pPr>
        <w:pStyle w:val="ListParagraph"/>
        <w:numPr>
          <w:ilvl w:val="1"/>
          <w:numId w:val="9"/>
        </w:numPr>
        <w:rPr>
          <w:rFonts w:ascii="Arial" w:hAnsi="Arial" w:cs="Arial"/>
          <w:sz w:val="28"/>
          <w:szCs w:val="28"/>
        </w:rPr>
      </w:pPr>
      <w:r w:rsidRPr="00AA65DC">
        <w:rPr>
          <w:rFonts w:ascii="Arial" w:hAnsi="Arial" w:cs="Arial"/>
          <w:sz w:val="28"/>
          <w:szCs w:val="28"/>
        </w:rPr>
        <w:t>The property is part of a wider redevelopment or improvement scheme carried out by the Council or a housing association.</w:t>
      </w:r>
    </w:p>
    <w:p w14:paraId="5192B87E" w14:textId="77777777" w:rsidR="00AA65DC" w:rsidRPr="00AA65DC" w:rsidRDefault="00AA65DC" w:rsidP="00591D4B">
      <w:pPr>
        <w:pStyle w:val="ListParagraph"/>
        <w:numPr>
          <w:ilvl w:val="1"/>
          <w:numId w:val="9"/>
        </w:numPr>
        <w:rPr>
          <w:rFonts w:ascii="Arial" w:hAnsi="Arial" w:cs="Arial"/>
          <w:sz w:val="28"/>
          <w:szCs w:val="28"/>
        </w:rPr>
      </w:pPr>
      <w:r w:rsidRPr="00AA65DC">
        <w:rPr>
          <w:rFonts w:ascii="Arial" w:hAnsi="Arial" w:cs="Arial"/>
          <w:sz w:val="28"/>
          <w:szCs w:val="28"/>
        </w:rPr>
        <w:t>A court has granted possession of the property so it can be demolished or redeveloped.</w:t>
      </w:r>
    </w:p>
    <w:p w14:paraId="04BC9F61" w14:textId="77777777" w:rsidR="00AA65DC" w:rsidRDefault="00AA65DC" w:rsidP="00591D4B">
      <w:pPr>
        <w:pStyle w:val="ListParagraph"/>
        <w:numPr>
          <w:ilvl w:val="1"/>
          <w:numId w:val="9"/>
        </w:numPr>
        <w:rPr>
          <w:rFonts w:ascii="Arial" w:hAnsi="Arial" w:cs="Arial"/>
          <w:sz w:val="28"/>
          <w:szCs w:val="28"/>
        </w:rPr>
      </w:pPr>
      <w:r w:rsidRPr="00AA65DC">
        <w:rPr>
          <w:rFonts w:ascii="Arial" w:hAnsi="Arial" w:cs="Arial"/>
          <w:sz w:val="28"/>
          <w:szCs w:val="28"/>
        </w:rPr>
        <w:t>A housing association that owns the land is carrying out major improvement or redevelopment work.</w:t>
      </w:r>
    </w:p>
    <w:p w14:paraId="1A6DA21A" w14:textId="77777777" w:rsidR="00AA65DC" w:rsidRPr="00AA65DC" w:rsidRDefault="00AA65DC" w:rsidP="00AA65DC">
      <w:pPr>
        <w:pStyle w:val="ListParagraph"/>
        <w:ind w:left="567"/>
        <w:rPr>
          <w:rFonts w:ascii="Arial" w:hAnsi="Arial" w:cs="Arial"/>
          <w:sz w:val="28"/>
          <w:szCs w:val="28"/>
        </w:rPr>
      </w:pPr>
    </w:p>
    <w:p w14:paraId="533B0B67" w14:textId="3CB0054C" w:rsidR="00AA65DC" w:rsidRDefault="00604461" w:rsidP="00AA65DC">
      <w:pPr>
        <w:pStyle w:val="ListParagraph"/>
        <w:numPr>
          <w:ilvl w:val="1"/>
          <w:numId w:val="1"/>
        </w:numPr>
        <w:ind w:left="567" w:hanging="567"/>
        <w:rPr>
          <w:rFonts w:ascii="Arial" w:hAnsi="Arial" w:cs="Arial"/>
          <w:sz w:val="28"/>
          <w:szCs w:val="28"/>
        </w:rPr>
      </w:pPr>
      <w:r w:rsidRPr="00604461">
        <w:rPr>
          <w:rFonts w:ascii="Arial" w:hAnsi="Arial" w:cs="Arial"/>
          <w:sz w:val="28"/>
          <w:szCs w:val="28"/>
        </w:rPr>
        <w:t>If you are temporarily relocated (also known as being "decanted"), the home loss payment will be made when you leave your original home, not when you move from the temporary accommodation to your new permanent home.</w:t>
      </w:r>
      <w:r>
        <w:rPr>
          <w:rFonts w:ascii="Arial" w:hAnsi="Arial" w:cs="Arial"/>
          <w:sz w:val="28"/>
          <w:szCs w:val="28"/>
        </w:rPr>
        <w:t xml:space="preserve"> </w:t>
      </w:r>
      <w:r w:rsidR="00AA65DC" w:rsidRPr="00AA65DC">
        <w:rPr>
          <w:rFonts w:ascii="Arial" w:hAnsi="Arial" w:cs="Arial"/>
          <w:sz w:val="28"/>
          <w:szCs w:val="28"/>
        </w:rPr>
        <w:t>Only one home loss payment is made.</w:t>
      </w:r>
    </w:p>
    <w:p w14:paraId="66BA884D" w14:textId="77777777" w:rsidR="00AA65DC" w:rsidRPr="00AA65DC" w:rsidRDefault="00AA65DC" w:rsidP="00AA65DC">
      <w:pPr>
        <w:pStyle w:val="ListParagraph"/>
        <w:ind w:left="567"/>
        <w:rPr>
          <w:rFonts w:ascii="Arial" w:hAnsi="Arial" w:cs="Arial"/>
          <w:sz w:val="28"/>
          <w:szCs w:val="28"/>
        </w:rPr>
      </w:pPr>
    </w:p>
    <w:p w14:paraId="6B821A9B" w14:textId="09433F90" w:rsidR="00AA65DC" w:rsidRDefault="00AA65DC" w:rsidP="00AA65DC">
      <w:pPr>
        <w:pStyle w:val="ListParagraph"/>
        <w:numPr>
          <w:ilvl w:val="1"/>
          <w:numId w:val="1"/>
        </w:numPr>
        <w:ind w:left="567" w:hanging="567"/>
        <w:rPr>
          <w:rFonts w:ascii="Arial" w:hAnsi="Arial" w:cs="Arial"/>
          <w:sz w:val="28"/>
          <w:szCs w:val="28"/>
        </w:rPr>
      </w:pPr>
      <w:r w:rsidRPr="00AA65DC">
        <w:rPr>
          <w:rFonts w:ascii="Arial" w:hAnsi="Arial" w:cs="Arial"/>
          <w:sz w:val="28"/>
          <w:szCs w:val="28"/>
        </w:rPr>
        <w:t>Once the Council has made a formal decision to redevelop, demolish, or carry out major alterations to a property, and you have been informed of this, you may be entitled to a home loss payment if you meet the conditions above.</w:t>
      </w:r>
    </w:p>
    <w:p w14:paraId="18BF0D44" w14:textId="77777777" w:rsidR="00AA65DC" w:rsidRPr="00AA65DC" w:rsidRDefault="00AA65DC" w:rsidP="00AA65DC">
      <w:pPr>
        <w:pStyle w:val="ListParagraph"/>
        <w:rPr>
          <w:rFonts w:ascii="Arial" w:hAnsi="Arial" w:cs="Arial"/>
          <w:sz w:val="28"/>
          <w:szCs w:val="28"/>
        </w:rPr>
      </w:pPr>
    </w:p>
    <w:p w14:paraId="4D62F580" w14:textId="03C9D484" w:rsidR="00AA65DC" w:rsidRPr="00AA65DC" w:rsidRDefault="00AA65DC" w:rsidP="00AA65DC">
      <w:pPr>
        <w:pStyle w:val="ListParagraph"/>
        <w:numPr>
          <w:ilvl w:val="1"/>
          <w:numId w:val="1"/>
        </w:numPr>
        <w:ind w:left="567" w:hanging="567"/>
        <w:rPr>
          <w:rFonts w:ascii="Arial" w:hAnsi="Arial" w:cs="Arial"/>
          <w:sz w:val="28"/>
          <w:szCs w:val="28"/>
        </w:rPr>
      </w:pPr>
      <w:r w:rsidRPr="00AA65DC">
        <w:rPr>
          <w:rFonts w:ascii="Arial" w:hAnsi="Arial" w:cs="Arial"/>
          <w:sz w:val="28"/>
          <w:szCs w:val="28"/>
        </w:rPr>
        <w:t xml:space="preserve">If you qualify, you will receive a fixed home loss payment of £8,100. This amount is set by national regulations and is reviewed every year. If more than one </w:t>
      </w:r>
      <w:r w:rsidR="00604461">
        <w:rPr>
          <w:rFonts w:ascii="Arial" w:hAnsi="Arial" w:cs="Arial"/>
          <w:sz w:val="28"/>
          <w:szCs w:val="28"/>
        </w:rPr>
        <w:t>tenant</w:t>
      </w:r>
      <w:r w:rsidRPr="00AA65DC">
        <w:rPr>
          <w:rFonts w:ascii="Arial" w:hAnsi="Arial" w:cs="Arial"/>
          <w:sz w:val="28"/>
          <w:szCs w:val="28"/>
        </w:rPr>
        <w:t xml:space="preserve"> is entitled to the payment for a single property, the amount will be shared equally.</w:t>
      </w:r>
    </w:p>
    <w:p w14:paraId="687111CE" w14:textId="54842A80" w:rsidR="00AA65DC" w:rsidRDefault="00AA65DC" w:rsidP="00AA65DC">
      <w:pPr>
        <w:pStyle w:val="ListParagraph"/>
        <w:numPr>
          <w:ilvl w:val="1"/>
          <w:numId w:val="1"/>
        </w:numPr>
        <w:ind w:left="567" w:hanging="567"/>
        <w:rPr>
          <w:rFonts w:ascii="Arial" w:hAnsi="Arial" w:cs="Arial"/>
          <w:sz w:val="28"/>
          <w:szCs w:val="28"/>
        </w:rPr>
      </w:pPr>
      <w:bookmarkStart w:id="10" w:name="_Hlk196424072"/>
      <w:r w:rsidRPr="00AA65DC">
        <w:rPr>
          <w:rFonts w:ascii="Arial" w:hAnsi="Arial" w:cs="Arial"/>
          <w:sz w:val="28"/>
          <w:szCs w:val="28"/>
        </w:rPr>
        <w:lastRenderedPageBreak/>
        <w:t xml:space="preserve">In some cases, such as where </w:t>
      </w:r>
      <w:r w:rsidR="00604461">
        <w:rPr>
          <w:rFonts w:ascii="Arial" w:hAnsi="Arial" w:cs="Arial"/>
          <w:sz w:val="28"/>
          <w:szCs w:val="28"/>
        </w:rPr>
        <w:t>owner-occupiers</w:t>
      </w:r>
      <w:r w:rsidRPr="00AA65DC">
        <w:rPr>
          <w:rFonts w:ascii="Arial" w:hAnsi="Arial" w:cs="Arial"/>
          <w:sz w:val="28"/>
          <w:szCs w:val="28"/>
        </w:rPr>
        <w:t xml:space="preserve"> are affected by demolition or redevelopment, they may be entitled to a home loss payment of 10% of their property’s market value, with a minimum payment of £8,100 and a maximum of £81,000. If a homeowner disagrees with the property valuation, they can appeal to the Upper Tribunal (Lands Chamber).</w:t>
      </w:r>
    </w:p>
    <w:bookmarkEnd w:id="10"/>
    <w:p w14:paraId="2E72651D" w14:textId="77777777" w:rsidR="00AA65DC" w:rsidRDefault="00AA65DC" w:rsidP="00AA65DC">
      <w:pPr>
        <w:pStyle w:val="ListParagraph"/>
        <w:ind w:left="567"/>
        <w:rPr>
          <w:rFonts w:ascii="Arial" w:hAnsi="Arial" w:cs="Arial"/>
          <w:sz w:val="28"/>
          <w:szCs w:val="28"/>
        </w:rPr>
      </w:pPr>
    </w:p>
    <w:p w14:paraId="44FAAD9E" w14:textId="7C45C4E3" w:rsidR="00AA65DC" w:rsidRPr="00B003EE" w:rsidRDefault="00AA65DC" w:rsidP="00AA65DC">
      <w:pPr>
        <w:pStyle w:val="ListParagraph"/>
        <w:ind w:left="0"/>
        <w:rPr>
          <w:rFonts w:ascii="Arial" w:hAnsi="Arial" w:cs="Arial"/>
          <w:b/>
          <w:bCs/>
          <w:sz w:val="28"/>
          <w:szCs w:val="28"/>
        </w:rPr>
      </w:pPr>
      <w:r w:rsidRPr="00B003EE">
        <w:rPr>
          <w:rFonts w:ascii="Arial" w:hAnsi="Arial" w:cs="Arial"/>
          <w:b/>
          <w:bCs/>
          <w:sz w:val="28"/>
          <w:szCs w:val="28"/>
        </w:rPr>
        <w:t xml:space="preserve">Discretionary </w:t>
      </w:r>
      <w:r w:rsidR="00B003EE" w:rsidRPr="00B003EE">
        <w:rPr>
          <w:rFonts w:ascii="Arial" w:hAnsi="Arial" w:cs="Arial"/>
          <w:b/>
          <w:bCs/>
          <w:sz w:val="28"/>
          <w:szCs w:val="28"/>
        </w:rPr>
        <w:t>Home Loss Payment</w:t>
      </w:r>
    </w:p>
    <w:p w14:paraId="2F4668F9" w14:textId="77777777" w:rsidR="00AA65DC" w:rsidRPr="00AA65DC" w:rsidRDefault="00AA65DC" w:rsidP="00AA65DC">
      <w:pPr>
        <w:pStyle w:val="ListParagraph"/>
        <w:ind w:left="0"/>
        <w:rPr>
          <w:rFonts w:ascii="Arial" w:hAnsi="Arial" w:cs="Arial"/>
          <w:sz w:val="28"/>
          <w:szCs w:val="28"/>
        </w:rPr>
      </w:pPr>
    </w:p>
    <w:p w14:paraId="283C417C" w14:textId="77777777" w:rsidR="00B003EE" w:rsidRPr="00B003EE" w:rsidRDefault="00B003EE" w:rsidP="00B003EE">
      <w:pPr>
        <w:pStyle w:val="ListParagraph"/>
        <w:numPr>
          <w:ilvl w:val="1"/>
          <w:numId w:val="1"/>
        </w:numPr>
        <w:ind w:left="567" w:hanging="567"/>
        <w:rPr>
          <w:rFonts w:ascii="Arial" w:hAnsi="Arial" w:cs="Arial"/>
          <w:sz w:val="28"/>
          <w:szCs w:val="28"/>
        </w:rPr>
      </w:pPr>
      <w:r w:rsidRPr="00B003EE">
        <w:rPr>
          <w:rFonts w:ascii="Arial" w:hAnsi="Arial" w:cs="Arial"/>
          <w:sz w:val="28"/>
          <w:szCs w:val="28"/>
        </w:rPr>
        <w:t xml:space="preserve">In some cases, customers may not meet the legal requirements for a statutory home loss payment, but Sandwell Council may still consider </w:t>
      </w:r>
      <w:r w:rsidRPr="004715CA">
        <w:rPr>
          <w:rFonts w:ascii="Arial" w:hAnsi="Arial" w:cs="Arial"/>
          <w:sz w:val="28"/>
          <w:szCs w:val="28"/>
        </w:rPr>
        <w:t>offering a discretionary home loss payment. These</w:t>
      </w:r>
      <w:r w:rsidRPr="00B003EE">
        <w:rPr>
          <w:rFonts w:ascii="Arial" w:hAnsi="Arial" w:cs="Arial"/>
          <w:sz w:val="28"/>
          <w:szCs w:val="28"/>
        </w:rPr>
        <w:t xml:space="preserve"> payments are not guaranteed and are considered on a case-by-case basis. They may be offered in situations such as:</w:t>
      </w:r>
    </w:p>
    <w:p w14:paraId="2AA904EB" w14:textId="77777777" w:rsidR="00B003EE" w:rsidRPr="00B003EE" w:rsidRDefault="00B003EE" w:rsidP="00B003EE">
      <w:pPr>
        <w:pStyle w:val="ListParagraph"/>
        <w:numPr>
          <w:ilvl w:val="0"/>
          <w:numId w:val="11"/>
        </w:numPr>
        <w:rPr>
          <w:rFonts w:ascii="Arial" w:hAnsi="Arial" w:cs="Arial"/>
          <w:sz w:val="28"/>
          <w:szCs w:val="28"/>
        </w:rPr>
      </w:pPr>
      <w:r w:rsidRPr="00B003EE">
        <w:rPr>
          <w:rFonts w:ascii="Arial" w:hAnsi="Arial" w:cs="Arial"/>
          <w:sz w:val="28"/>
          <w:szCs w:val="28"/>
        </w:rPr>
        <w:t>Where a customer is being permanently moved from their home but does not meet the criteria listed in Section 4.1;</w:t>
      </w:r>
    </w:p>
    <w:p w14:paraId="312E812A" w14:textId="77777777" w:rsidR="00B003EE" w:rsidRPr="00B003EE" w:rsidRDefault="00B003EE" w:rsidP="00B003EE">
      <w:pPr>
        <w:pStyle w:val="ListParagraph"/>
        <w:numPr>
          <w:ilvl w:val="0"/>
          <w:numId w:val="11"/>
        </w:numPr>
        <w:rPr>
          <w:rFonts w:ascii="Arial" w:hAnsi="Arial" w:cs="Arial"/>
          <w:sz w:val="28"/>
          <w:szCs w:val="28"/>
        </w:rPr>
      </w:pPr>
      <w:r w:rsidRPr="00B003EE">
        <w:rPr>
          <w:rFonts w:ascii="Arial" w:hAnsi="Arial" w:cs="Arial"/>
          <w:sz w:val="28"/>
          <w:szCs w:val="28"/>
        </w:rPr>
        <w:t>Where offering a payment would help avoid delays to important housing projects or redevelopment plans;</w:t>
      </w:r>
    </w:p>
    <w:p w14:paraId="601E0145" w14:textId="77777777" w:rsidR="00B003EE" w:rsidRPr="00B003EE" w:rsidRDefault="00B003EE" w:rsidP="00B003EE">
      <w:pPr>
        <w:pStyle w:val="ListParagraph"/>
        <w:numPr>
          <w:ilvl w:val="0"/>
          <w:numId w:val="11"/>
        </w:numPr>
        <w:rPr>
          <w:rFonts w:ascii="Arial" w:hAnsi="Arial" w:cs="Arial"/>
          <w:sz w:val="28"/>
          <w:szCs w:val="28"/>
        </w:rPr>
      </w:pPr>
      <w:r w:rsidRPr="00B003EE">
        <w:rPr>
          <w:rFonts w:ascii="Arial" w:hAnsi="Arial" w:cs="Arial"/>
          <w:sz w:val="28"/>
          <w:szCs w:val="28"/>
        </w:rPr>
        <w:t>Where the customer’s type of tenancy or length of time in the property means they do not qualify for a statutory payment.</w:t>
      </w:r>
    </w:p>
    <w:p w14:paraId="7A23AC2C" w14:textId="725C2918" w:rsidR="00B003EE" w:rsidRPr="00B003EE" w:rsidRDefault="00B003EE" w:rsidP="00B003EE">
      <w:pPr>
        <w:pStyle w:val="ListParagraph"/>
        <w:numPr>
          <w:ilvl w:val="0"/>
          <w:numId w:val="11"/>
        </w:numPr>
        <w:rPr>
          <w:rFonts w:ascii="Arial" w:hAnsi="Arial" w:cs="Arial"/>
          <w:sz w:val="28"/>
          <w:szCs w:val="28"/>
        </w:rPr>
      </w:pPr>
      <w:r w:rsidRPr="00B003EE">
        <w:rPr>
          <w:rFonts w:ascii="Arial" w:hAnsi="Arial" w:cs="Arial"/>
          <w:sz w:val="28"/>
          <w:szCs w:val="28"/>
        </w:rPr>
        <w:t xml:space="preserve">The </w:t>
      </w:r>
      <w:r w:rsidR="005E2494">
        <w:rPr>
          <w:rFonts w:ascii="Arial" w:hAnsi="Arial" w:cs="Arial"/>
          <w:sz w:val="28"/>
          <w:szCs w:val="28"/>
        </w:rPr>
        <w:t>Tenancy and Estate Management Team</w:t>
      </w:r>
      <w:r w:rsidRPr="00B003EE">
        <w:rPr>
          <w:rFonts w:ascii="Arial" w:hAnsi="Arial" w:cs="Arial"/>
          <w:sz w:val="28"/>
          <w:szCs w:val="28"/>
        </w:rPr>
        <w:t xml:space="preserve"> will assess whether a discretionary payment may be appropriate. Each case is reviewed individually, and any decision will not set a precedent for future cases. All payments must be approved </w:t>
      </w:r>
      <w:r w:rsidR="005E2494">
        <w:rPr>
          <w:rFonts w:ascii="Arial" w:hAnsi="Arial" w:cs="Arial"/>
          <w:sz w:val="28"/>
          <w:szCs w:val="28"/>
        </w:rPr>
        <w:t>prior to release.</w:t>
      </w:r>
    </w:p>
    <w:p w14:paraId="2F24C551" w14:textId="77777777" w:rsidR="00B003EE" w:rsidRDefault="00B003EE" w:rsidP="00B003EE">
      <w:pPr>
        <w:pStyle w:val="ListParagraph"/>
        <w:ind w:left="0"/>
        <w:rPr>
          <w:rFonts w:ascii="Arial" w:hAnsi="Arial" w:cs="Arial"/>
          <w:b/>
          <w:bCs/>
          <w:sz w:val="28"/>
          <w:szCs w:val="28"/>
        </w:rPr>
      </w:pPr>
    </w:p>
    <w:p w14:paraId="6C34B3F1" w14:textId="6BF29362" w:rsidR="00B003EE" w:rsidRDefault="00B003EE" w:rsidP="00B003EE">
      <w:pPr>
        <w:pStyle w:val="ListParagraph"/>
        <w:ind w:left="0"/>
        <w:rPr>
          <w:rFonts w:ascii="Arial" w:hAnsi="Arial" w:cs="Arial"/>
          <w:b/>
          <w:bCs/>
          <w:sz w:val="28"/>
          <w:szCs w:val="28"/>
        </w:rPr>
      </w:pPr>
      <w:r w:rsidRPr="00B003EE">
        <w:rPr>
          <w:rFonts w:ascii="Arial" w:hAnsi="Arial" w:cs="Arial"/>
          <w:b/>
          <w:bCs/>
          <w:sz w:val="28"/>
          <w:szCs w:val="28"/>
        </w:rPr>
        <w:t>Dis</w:t>
      </w:r>
      <w:r>
        <w:rPr>
          <w:rFonts w:ascii="Arial" w:hAnsi="Arial" w:cs="Arial"/>
          <w:b/>
          <w:bCs/>
          <w:sz w:val="28"/>
          <w:szCs w:val="28"/>
        </w:rPr>
        <w:t>turbance Payments</w:t>
      </w:r>
    </w:p>
    <w:p w14:paraId="466668F1" w14:textId="77777777" w:rsidR="00B003EE" w:rsidRPr="00B003EE" w:rsidRDefault="00B003EE" w:rsidP="00B003EE">
      <w:pPr>
        <w:pStyle w:val="ListParagraph"/>
        <w:ind w:left="0"/>
        <w:rPr>
          <w:rFonts w:ascii="Arial" w:hAnsi="Arial" w:cs="Arial"/>
          <w:b/>
          <w:bCs/>
          <w:sz w:val="28"/>
          <w:szCs w:val="28"/>
        </w:rPr>
      </w:pPr>
    </w:p>
    <w:p w14:paraId="36A89C95" w14:textId="77777777" w:rsidR="00150DF3" w:rsidRDefault="00B003EE" w:rsidP="00150DF3">
      <w:pPr>
        <w:pStyle w:val="ListParagraph"/>
        <w:numPr>
          <w:ilvl w:val="1"/>
          <w:numId w:val="1"/>
        </w:numPr>
        <w:ind w:left="567" w:hanging="567"/>
        <w:rPr>
          <w:rFonts w:ascii="Arial" w:hAnsi="Arial" w:cs="Arial"/>
          <w:sz w:val="28"/>
          <w:szCs w:val="28"/>
        </w:rPr>
      </w:pPr>
      <w:r w:rsidRPr="00150DF3">
        <w:rPr>
          <w:rFonts w:ascii="Arial" w:hAnsi="Arial" w:cs="Arial"/>
          <w:sz w:val="28"/>
          <w:szCs w:val="28"/>
        </w:rPr>
        <w:t xml:space="preserve">If you are permanently moved from your home, you may be entitled to a disturbance payment to help cover the reasonable costs of moving. </w:t>
      </w:r>
    </w:p>
    <w:p w14:paraId="7A4124BC" w14:textId="77777777" w:rsidR="00150DF3" w:rsidRDefault="00150DF3" w:rsidP="00150DF3">
      <w:pPr>
        <w:pStyle w:val="ListParagraph"/>
        <w:ind w:left="567"/>
        <w:rPr>
          <w:rFonts w:ascii="Arial" w:hAnsi="Arial" w:cs="Arial"/>
          <w:sz w:val="28"/>
          <w:szCs w:val="28"/>
        </w:rPr>
      </w:pPr>
    </w:p>
    <w:p w14:paraId="35B73615" w14:textId="093F26FE" w:rsidR="00B003EE" w:rsidRPr="00150DF3" w:rsidRDefault="00150DF3" w:rsidP="00150DF3">
      <w:pPr>
        <w:pStyle w:val="ListParagraph"/>
        <w:numPr>
          <w:ilvl w:val="1"/>
          <w:numId w:val="1"/>
        </w:numPr>
        <w:ind w:left="567" w:hanging="567"/>
        <w:rPr>
          <w:rFonts w:ascii="Arial" w:hAnsi="Arial" w:cs="Arial"/>
          <w:sz w:val="28"/>
          <w:szCs w:val="28"/>
        </w:rPr>
      </w:pPr>
      <w:r>
        <w:rPr>
          <w:rFonts w:ascii="Arial" w:hAnsi="Arial" w:cs="Arial"/>
          <w:sz w:val="28"/>
          <w:szCs w:val="28"/>
        </w:rPr>
        <w:t>To quali</w:t>
      </w:r>
      <w:r w:rsidR="004715CA">
        <w:rPr>
          <w:rFonts w:ascii="Arial" w:hAnsi="Arial" w:cs="Arial"/>
          <w:sz w:val="28"/>
          <w:szCs w:val="28"/>
        </w:rPr>
        <w:t>f</w:t>
      </w:r>
      <w:r>
        <w:rPr>
          <w:rFonts w:ascii="Arial" w:hAnsi="Arial" w:cs="Arial"/>
          <w:sz w:val="28"/>
          <w:szCs w:val="28"/>
        </w:rPr>
        <w:t>y, y</w:t>
      </w:r>
      <w:r w:rsidR="00B003EE" w:rsidRPr="00150DF3">
        <w:rPr>
          <w:rFonts w:ascii="Arial" w:hAnsi="Arial" w:cs="Arial"/>
          <w:sz w:val="28"/>
          <w:szCs w:val="28"/>
        </w:rPr>
        <w:t>ou must be living in the property on the ‘applicable date’, which could be:</w:t>
      </w:r>
    </w:p>
    <w:p w14:paraId="50A282F1" w14:textId="77777777" w:rsidR="00B003EE" w:rsidRPr="00B003EE" w:rsidRDefault="00B003EE" w:rsidP="00B003EE">
      <w:pPr>
        <w:pStyle w:val="ListParagraph"/>
        <w:numPr>
          <w:ilvl w:val="0"/>
          <w:numId w:val="15"/>
        </w:numPr>
        <w:rPr>
          <w:rFonts w:ascii="Arial" w:hAnsi="Arial" w:cs="Arial"/>
          <w:sz w:val="28"/>
          <w:szCs w:val="28"/>
        </w:rPr>
      </w:pPr>
      <w:r w:rsidRPr="00B003EE">
        <w:rPr>
          <w:rFonts w:ascii="Arial" w:hAnsi="Arial" w:cs="Arial"/>
          <w:sz w:val="28"/>
          <w:szCs w:val="28"/>
        </w:rPr>
        <w:t>The date a compulsory purchase order is made;</w:t>
      </w:r>
    </w:p>
    <w:p w14:paraId="0586440D" w14:textId="77777777" w:rsidR="00B003EE" w:rsidRPr="00B003EE" w:rsidRDefault="00B003EE" w:rsidP="00B003EE">
      <w:pPr>
        <w:pStyle w:val="ListParagraph"/>
        <w:numPr>
          <w:ilvl w:val="0"/>
          <w:numId w:val="15"/>
        </w:numPr>
        <w:rPr>
          <w:rFonts w:ascii="Arial" w:hAnsi="Arial" w:cs="Arial"/>
          <w:sz w:val="28"/>
          <w:szCs w:val="28"/>
        </w:rPr>
      </w:pPr>
      <w:r w:rsidRPr="00B003EE">
        <w:rPr>
          <w:rFonts w:ascii="Arial" w:hAnsi="Arial" w:cs="Arial"/>
          <w:sz w:val="28"/>
          <w:szCs w:val="28"/>
        </w:rPr>
        <w:t>The date a demolition, closure, or improvement order is issued;</w:t>
      </w:r>
    </w:p>
    <w:p w14:paraId="0AED5ACD" w14:textId="77777777" w:rsidR="00B003EE" w:rsidRPr="00B003EE" w:rsidRDefault="00B003EE" w:rsidP="00B003EE">
      <w:pPr>
        <w:pStyle w:val="ListParagraph"/>
        <w:numPr>
          <w:ilvl w:val="0"/>
          <w:numId w:val="15"/>
        </w:numPr>
        <w:rPr>
          <w:rFonts w:ascii="Arial" w:hAnsi="Arial" w:cs="Arial"/>
          <w:sz w:val="28"/>
          <w:szCs w:val="28"/>
        </w:rPr>
      </w:pPr>
      <w:r w:rsidRPr="00B003EE">
        <w:rPr>
          <w:rFonts w:ascii="Arial" w:hAnsi="Arial" w:cs="Arial"/>
          <w:sz w:val="28"/>
          <w:szCs w:val="28"/>
        </w:rPr>
        <w:t>The date you agree to move for redevelopment or improvement works;</w:t>
      </w:r>
    </w:p>
    <w:p w14:paraId="4EC1272A" w14:textId="77777777" w:rsidR="00B003EE" w:rsidRPr="00B003EE" w:rsidRDefault="00B003EE" w:rsidP="00B003EE">
      <w:pPr>
        <w:pStyle w:val="ListParagraph"/>
        <w:numPr>
          <w:ilvl w:val="0"/>
          <w:numId w:val="15"/>
        </w:numPr>
        <w:rPr>
          <w:rFonts w:ascii="Arial" w:hAnsi="Arial" w:cs="Arial"/>
          <w:sz w:val="28"/>
          <w:szCs w:val="28"/>
        </w:rPr>
      </w:pPr>
      <w:r w:rsidRPr="00B003EE">
        <w:rPr>
          <w:rFonts w:ascii="Arial" w:hAnsi="Arial" w:cs="Arial"/>
          <w:sz w:val="28"/>
          <w:szCs w:val="28"/>
        </w:rPr>
        <w:t>The date a court grants possession of the property.</w:t>
      </w:r>
    </w:p>
    <w:p w14:paraId="3094574C" w14:textId="77777777" w:rsidR="00B003EE" w:rsidRDefault="00B003EE" w:rsidP="00B003EE">
      <w:pPr>
        <w:pStyle w:val="ListParagraph"/>
        <w:ind w:left="567"/>
        <w:rPr>
          <w:rFonts w:ascii="Arial" w:hAnsi="Arial" w:cs="Arial"/>
          <w:sz w:val="28"/>
          <w:szCs w:val="28"/>
        </w:rPr>
      </w:pPr>
    </w:p>
    <w:p w14:paraId="1EAC084C" w14:textId="77777777" w:rsidR="00B003EE" w:rsidRDefault="00B003EE" w:rsidP="00B003EE">
      <w:pPr>
        <w:pStyle w:val="ListParagraph"/>
        <w:ind w:left="567"/>
        <w:rPr>
          <w:rFonts w:ascii="Arial" w:hAnsi="Arial" w:cs="Arial"/>
          <w:sz w:val="28"/>
          <w:szCs w:val="28"/>
        </w:rPr>
      </w:pPr>
    </w:p>
    <w:p w14:paraId="6308550A" w14:textId="6B34DA28" w:rsidR="00B003EE" w:rsidRPr="004715CA" w:rsidRDefault="00B003EE" w:rsidP="00150DF3">
      <w:pPr>
        <w:pStyle w:val="ListParagraph"/>
        <w:numPr>
          <w:ilvl w:val="1"/>
          <w:numId w:val="1"/>
        </w:numPr>
        <w:ind w:left="567" w:hanging="709"/>
        <w:rPr>
          <w:rFonts w:ascii="Arial" w:hAnsi="Arial" w:cs="Arial"/>
          <w:sz w:val="28"/>
          <w:szCs w:val="28"/>
        </w:rPr>
      </w:pPr>
      <w:r w:rsidRPr="004715CA">
        <w:rPr>
          <w:rFonts w:ascii="Arial" w:hAnsi="Arial" w:cs="Arial"/>
          <w:sz w:val="28"/>
          <w:szCs w:val="28"/>
        </w:rPr>
        <w:t>Disturbance payments can be up to £1,500 and are meant to reimburse you for actual expenses caused by the move. If you believe your costs are higher, you will need to provide receipts as evidence.</w:t>
      </w:r>
    </w:p>
    <w:p w14:paraId="1AFE845C" w14:textId="77777777" w:rsidR="00B003EE" w:rsidRPr="00B003EE" w:rsidRDefault="00B003EE" w:rsidP="00B003EE">
      <w:pPr>
        <w:pStyle w:val="ListParagraph"/>
        <w:ind w:left="567"/>
        <w:rPr>
          <w:rFonts w:ascii="Arial" w:hAnsi="Arial" w:cs="Arial"/>
          <w:sz w:val="28"/>
          <w:szCs w:val="28"/>
        </w:rPr>
      </w:pPr>
    </w:p>
    <w:p w14:paraId="51B35838" w14:textId="77777777" w:rsidR="00B003EE" w:rsidRPr="00B003EE" w:rsidRDefault="00B003EE" w:rsidP="00B003EE">
      <w:pPr>
        <w:pStyle w:val="ListParagraph"/>
        <w:ind w:left="567"/>
        <w:rPr>
          <w:rFonts w:ascii="Arial" w:hAnsi="Arial" w:cs="Arial"/>
          <w:sz w:val="28"/>
          <w:szCs w:val="28"/>
        </w:rPr>
      </w:pPr>
      <w:r w:rsidRPr="00B003EE">
        <w:rPr>
          <w:rFonts w:ascii="Arial" w:hAnsi="Arial" w:cs="Arial"/>
          <w:sz w:val="28"/>
          <w:szCs w:val="28"/>
        </w:rPr>
        <w:t>Expenses that may be covered include (but are not limited to):</w:t>
      </w:r>
    </w:p>
    <w:p w14:paraId="684C3249" w14:textId="77777777" w:rsidR="00B003EE" w:rsidRPr="00B003EE" w:rsidRDefault="00B003EE" w:rsidP="00B003EE">
      <w:pPr>
        <w:pStyle w:val="ListParagraph"/>
        <w:numPr>
          <w:ilvl w:val="0"/>
          <w:numId w:val="14"/>
        </w:numPr>
        <w:rPr>
          <w:rFonts w:ascii="Arial" w:hAnsi="Arial" w:cs="Arial"/>
          <w:sz w:val="28"/>
          <w:szCs w:val="28"/>
        </w:rPr>
      </w:pPr>
      <w:r w:rsidRPr="00B003EE">
        <w:rPr>
          <w:rFonts w:ascii="Arial" w:hAnsi="Arial" w:cs="Arial"/>
          <w:sz w:val="28"/>
          <w:szCs w:val="28"/>
        </w:rPr>
        <w:t>Removal costs;</w:t>
      </w:r>
    </w:p>
    <w:p w14:paraId="4E320178" w14:textId="77777777" w:rsidR="00B003EE" w:rsidRPr="00B003EE" w:rsidRDefault="00B003EE" w:rsidP="00B003EE">
      <w:pPr>
        <w:pStyle w:val="ListParagraph"/>
        <w:numPr>
          <w:ilvl w:val="0"/>
          <w:numId w:val="14"/>
        </w:numPr>
        <w:rPr>
          <w:rFonts w:ascii="Arial" w:hAnsi="Arial" w:cs="Arial"/>
          <w:sz w:val="28"/>
          <w:szCs w:val="28"/>
        </w:rPr>
      </w:pPr>
      <w:r w:rsidRPr="00B003EE">
        <w:rPr>
          <w:rFonts w:ascii="Arial" w:hAnsi="Arial" w:cs="Arial"/>
          <w:sz w:val="28"/>
          <w:szCs w:val="28"/>
        </w:rPr>
        <w:t>Disconnection and reconnection of appliances such as cookers, washing machines, internet routers, and alarms;</w:t>
      </w:r>
    </w:p>
    <w:p w14:paraId="6F6F4876" w14:textId="77777777" w:rsidR="00B003EE" w:rsidRPr="00B003EE" w:rsidRDefault="00B003EE" w:rsidP="00B003EE">
      <w:pPr>
        <w:pStyle w:val="ListParagraph"/>
        <w:numPr>
          <w:ilvl w:val="0"/>
          <w:numId w:val="14"/>
        </w:numPr>
        <w:rPr>
          <w:rFonts w:ascii="Arial" w:hAnsi="Arial" w:cs="Arial"/>
          <w:sz w:val="28"/>
          <w:szCs w:val="28"/>
        </w:rPr>
      </w:pPr>
      <w:r w:rsidRPr="00B003EE">
        <w:rPr>
          <w:rFonts w:ascii="Arial" w:hAnsi="Arial" w:cs="Arial"/>
          <w:sz w:val="28"/>
          <w:szCs w:val="28"/>
        </w:rPr>
        <w:t>A replacement cooker (if the current one is not compatible with the new property’s energy supply);</w:t>
      </w:r>
    </w:p>
    <w:p w14:paraId="1B3BB7FA" w14:textId="77777777" w:rsidR="00B003EE" w:rsidRPr="00B003EE" w:rsidRDefault="00B003EE" w:rsidP="00B003EE">
      <w:pPr>
        <w:pStyle w:val="ListParagraph"/>
        <w:numPr>
          <w:ilvl w:val="0"/>
          <w:numId w:val="14"/>
        </w:numPr>
        <w:rPr>
          <w:rFonts w:ascii="Arial" w:hAnsi="Arial" w:cs="Arial"/>
          <w:sz w:val="28"/>
          <w:szCs w:val="28"/>
        </w:rPr>
      </w:pPr>
      <w:r w:rsidRPr="00B003EE">
        <w:rPr>
          <w:rFonts w:ascii="Arial" w:hAnsi="Arial" w:cs="Arial"/>
          <w:sz w:val="28"/>
          <w:szCs w:val="28"/>
        </w:rPr>
        <w:t>Redirection of mail for up to six months;</w:t>
      </w:r>
    </w:p>
    <w:p w14:paraId="5D0DB4E1" w14:textId="77777777" w:rsidR="00B003EE" w:rsidRDefault="00B003EE" w:rsidP="00B003EE">
      <w:pPr>
        <w:pStyle w:val="ListParagraph"/>
        <w:numPr>
          <w:ilvl w:val="0"/>
          <w:numId w:val="14"/>
        </w:numPr>
        <w:rPr>
          <w:rFonts w:ascii="Arial" w:hAnsi="Arial" w:cs="Arial"/>
          <w:sz w:val="28"/>
          <w:szCs w:val="28"/>
        </w:rPr>
      </w:pPr>
      <w:r w:rsidRPr="00B003EE">
        <w:rPr>
          <w:rFonts w:ascii="Arial" w:hAnsi="Arial" w:cs="Arial"/>
          <w:sz w:val="28"/>
          <w:szCs w:val="28"/>
        </w:rPr>
        <w:t>Lost wages for the day of the move (evidence will be required from your employer).</w:t>
      </w:r>
    </w:p>
    <w:p w14:paraId="358FD240" w14:textId="77777777" w:rsidR="00B003EE" w:rsidRPr="00B003EE" w:rsidRDefault="00B003EE" w:rsidP="00B003EE">
      <w:pPr>
        <w:pStyle w:val="ListParagraph"/>
        <w:ind w:left="567"/>
        <w:rPr>
          <w:rFonts w:ascii="Arial" w:hAnsi="Arial" w:cs="Arial"/>
          <w:sz w:val="28"/>
          <w:szCs w:val="28"/>
        </w:rPr>
      </w:pPr>
    </w:p>
    <w:p w14:paraId="227C0D2A" w14:textId="16647B5E" w:rsidR="00B003EE" w:rsidRDefault="00B003EE" w:rsidP="004715CA">
      <w:pPr>
        <w:pStyle w:val="ListParagraph"/>
        <w:numPr>
          <w:ilvl w:val="1"/>
          <w:numId w:val="1"/>
        </w:numPr>
        <w:ind w:left="567" w:hanging="709"/>
        <w:rPr>
          <w:rFonts w:ascii="Arial" w:hAnsi="Arial" w:cs="Arial"/>
          <w:sz w:val="28"/>
          <w:szCs w:val="28"/>
        </w:rPr>
      </w:pPr>
      <w:r w:rsidRPr="00B003EE">
        <w:rPr>
          <w:rFonts w:ascii="Arial" w:hAnsi="Arial" w:cs="Arial"/>
          <w:sz w:val="28"/>
          <w:szCs w:val="28"/>
        </w:rPr>
        <w:t xml:space="preserve">We do not normally cover the cost of new or replacement items such as carpets or furniture. However, individual circumstances will always be considered. If a replacement item is approved, the payment will </w:t>
      </w:r>
      <w:r w:rsidRPr="004715CA">
        <w:rPr>
          <w:rFonts w:ascii="Arial" w:hAnsi="Arial" w:cs="Arial"/>
          <w:sz w:val="28"/>
          <w:szCs w:val="28"/>
        </w:rPr>
        <w:t>reflect a “like-for-like” replacement</w:t>
      </w:r>
      <w:r w:rsidRPr="00B003EE">
        <w:rPr>
          <w:rFonts w:ascii="Arial" w:hAnsi="Arial" w:cs="Arial"/>
          <w:sz w:val="28"/>
          <w:szCs w:val="28"/>
        </w:rPr>
        <w:t>, not an upgrade from old to new.</w:t>
      </w:r>
    </w:p>
    <w:p w14:paraId="77C25446" w14:textId="77777777" w:rsidR="004715CA" w:rsidRPr="004715CA" w:rsidRDefault="004715CA" w:rsidP="004715CA">
      <w:pPr>
        <w:pStyle w:val="ListParagraph"/>
        <w:ind w:left="567"/>
        <w:rPr>
          <w:rFonts w:ascii="Arial" w:hAnsi="Arial" w:cs="Arial"/>
          <w:sz w:val="28"/>
          <w:szCs w:val="28"/>
        </w:rPr>
      </w:pPr>
    </w:p>
    <w:p w14:paraId="35E77138" w14:textId="77777777" w:rsidR="00B003EE" w:rsidRPr="004715CA" w:rsidRDefault="00B003EE" w:rsidP="00B003EE">
      <w:pPr>
        <w:pStyle w:val="ListParagraph"/>
        <w:numPr>
          <w:ilvl w:val="1"/>
          <w:numId w:val="1"/>
        </w:numPr>
        <w:ind w:left="567" w:hanging="709"/>
        <w:rPr>
          <w:rFonts w:ascii="Arial" w:hAnsi="Arial" w:cs="Arial"/>
          <w:sz w:val="28"/>
          <w:szCs w:val="28"/>
        </w:rPr>
      </w:pPr>
      <w:r w:rsidRPr="00B003EE">
        <w:rPr>
          <w:rFonts w:ascii="Arial" w:hAnsi="Arial" w:cs="Arial"/>
          <w:sz w:val="28"/>
          <w:szCs w:val="28"/>
        </w:rPr>
        <w:t xml:space="preserve">If a customer does not qualify for a standard disturbance payment, or if the standard payment does not fairly reflect the costs involved, </w:t>
      </w:r>
      <w:r w:rsidRPr="004715CA">
        <w:rPr>
          <w:rFonts w:ascii="Arial" w:hAnsi="Arial" w:cs="Arial"/>
          <w:sz w:val="28"/>
          <w:szCs w:val="28"/>
        </w:rPr>
        <w:t>Sandwell Council may consider offering a discretionary disturbance payment. This may apply when:</w:t>
      </w:r>
    </w:p>
    <w:p w14:paraId="0AEF3B3A" w14:textId="77777777" w:rsidR="00B003EE" w:rsidRPr="004715CA" w:rsidRDefault="00B003EE" w:rsidP="00B003EE">
      <w:pPr>
        <w:pStyle w:val="ListParagraph"/>
        <w:numPr>
          <w:ilvl w:val="0"/>
          <w:numId w:val="17"/>
        </w:numPr>
        <w:rPr>
          <w:rFonts w:ascii="Arial" w:hAnsi="Arial" w:cs="Arial"/>
          <w:sz w:val="28"/>
          <w:szCs w:val="28"/>
        </w:rPr>
      </w:pPr>
      <w:r w:rsidRPr="004715CA">
        <w:rPr>
          <w:rFonts w:ascii="Arial" w:hAnsi="Arial" w:cs="Arial"/>
          <w:sz w:val="28"/>
          <w:szCs w:val="28"/>
        </w:rPr>
        <w:t>A permanent move is required, but the customer does not meet the criteria set out in Section 6;</w:t>
      </w:r>
    </w:p>
    <w:p w14:paraId="16BFD74C" w14:textId="77777777" w:rsidR="00B003EE" w:rsidRPr="00B003EE" w:rsidRDefault="00B003EE" w:rsidP="00B003EE">
      <w:pPr>
        <w:pStyle w:val="ListParagraph"/>
        <w:numPr>
          <w:ilvl w:val="0"/>
          <w:numId w:val="17"/>
        </w:numPr>
        <w:rPr>
          <w:rFonts w:ascii="Arial" w:hAnsi="Arial" w:cs="Arial"/>
          <w:sz w:val="28"/>
          <w:szCs w:val="28"/>
        </w:rPr>
      </w:pPr>
      <w:r w:rsidRPr="00B003EE">
        <w:rPr>
          <w:rFonts w:ascii="Arial" w:hAnsi="Arial" w:cs="Arial"/>
          <w:sz w:val="28"/>
          <w:szCs w:val="28"/>
        </w:rPr>
        <w:t>A payment would help avoid delaying important redevelopment work;</w:t>
      </w:r>
    </w:p>
    <w:p w14:paraId="58B32D10" w14:textId="77777777" w:rsidR="00B003EE" w:rsidRPr="00B003EE" w:rsidRDefault="00B003EE" w:rsidP="00B003EE">
      <w:pPr>
        <w:pStyle w:val="ListParagraph"/>
        <w:numPr>
          <w:ilvl w:val="0"/>
          <w:numId w:val="17"/>
        </w:numPr>
        <w:rPr>
          <w:rFonts w:ascii="Arial" w:hAnsi="Arial" w:cs="Arial"/>
          <w:sz w:val="28"/>
          <w:szCs w:val="28"/>
        </w:rPr>
      </w:pPr>
      <w:r w:rsidRPr="00B003EE">
        <w:rPr>
          <w:rFonts w:ascii="Arial" w:hAnsi="Arial" w:cs="Arial"/>
          <w:sz w:val="28"/>
          <w:szCs w:val="28"/>
        </w:rPr>
        <w:t>The customer’s tenancy type or time in the property means they do not qualify for the standard payment.</w:t>
      </w:r>
    </w:p>
    <w:p w14:paraId="6CD4B054" w14:textId="7CC1181C" w:rsidR="00B003EE" w:rsidRDefault="005E2494" w:rsidP="005E2494">
      <w:pPr>
        <w:pStyle w:val="ListParagraph"/>
        <w:numPr>
          <w:ilvl w:val="0"/>
          <w:numId w:val="17"/>
        </w:numPr>
        <w:rPr>
          <w:rFonts w:ascii="Arial" w:hAnsi="Arial" w:cs="Arial"/>
          <w:sz w:val="28"/>
          <w:szCs w:val="28"/>
        </w:rPr>
      </w:pPr>
      <w:r w:rsidRPr="005E2494">
        <w:rPr>
          <w:rFonts w:ascii="Arial" w:hAnsi="Arial" w:cs="Arial"/>
          <w:sz w:val="28"/>
          <w:szCs w:val="28"/>
        </w:rPr>
        <w:t>The Tenancy and Estate Management Team will assess whether a discretionary payment may be appropriate. Each case is reviewed individually, and any decision will not set a precedent for future cases. All payments must be approved prior to release.</w:t>
      </w:r>
    </w:p>
    <w:p w14:paraId="6573D524" w14:textId="77777777" w:rsidR="005E2494" w:rsidRDefault="005E2494" w:rsidP="005E2494">
      <w:pPr>
        <w:pStyle w:val="ListParagraph"/>
        <w:ind w:left="927"/>
        <w:rPr>
          <w:rFonts w:ascii="Arial" w:hAnsi="Arial" w:cs="Arial"/>
          <w:sz w:val="28"/>
          <w:szCs w:val="28"/>
        </w:rPr>
      </w:pPr>
    </w:p>
    <w:p w14:paraId="152FCA47" w14:textId="77777777" w:rsidR="004715CA" w:rsidRPr="005E2494" w:rsidRDefault="004715CA" w:rsidP="005E2494">
      <w:pPr>
        <w:pStyle w:val="ListParagraph"/>
        <w:ind w:left="927"/>
        <w:rPr>
          <w:rFonts w:ascii="Arial" w:hAnsi="Arial" w:cs="Arial"/>
          <w:sz w:val="28"/>
          <w:szCs w:val="28"/>
        </w:rPr>
      </w:pPr>
    </w:p>
    <w:p w14:paraId="7EF1E0D2" w14:textId="77777777" w:rsidR="00B003EE" w:rsidRDefault="00B003EE" w:rsidP="00B003EE">
      <w:pPr>
        <w:pStyle w:val="ListParagraph"/>
        <w:ind w:left="0"/>
        <w:rPr>
          <w:rFonts w:ascii="Arial" w:hAnsi="Arial" w:cs="Arial"/>
          <w:b/>
          <w:bCs/>
          <w:sz w:val="28"/>
          <w:szCs w:val="28"/>
        </w:rPr>
      </w:pPr>
    </w:p>
    <w:p w14:paraId="5720931E" w14:textId="35D660DD" w:rsidR="00B003EE" w:rsidRPr="00B003EE" w:rsidRDefault="00B003EE" w:rsidP="00B003EE">
      <w:pPr>
        <w:pStyle w:val="ListParagraph"/>
        <w:ind w:left="0"/>
        <w:rPr>
          <w:rFonts w:ascii="Arial" w:hAnsi="Arial" w:cs="Arial"/>
          <w:b/>
          <w:bCs/>
          <w:sz w:val="28"/>
          <w:szCs w:val="28"/>
        </w:rPr>
      </w:pPr>
      <w:r>
        <w:rPr>
          <w:rFonts w:ascii="Arial" w:hAnsi="Arial" w:cs="Arial"/>
          <w:b/>
          <w:bCs/>
          <w:sz w:val="28"/>
          <w:szCs w:val="28"/>
        </w:rPr>
        <w:lastRenderedPageBreak/>
        <w:t>Outstanding Debt</w:t>
      </w:r>
    </w:p>
    <w:p w14:paraId="41860F96" w14:textId="77777777" w:rsidR="00B003EE" w:rsidRPr="00B003EE" w:rsidRDefault="00B003EE" w:rsidP="00B003EE">
      <w:pPr>
        <w:pStyle w:val="ListParagraph"/>
        <w:ind w:left="567"/>
        <w:rPr>
          <w:rFonts w:ascii="Arial" w:hAnsi="Arial" w:cs="Arial"/>
          <w:sz w:val="28"/>
          <w:szCs w:val="28"/>
        </w:rPr>
      </w:pPr>
    </w:p>
    <w:p w14:paraId="693E9967" w14:textId="064E3BF3" w:rsidR="00FD71FB" w:rsidRDefault="005E3B31" w:rsidP="00FD71FB">
      <w:pPr>
        <w:pStyle w:val="ListParagraph"/>
        <w:numPr>
          <w:ilvl w:val="1"/>
          <w:numId w:val="1"/>
        </w:numPr>
        <w:ind w:left="567" w:hanging="709"/>
        <w:rPr>
          <w:rFonts w:ascii="Arial" w:hAnsi="Arial" w:cs="Arial"/>
          <w:sz w:val="28"/>
          <w:szCs w:val="28"/>
        </w:rPr>
      </w:pPr>
      <w:r w:rsidRPr="005E3B31">
        <w:rPr>
          <w:rFonts w:ascii="Arial" w:hAnsi="Arial" w:cs="Arial"/>
          <w:sz w:val="28"/>
          <w:szCs w:val="28"/>
        </w:rPr>
        <w:t>If you are due to receive a home loss</w:t>
      </w:r>
      <w:r w:rsidR="004715CA">
        <w:rPr>
          <w:rFonts w:ascii="Arial" w:hAnsi="Arial" w:cs="Arial"/>
          <w:sz w:val="28"/>
          <w:szCs w:val="28"/>
        </w:rPr>
        <w:t xml:space="preserve"> payment</w:t>
      </w:r>
      <w:r w:rsidRPr="005E3B31">
        <w:rPr>
          <w:rFonts w:ascii="Arial" w:hAnsi="Arial" w:cs="Arial"/>
          <w:sz w:val="28"/>
          <w:szCs w:val="28"/>
        </w:rPr>
        <w:t xml:space="preserve"> or disturbance payment but owe money to Sandwell Council (such as rent arrears or other debts), we will work with you to agree how the debt will be recovered from your payment.</w:t>
      </w:r>
    </w:p>
    <w:p w14:paraId="74FF02AF" w14:textId="77777777" w:rsidR="005E3B31" w:rsidRPr="005E3B31" w:rsidRDefault="005E3B31" w:rsidP="005E3B31">
      <w:pPr>
        <w:pStyle w:val="ListParagraph"/>
        <w:ind w:left="567"/>
        <w:rPr>
          <w:rFonts w:ascii="Arial" w:hAnsi="Arial" w:cs="Arial"/>
          <w:sz w:val="28"/>
          <w:szCs w:val="28"/>
        </w:rPr>
      </w:pPr>
    </w:p>
    <w:p w14:paraId="4D6B868B" w14:textId="77777777" w:rsidR="0045700D" w:rsidRPr="00AA65DC" w:rsidRDefault="0045700D"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1" w:name="_Toc196427204"/>
      <w:r w:rsidRPr="00AA65DC">
        <w:rPr>
          <w:rFonts w:ascii="Arial" w:eastAsiaTheme="majorEastAsia" w:hAnsi="Arial" w:cs="Arial"/>
          <w:b/>
          <w:bCs/>
          <w:color w:val="2F5496" w:themeColor="accent1" w:themeShade="BF"/>
          <w:sz w:val="28"/>
          <w:szCs w:val="28"/>
        </w:rPr>
        <w:t>Development of Policy</w:t>
      </w:r>
      <w:bookmarkEnd w:id="11"/>
    </w:p>
    <w:p w14:paraId="311550DF" w14:textId="77777777" w:rsidR="0045700D" w:rsidRPr="00AA65DC" w:rsidRDefault="0045700D" w:rsidP="0045700D">
      <w:pPr>
        <w:pStyle w:val="ListParagraph"/>
        <w:ind w:left="567"/>
        <w:rPr>
          <w:rFonts w:ascii="Arial" w:hAnsi="Arial" w:cs="Arial"/>
          <w:sz w:val="28"/>
          <w:szCs w:val="28"/>
        </w:rPr>
      </w:pPr>
    </w:p>
    <w:p w14:paraId="1D9774EA" w14:textId="0AFE1128" w:rsidR="00022F6E" w:rsidRPr="00001289" w:rsidRDefault="00022F6E" w:rsidP="00022F6E">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Sandwell Council recognises the importance of clear and effective communication in ensuring </w:t>
      </w:r>
      <w:r>
        <w:rPr>
          <w:rFonts w:ascii="Arial" w:hAnsi="Arial" w:cs="Arial"/>
          <w:sz w:val="28"/>
          <w:szCs w:val="28"/>
        </w:rPr>
        <w:t>home loss and disturbance payments</w:t>
      </w:r>
      <w:r w:rsidRPr="00001289">
        <w:rPr>
          <w:rFonts w:ascii="Arial" w:hAnsi="Arial" w:cs="Arial"/>
          <w:sz w:val="28"/>
          <w:szCs w:val="28"/>
        </w:rPr>
        <w:t xml:space="preserve"> are carried out efficiently and customers are supported throughout the process. To achieve this, the Council are consulting residents on an updated draft version of this policy, providing opportunities to submit feedback both online and in person.</w:t>
      </w:r>
    </w:p>
    <w:p w14:paraId="566CFC6A" w14:textId="77777777" w:rsidR="00022F6E" w:rsidRPr="00001289" w:rsidRDefault="00022F6E" w:rsidP="00022F6E">
      <w:pPr>
        <w:pStyle w:val="ListParagraph"/>
        <w:ind w:left="567"/>
        <w:rPr>
          <w:rFonts w:ascii="Arial" w:hAnsi="Arial" w:cs="Arial"/>
          <w:sz w:val="28"/>
          <w:szCs w:val="28"/>
        </w:rPr>
      </w:pPr>
    </w:p>
    <w:p w14:paraId="1A8A9374" w14:textId="1F5CE21C" w:rsidR="0045700D" w:rsidRDefault="00022F6E" w:rsidP="0045700D">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Incorporating resident input into the development of this policy enables the Council to enhance its approach to </w:t>
      </w:r>
      <w:r>
        <w:rPr>
          <w:rFonts w:ascii="Arial" w:hAnsi="Arial" w:cs="Arial"/>
          <w:sz w:val="28"/>
          <w:szCs w:val="28"/>
        </w:rPr>
        <w:t>home loss and disturbance payments</w:t>
      </w:r>
      <w:r w:rsidRPr="00001289">
        <w:rPr>
          <w:rFonts w:ascii="Arial" w:hAnsi="Arial" w:cs="Arial"/>
          <w:sz w:val="28"/>
          <w:szCs w:val="28"/>
        </w:rPr>
        <w:t>, ensuring that the services provided meet the needs of tenants and leaseholders.</w:t>
      </w:r>
    </w:p>
    <w:p w14:paraId="03425878" w14:textId="77777777" w:rsidR="00022F6E" w:rsidRPr="00022F6E" w:rsidRDefault="00022F6E" w:rsidP="00022F6E">
      <w:pPr>
        <w:pStyle w:val="ListParagraph"/>
        <w:rPr>
          <w:rFonts w:ascii="Arial" w:hAnsi="Arial" w:cs="Arial"/>
          <w:sz w:val="28"/>
          <w:szCs w:val="28"/>
        </w:rPr>
      </w:pPr>
    </w:p>
    <w:p w14:paraId="51479BF0" w14:textId="77777777" w:rsidR="0045700D" w:rsidRPr="00AA65DC" w:rsidRDefault="0045700D"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6427205"/>
      <w:r w:rsidRPr="00AA65DC">
        <w:rPr>
          <w:rFonts w:ascii="Arial" w:eastAsiaTheme="majorEastAsia" w:hAnsi="Arial" w:cs="Arial"/>
          <w:b/>
          <w:bCs/>
          <w:color w:val="2F5496" w:themeColor="accent1" w:themeShade="BF"/>
          <w:sz w:val="28"/>
          <w:szCs w:val="28"/>
        </w:rPr>
        <w:t>Related Documents</w:t>
      </w:r>
      <w:bookmarkEnd w:id="12"/>
      <w:r w:rsidRPr="00AA65DC">
        <w:rPr>
          <w:rFonts w:ascii="Arial" w:eastAsiaTheme="majorEastAsia" w:hAnsi="Arial" w:cs="Arial"/>
          <w:b/>
          <w:bCs/>
          <w:color w:val="2F5496" w:themeColor="accent1" w:themeShade="BF"/>
          <w:sz w:val="28"/>
          <w:szCs w:val="28"/>
        </w:rPr>
        <w:t xml:space="preserve"> </w:t>
      </w:r>
    </w:p>
    <w:p w14:paraId="43361503" w14:textId="77777777" w:rsidR="0045700D" w:rsidRPr="00AA65DC"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78E4C37C" w14:textId="15C0CD53" w:rsidR="00022F6E" w:rsidRPr="00B558AF" w:rsidRDefault="00022F6E" w:rsidP="00022F6E">
      <w:pPr>
        <w:pStyle w:val="ListParagraph"/>
        <w:numPr>
          <w:ilvl w:val="1"/>
          <w:numId w:val="1"/>
        </w:numPr>
        <w:ind w:left="567" w:hanging="567"/>
        <w:rPr>
          <w:rFonts w:ascii="Arial" w:hAnsi="Arial" w:cs="Arial"/>
          <w:sz w:val="28"/>
          <w:szCs w:val="28"/>
        </w:rPr>
      </w:pPr>
      <w:r w:rsidRPr="00B558AF">
        <w:rPr>
          <w:rFonts w:ascii="Arial" w:hAnsi="Arial" w:cs="Arial"/>
          <w:sz w:val="28"/>
          <w:szCs w:val="28"/>
        </w:rPr>
        <w:t xml:space="preserve">The </w:t>
      </w:r>
      <w:r>
        <w:rPr>
          <w:rFonts w:ascii="Arial" w:hAnsi="Arial" w:cs="Arial"/>
          <w:sz w:val="28"/>
          <w:szCs w:val="28"/>
        </w:rPr>
        <w:t>Home Loss and Disturbance Payment</w:t>
      </w:r>
      <w:r w:rsidRPr="00B558AF">
        <w:rPr>
          <w:rFonts w:ascii="Arial" w:hAnsi="Arial" w:cs="Arial"/>
          <w:sz w:val="28"/>
          <w:szCs w:val="28"/>
        </w:rPr>
        <w:t xml:space="preserve"> Policy will align with our existing policies and strategies but will also influence and guide a range of supporting or inter-related policies and procedures. </w:t>
      </w:r>
    </w:p>
    <w:p w14:paraId="7B2C5518" w14:textId="77777777" w:rsidR="00022F6E" w:rsidRPr="00B558AF" w:rsidRDefault="00022F6E" w:rsidP="00022F6E">
      <w:pPr>
        <w:pStyle w:val="ListParagraph"/>
        <w:ind w:left="567"/>
        <w:rPr>
          <w:rFonts w:ascii="Arial" w:hAnsi="Arial" w:cs="Arial"/>
          <w:sz w:val="28"/>
          <w:szCs w:val="28"/>
        </w:rPr>
      </w:pPr>
    </w:p>
    <w:p w14:paraId="6EC96D08" w14:textId="77777777" w:rsidR="00022F6E" w:rsidRPr="00B558AF" w:rsidRDefault="00022F6E" w:rsidP="00022F6E">
      <w:pPr>
        <w:pStyle w:val="ListParagraph"/>
        <w:numPr>
          <w:ilvl w:val="1"/>
          <w:numId w:val="1"/>
        </w:numPr>
        <w:ind w:left="567" w:hanging="567"/>
        <w:rPr>
          <w:rFonts w:ascii="Arial" w:hAnsi="Arial" w:cs="Arial"/>
          <w:sz w:val="28"/>
          <w:szCs w:val="28"/>
        </w:rPr>
      </w:pPr>
      <w:r w:rsidRPr="00B558AF">
        <w:rPr>
          <w:rFonts w:ascii="Arial" w:hAnsi="Arial" w:cs="Arial"/>
          <w:sz w:val="28"/>
          <w:szCs w:val="28"/>
        </w:rPr>
        <w:t>This will ensure that the management of our assets is part of a wider approach to delivering high quality services and places for the benefit of our residents. The key documents that should be read in conjunction with this policy include:</w:t>
      </w:r>
    </w:p>
    <w:p w14:paraId="4068BABA" w14:textId="77777777" w:rsidR="00022F6E" w:rsidRPr="00B558AF" w:rsidRDefault="00022F6E" w:rsidP="00022F6E">
      <w:pPr>
        <w:pStyle w:val="ListParagraph"/>
        <w:numPr>
          <w:ilvl w:val="0"/>
          <w:numId w:val="20"/>
        </w:numPr>
        <w:rPr>
          <w:rFonts w:ascii="Arial" w:hAnsi="Arial" w:cs="Arial"/>
          <w:color w:val="FF0000"/>
          <w:sz w:val="28"/>
          <w:szCs w:val="28"/>
        </w:rPr>
      </w:pPr>
      <w:hyperlink r:id="rId14" w:history="1">
        <w:r w:rsidRPr="00B558AF">
          <w:rPr>
            <w:rStyle w:val="Hyperlink"/>
            <w:rFonts w:ascii="Arial" w:hAnsi="Arial" w:cs="Arial"/>
            <w:sz w:val="28"/>
            <w:szCs w:val="28"/>
          </w:rPr>
          <w:t>Sandwell Council Plan 2024 – 2027</w:t>
        </w:r>
      </w:hyperlink>
    </w:p>
    <w:p w14:paraId="0CD03DED" w14:textId="77777777" w:rsidR="00022F6E" w:rsidRDefault="00022F6E" w:rsidP="00022F6E">
      <w:pPr>
        <w:pStyle w:val="ListParagraph"/>
        <w:numPr>
          <w:ilvl w:val="0"/>
          <w:numId w:val="20"/>
        </w:numPr>
        <w:rPr>
          <w:rFonts w:ascii="Arial" w:hAnsi="Arial" w:cs="Arial"/>
          <w:color w:val="FF0000"/>
          <w:sz w:val="28"/>
          <w:szCs w:val="28"/>
        </w:rPr>
      </w:pPr>
      <w:hyperlink r:id="rId15" w:history="1">
        <w:r w:rsidRPr="00B558AF">
          <w:rPr>
            <w:rStyle w:val="Hyperlink"/>
            <w:rFonts w:ascii="Arial" w:hAnsi="Arial" w:cs="Arial"/>
            <w:sz w:val="28"/>
            <w:szCs w:val="28"/>
          </w:rPr>
          <w:t>Sandwell Housing Strategy 2023 – 2028</w:t>
        </w:r>
      </w:hyperlink>
    </w:p>
    <w:p w14:paraId="2BE46419" w14:textId="77777777" w:rsidR="00022F6E" w:rsidRPr="00B558AF" w:rsidRDefault="00022F6E" w:rsidP="00022F6E">
      <w:pPr>
        <w:pStyle w:val="ListParagraph"/>
        <w:numPr>
          <w:ilvl w:val="0"/>
          <w:numId w:val="20"/>
        </w:numPr>
        <w:rPr>
          <w:rFonts w:ascii="Arial" w:hAnsi="Arial" w:cs="Arial"/>
          <w:color w:val="FF0000"/>
          <w:sz w:val="28"/>
          <w:szCs w:val="28"/>
        </w:rPr>
      </w:pPr>
      <w:hyperlink r:id="rId16" w:history="1">
        <w:r w:rsidRPr="00CD78F6">
          <w:rPr>
            <w:rStyle w:val="Hyperlink"/>
            <w:rFonts w:ascii="Arial" w:hAnsi="Arial" w:cs="Arial"/>
            <w:sz w:val="28"/>
            <w:szCs w:val="28"/>
          </w:rPr>
          <w:t xml:space="preserve">Sandwell Housing Asset Management </w:t>
        </w:r>
        <w:r>
          <w:rPr>
            <w:rStyle w:val="Hyperlink"/>
            <w:rFonts w:ascii="Arial" w:hAnsi="Arial" w:cs="Arial"/>
            <w:sz w:val="28"/>
            <w:szCs w:val="28"/>
          </w:rPr>
          <w:t xml:space="preserve">and Compliance </w:t>
        </w:r>
        <w:r w:rsidRPr="00CD78F6">
          <w:rPr>
            <w:rStyle w:val="Hyperlink"/>
            <w:rFonts w:ascii="Arial" w:hAnsi="Arial" w:cs="Arial"/>
            <w:sz w:val="28"/>
            <w:szCs w:val="28"/>
          </w:rPr>
          <w:t>Strategy 2025-2030</w:t>
        </w:r>
      </w:hyperlink>
    </w:p>
    <w:p w14:paraId="73E0D2FE" w14:textId="77777777" w:rsidR="00022F6E" w:rsidRPr="00B558AF" w:rsidRDefault="00022F6E" w:rsidP="00022F6E">
      <w:pPr>
        <w:pStyle w:val="ListParagraph"/>
        <w:numPr>
          <w:ilvl w:val="0"/>
          <w:numId w:val="20"/>
        </w:numPr>
        <w:rPr>
          <w:rFonts w:ascii="Arial" w:hAnsi="Arial" w:cs="Arial"/>
          <w:color w:val="FF0000"/>
          <w:sz w:val="28"/>
          <w:szCs w:val="28"/>
          <w:u w:val="single"/>
        </w:rPr>
      </w:pPr>
      <w:hyperlink r:id="rId17" w:history="1">
        <w:r w:rsidRPr="00B558AF">
          <w:rPr>
            <w:rStyle w:val="Hyperlink"/>
            <w:rFonts w:ascii="Arial" w:hAnsi="Arial" w:cs="Arial"/>
            <w:sz w:val="28"/>
            <w:szCs w:val="28"/>
          </w:rPr>
          <w:t>Tenant Handbook</w:t>
        </w:r>
      </w:hyperlink>
    </w:p>
    <w:p w14:paraId="130B5828" w14:textId="77777777" w:rsidR="00022F6E" w:rsidRPr="00B558AF" w:rsidRDefault="00022F6E" w:rsidP="00022F6E">
      <w:pPr>
        <w:pStyle w:val="ListParagraph"/>
        <w:numPr>
          <w:ilvl w:val="0"/>
          <w:numId w:val="20"/>
        </w:numPr>
        <w:rPr>
          <w:rFonts w:ascii="Arial" w:hAnsi="Arial" w:cs="Arial"/>
          <w:color w:val="FF0000"/>
          <w:sz w:val="28"/>
          <w:szCs w:val="28"/>
          <w:u w:val="single"/>
        </w:rPr>
      </w:pPr>
      <w:hyperlink r:id="rId18" w:history="1">
        <w:r w:rsidRPr="00B558AF">
          <w:rPr>
            <w:rStyle w:val="Hyperlink"/>
            <w:rFonts w:ascii="Arial" w:hAnsi="Arial" w:cs="Arial"/>
            <w:sz w:val="28"/>
            <w:szCs w:val="28"/>
          </w:rPr>
          <w:t>SMBC Tenancy Conditions</w:t>
        </w:r>
      </w:hyperlink>
      <w:r w:rsidRPr="00B558AF">
        <w:rPr>
          <w:rFonts w:ascii="Arial" w:hAnsi="Arial" w:cs="Arial"/>
          <w:color w:val="FF0000"/>
          <w:sz w:val="28"/>
          <w:szCs w:val="28"/>
        </w:rPr>
        <w:t xml:space="preserve"> </w:t>
      </w:r>
    </w:p>
    <w:p w14:paraId="3541B001" w14:textId="77777777" w:rsidR="00022F6E" w:rsidRPr="00CD78F6" w:rsidRDefault="00022F6E" w:rsidP="00022F6E">
      <w:pPr>
        <w:pStyle w:val="ListParagraph"/>
        <w:numPr>
          <w:ilvl w:val="0"/>
          <w:numId w:val="20"/>
        </w:numPr>
        <w:rPr>
          <w:rFonts w:ascii="Arial" w:hAnsi="Arial" w:cs="Arial"/>
          <w:color w:val="FF0000"/>
          <w:sz w:val="28"/>
          <w:szCs w:val="28"/>
          <w:u w:val="single"/>
        </w:rPr>
      </w:pPr>
      <w:hyperlink r:id="rId19" w:history="1">
        <w:r w:rsidRPr="00B558AF">
          <w:rPr>
            <w:rStyle w:val="Hyperlink"/>
            <w:rFonts w:ascii="Arial" w:hAnsi="Arial" w:cs="Arial"/>
            <w:sz w:val="28"/>
            <w:szCs w:val="28"/>
          </w:rPr>
          <w:t>Leaseholder Handbook</w:t>
        </w:r>
      </w:hyperlink>
    </w:p>
    <w:p w14:paraId="3409D60E" w14:textId="77777777" w:rsidR="00022F6E" w:rsidRPr="00CD78F6" w:rsidRDefault="00022F6E" w:rsidP="00022F6E">
      <w:pPr>
        <w:pStyle w:val="ListParagraph"/>
        <w:numPr>
          <w:ilvl w:val="0"/>
          <w:numId w:val="20"/>
        </w:numPr>
        <w:rPr>
          <w:rFonts w:ascii="Arial" w:hAnsi="Arial" w:cs="Arial"/>
          <w:color w:val="FF0000"/>
          <w:sz w:val="28"/>
          <w:szCs w:val="28"/>
          <w:u w:val="single"/>
        </w:rPr>
      </w:pPr>
      <w:hyperlink r:id="rId20" w:history="1">
        <w:r w:rsidRPr="00CD78F6">
          <w:rPr>
            <w:rStyle w:val="Hyperlink"/>
            <w:rFonts w:ascii="Arial" w:hAnsi="Arial" w:cs="Arial"/>
            <w:sz w:val="28"/>
            <w:szCs w:val="28"/>
          </w:rPr>
          <w:t>Property Compliance Policy</w:t>
        </w:r>
      </w:hyperlink>
    </w:p>
    <w:p w14:paraId="40DA8239" w14:textId="77777777" w:rsidR="0045700D" w:rsidRPr="00AA65DC" w:rsidRDefault="0045700D" w:rsidP="0045700D">
      <w:pPr>
        <w:rPr>
          <w:sz w:val="20"/>
          <w:szCs w:val="20"/>
        </w:rPr>
      </w:pPr>
    </w:p>
    <w:p w14:paraId="19C2AB49" w14:textId="77777777" w:rsidR="0045700D" w:rsidRPr="00AA65DC" w:rsidRDefault="0045700D"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3" w:name="_Toc196427206"/>
      <w:bookmarkStart w:id="14" w:name="_Hlk164765064"/>
      <w:r w:rsidRPr="00AA65DC">
        <w:rPr>
          <w:rFonts w:ascii="Arial" w:eastAsiaTheme="majorEastAsia" w:hAnsi="Arial" w:cs="Arial"/>
          <w:b/>
          <w:bCs/>
          <w:color w:val="2F5496" w:themeColor="accent1" w:themeShade="BF"/>
          <w:sz w:val="28"/>
          <w:szCs w:val="28"/>
        </w:rPr>
        <w:t>Legal Framework</w:t>
      </w:r>
      <w:bookmarkEnd w:id="13"/>
      <w:r w:rsidRPr="00AA65DC">
        <w:rPr>
          <w:rFonts w:ascii="Arial" w:eastAsiaTheme="majorEastAsia" w:hAnsi="Arial" w:cs="Arial"/>
          <w:b/>
          <w:bCs/>
          <w:color w:val="2F5496" w:themeColor="accent1" w:themeShade="BF"/>
          <w:sz w:val="28"/>
          <w:szCs w:val="28"/>
        </w:rPr>
        <w:t xml:space="preserve"> </w:t>
      </w:r>
    </w:p>
    <w:bookmarkEnd w:id="14"/>
    <w:p w14:paraId="5C31DC8B" w14:textId="77777777" w:rsidR="0045700D" w:rsidRPr="00AA65DC"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515B051E" w14:textId="5145BF97" w:rsidR="00E94940" w:rsidRPr="00BF039B" w:rsidRDefault="00E94940" w:rsidP="00E94940">
      <w:pPr>
        <w:pStyle w:val="ListParagraph"/>
        <w:numPr>
          <w:ilvl w:val="1"/>
          <w:numId w:val="1"/>
        </w:numPr>
        <w:ind w:left="567" w:hanging="567"/>
        <w:rPr>
          <w:rFonts w:ascii="Arial" w:hAnsi="Arial" w:cs="Arial"/>
          <w:sz w:val="28"/>
          <w:szCs w:val="28"/>
        </w:rPr>
      </w:pPr>
      <w:r w:rsidRPr="00BF039B">
        <w:rPr>
          <w:rFonts w:ascii="Arial" w:hAnsi="Arial" w:cs="Arial"/>
          <w:sz w:val="28"/>
          <w:szCs w:val="28"/>
        </w:rPr>
        <w:t xml:space="preserve">Sandwell Council is committed to ensuring that its </w:t>
      </w:r>
      <w:r>
        <w:rPr>
          <w:rFonts w:ascii="Arial" w:hAnsi="Arial" w:cs="Arial"/>
          <w:sz w:val="28"/>
          <w:szCs w:val="28"/>
        </w:rPr>
        <w:t>Home Loss and Disturbance Payment</w:t>
      </w:r>
      <w:r w:rsidRPr="00BF039B">
        <w:rPr>
          <w:rFonts w:ascii="Arial" w:hAnsi="Arial" w:cs="Arial"/>
          <w:sz w:val="28"/>
          <w:szCs w:val="28"/>
        </w:rPr>
        <w:t xml:space="preserve"> Policy aligns with all relevant legislation and statutory requirements. Through the implementation of this policy, the Council seeks to fulfil its legal duties and responsibilities, including (but not limited to) compliance with the following:</w:t>
      </w:r>
    </w:p>
    <w:p w14:paraId="2BE025FE" w14:textId="77777777" w:rsidR="00E94940" w:rsidRPr="00BF039B" w:rsidRDefault="00E94940" w:rsidP="00E94940">
      <w:pPr>
        <w:pStyle w:val="ListParagraph"/>
        <w:numPr>
          <w:ilvl w:val="0"/>
          <w:numId w:val="21"/>
        </w:numPr>
        <w:rPr>
          <w:rFonts w:ascii="Arial" w:hAnsi="Arial" w:cs="Arial"/>
          <w:sz w:val="28"/>
          <w:szCs w:val="28"/>
        </w:rPr>
      </w:pPr>
      <w:r w:rsidRPr="00BF039B">
        <w:rPr>
          <w:rFonts w:ascii="Arial" w:hAnsi="Arial" w:cs="Arial"/>
          <w:sz w:val="28"/>
          <w:szCs w:val="28"/>
        </w:rPr>
        <w:t>The Equality Act 2010</w:t>
      </w:r>
    </w:p>
    <w:p w14:paraId="511E4FCC" w14:textId="77777777" w:rsidR="00E94940" w:rsidRPr="00BF039B" w:rsidRDefault="00E94940" w:rsidP="00E94940">
      <w:pPr>
        <w:pStyle w:val="ListParagraph"/>
        <w:numPr>
          <w:ilvl w:val="0"/>
          <w:numId w:val="21"/>
        </w:numPr>
        <w:rPr>
          <w:rFonts w:ascii="Arial" w:hAnsi="Arial" w:cs="Arial"/>
          <w:sz w:val="28"/>
          <w:szCs w:val="28"/>
        </w:rPr>
      </w:pPr>
      <w:r w:rsidRPr="00BF039B">
        <w:rPr>
          <w:rFonts w:ascii="Arial" w:hAnsi="Arial" w:cs="Arial"/>
          <w:sz w:val="28"/>
          <w:szCs w:val="28"/>
        </w:rPr>
        <w:t>The Disability Discrimination Act 1995 (as amended)</w:t>
      </w:r>
    </w:p>
    <w:p w14:paraId="12E82CBD" w14:textId="77777777" w:rsidR="00E94940" w:rsidRPr="00BF039B" w:rsidRDefault="00E94940" w:rsidP="00E94940">
      <w:pPr>
        <w:pStyle w:val="ListParagraph"/>
        <w:numPr>
          <w:ilvl w:val="0"/>
          <w:numId w:val="21"/>
        </w:numPr>
        <w:rPr>
          <w:rFonts w:ascii="Arial" w:hAnsi="Arial" w:cs="Arial"/>
          <w:sz w:val="28"/>
          <w:szCs w:val="28"/>
        </w:rPr>
      </w:pPr>
      <w:r w:rsidRPr="00BF039B">
        <w:rPr>
          <w:rFonts w:ascii="Arial" w:hAnsi="Arial" w:cs="Arial"/>
          <w:sz w:val="28"/>
          <w:szCs w:val="28"/>
        </w:rPr>
        <w:t>The Human Rights Act 1998</w:t>
      </w:r>
    </w:p>
    <w:p w14:paraId="70090A27" w14:textId="77777777" w:rsidR="00E94940" w:rsidRPr="00BF039B" w:rsidRDefault="00E94940" w:rsidP="00E94940">
      <w:pPr>
        <w:pStyle w:val="ListParagraph"/>
        <w:numPr>
          <w:ilvl w:val="0"/>
          <w:numId w:val="21"/>
        </w:numPr>
        <w:rPr>
          <w:rFonts w:ascii="Arial" w:hAnsi="Arial" w:cs="Arial"/>
          <w:sz w:val="28"/>
          <w:szCs w:val="28"/>
        </w:rPr>
      </w:pPr>
      <w:r w:rsidRPr="00BF039B">
        <w:rPr>
          <w:rFonts w:ascii="Arial" w:hAnsi="Arial" w:cs="Arial"/>
          <w:sz w:val="28"/>
          <w:szCs w:val="28"/>
        </w:rPr>
        <w:t>The Health and Social Care Act 2012</w:t>
      </w:r>
    </w:p>
    <w:p w14:paraId="25D75C8D" w14:textId="77777777" w:rsidR="00E94940" w:rsidRPr="00BF039B" w:rsidRDefault="00E94940" w:rsidP="00E94940">
      <w:pPr>
        <w:pStyle w:val="ListParagraph"/>
        <w:numPr>
          <w:ilvl w:val="0"/>
          <w:numId w:val="21"/>
        </w:numPr>
        <w:rPr>
          <w:rFonts w:ascii="Arial" w:hAnsi="Arial" w:cs="Arial"/>
          <w:sz w:val="28"/>
          <w:szCs w:val="28"/>
        </w:rPr>
      </w:pPr>
      <w:r w:rsidRPr="00BF039B">
        <w:rPr>
          <w:rFonts w:ascii="Arial" w:hAnsi="Arial" w:cs="Arial"/>
          <w:sz w:val="28"/>
          <w:szCs w:val="28"/>
        </w:rPr>
        <w:t>The Regulator of Social Housing’s Consumer Standards</w:t>
      </w:r>
    </w:p>
    <w:p w14:paraId="520653BB" w14:textId="77777777" w:rsidR="00E94940" w:rsidRPr="00B558AF" w:rsidRDefault="00E94940" w:rsidP="00E94940">
      <w:pPr>
        <w:pStyle w:val="ListParagraph"/>
        <w:ind w:left="567"/>
        <w:rPr>
          <w:rFonts w:ascii="Arial" w:hAnsi="Arial" w:cs="Arial"/>
          <w:color w:val="FF0000"/>
          <w:sz w:val="28"/>
          <w:szCs w:val="28"/>
        </w:rPr>
      </w:pPr>
    </w:p>
    <w:p w14:paraId="57C703D9" w14:textId="184F457F" w:rsidR="00E94940" w:rsidRPr="00BF039B" w:rsidRDefault="00E94940" w:rsidP="00E94940">
      <w:pPr>
        <w:pStyle w:val="ListParagraph"/>
        <w:numPr>
          <w:ilvl w:val="1"/>
          <w:numId w:val="1"/>
        </w:numPr>
        <w:ind w:left="567" w:hanging="567"/>
        <w:rPr>
          <w:rFonts w:ascii="Arial" w:hAnsi="Arial" w:cs="Arial"/>
          <w:sz w:val="28"/>
          <w:szCs w:val="28"/>
        </w:rPr>
      </w:pPr>
      <w:bookmarkStart w:id="15" w:name="_Hlk164767531"/>
      <w:bookmarkStart w:id="16" w:name="_Hlk164767606"/>
      <w:r w:rsidRPr="00BF039B">
        <w:rPr>
          <w:rFonts w:ascii="Arial" w:hAnsi="Arial" w:cs="Arial"/>
          <w:sz w:val="28"/>
          <w:szCs w:val="28"/>
        </w:rPr>
        <w:t xml:space="preserve">The Council will ensure that all </w:t>
      </w:r>
      <w:r>
        <w:rPr>
          <w:rFonts w:ascii="Arial" w:hAnsi="Arial" w:cs="Arial"/>
          <w:sz w:val="28"/>
          <w:szCs w:val="28"/>
        </w:rPr>
        <w:t>processes</w:t>
      </w:r>
      <w:r w:rsidRPr="00BF039B">
        <w:rPr>
          <w:rFonts w:ascii="Arial" w:hAnsi="Arial" w:cs="Arial"/>
          <w:sz w:val="28"/>
          <w:szCs w:val="28"/>
        </w:rPr>
        <w:t xml:space="preserve"> are made in accordance with the above legislative and regulatory requirements. This commitment supports the principles of fairness, equality, and accessibility for all residents, particularly those with disabilities or additional needs.</w:t>
      </w:r>
      <w:bookmarkEnd w:id="15"/>
      <w:bookmarkEnd w:id="16"/>
    </w:p>
    <w:p w14:paraId="160F2DAC" w14:textId="77777777" w:rsidR="0045700D" w:rsidRPr="00AA65DC" w:rsidRDefault="0045700D" w:rsidP="0045700D">
      <w:pPr>
        <w:rPr>
          <w:rFonts w:ascii="Arial" w:hAnsi="Arial" w:cs="Arial"/>
          <w:sz w:val="28"/>
          <w:szCs w:val="28"/>
        </w:rPr>
      </w:pPr>
    </w:p>
    <w:p w14:paraId="5F57D19C" w14:textId="77777777" w:rsidR="0045700D" w:rsidRPr="00AA65DC" w:rsidRDefault="0045700D"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7" w:name="_Toc196427207"/>
      <w:r w:rsidRPr="00AA65DC">
        <w:rPr>
          <w:rFonts w:ascii="Arial" w:eastAsiaTheme="majorEastAsia" w:hAnsi="Arial" w:cs="Arial"/>
          <w:b/>
          <w:bCs/>
          <w:color w:val="2F5496" w:themeColor="accent1" w:themeShade="BF"/>
          <w:sz w:val="28"/>
          <w:szCs w:val="28"/>
        </w:rPr>
        <w:t>Equality and Diversity</w:t>
      </w:r>
      <w:bookmarkEnd w:id="17"/>
      <w:r w:rsidRPr="00AA65DC">
        <w:rPr>
          <w:rFonts w:ascii="Arial" w:eastAsiaTheme="majorEastAsia" w:hAnsi="Arial" w:cs="Arial"/>
          <w:b/>
          <w:bCs/>
          <w:color w:val="2F5496" w:themeColor="accent1" w:themeShade="BF"/>
          <w:sz w:val="28"/>
          <w:szCs w:val="28"/>
        </w:rPr>
        <w:t xml:space="preserve"> </w:t>
      </w:r>
    </w:p>
    <w:p w14:paraId="51A14B76" w14:textId="77777777" w:rsidR="00483FCE" w:rsidRPr="00483FCE" w:rsidRDefault="00483FCE" w:rsidP="00483FCE">
      <w:pPr>
        <w:rPr>
          <w:rFonts w:ascii="Arial" w:hAnsi="Arial" w:cs="Arial"/>
          <w:sz w:val="28"/>
          <w:szCs w:val="28"/>
        </w:rPr>
      </w:pPr>
    </w:p>
    <w:p w14:paraId="33D8CD67" w14:textId="725119F6" w:rsidR="00483FCE" w:rsidRPr="00001289" w:rsidRDefault="00483FCE" w:rsidP="00483FCE">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Sandwell Council will ensure equal and fair access to our services; we will do this by taking into consideration the individual needs of our tenants, their family or other persons living with them. We will ensure that individual needs are considered throughout </w:t>
      </w:r>
      <w:r>
        <w:rPr>
          <w:rFonts w:ascii="Arial" w:hAnsi="Arial" w:cs="Arial"/>
          <w:sz w:val="28"/>
          <w:szCs w:val="28"/>
        </w:rPr>
        <w:t>our</w:t>
      </w:r>
      <w:r w:rsidRPr="00001289">
        <w:rPr>
          <w:rFonts w:ascii="Arial" w:hAnsi="Arial" w:cs="Arial"/>
          <w:sz w:val="28"/>
          <w:szCs w:val="28"/>
        </w:rPr>
        <w:t xml:space="preserve"> process</w:t>
      </w:r>
      <w:r>
        <w:rPr>
          <w:rFonts w:ascii="Arial" w:hAnsi="Arial" w:cs="Arial"/>
          <w:sz w:val="28"/>
          <w:szCs w:val="28"/>
        </w:rPr>
        <w:t>es</w:t>
      </w:r>
      <w:r w:rsidRPr="00001289">
        <w:rPr>
          <w:rFonts w:ascii="Arial" w:hAnsi="Arial" w:cs="Arial"/>
          <w:sz w:val="28"/>
          <w:szCs w:val="28"/>
        </w:rPr>
        <w:t xml:space="preserve"> and make changes where necessary. </w:t>
      </w:r>
    </w:p>
    <w:p w14:paraId="1F4CB299" w14:textId="77777777" w:rsidR="00483FCE" w:rsidRPr="00001289" w:rsidRDefault="00483FCE" w:rsidP="00483FCE">
      <w:pPr>
        <w:pStyle w:val="ListParagraph"/>
        <w:ind w:left="567"/>
        <w:rPr>
          <w:rFonts w:ascii="Arial" w:hAnsi="Arial" w:cs="Arial"/>
          <w:sz w:val="28"/>
          <w:szCs w:val="28"/>
        </w:rPr>
      </w:pPr>
    </w:p>
    <w:p w14:paraId="5C6C6AAD" w14:textId="77777777" w:rsidR="00483FCE" w:rsidRPr="00001289" w:rsidRDefault="00483FCE" w:rsidP="00483FCE">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The Council will treat people fairly and with dignity and respect. </w:t>
      </w:r>
    </w:p>
    <w:p w14:paraId="4645598C" w14:textId="77777777" w:rsidR="00483FCE" w:rsidRPr="00001289" w:rsidRDefault="00483FCE" w:rsidP="00483FCE">
      <w:pPr>
        <w:pStyle w:val="ListParagraph"/>
        <w:ind w:left="567"/>
        <w:rPr>
          <w:rFonts w:ascii="Arial" w:hAnsi="Arial" w:cs="Arial"/>
          <w:sz w:val="28"/>
          <w:szCs w:val="28"/>
        </w:rPr>
      </w:pPr>
    </w:p>
    <w:p w14:paraId="0E826E74" w14:textId="6E9CFD1D" w:rsidR="00483FCE" w:rsidRPr="00483FCE" w:rsidRDefault="00483FCE" w:rsidP="00483FCE">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w:t>
      </w:r>
      <w:r w:rsidRPr="00001289">
        <w:rPr>
          <w:rFonts w:ascii="Arial" w:hAnsi="Arial" w:cs="Arial"/>
          <w:sz w:val="28"/>
          <w:szCs w:val="28"/>
        </w:rPr>
        <w:lastRenderedPageBreak/>
        <w:t xml:space="preserve">Inclusion Framework also meets our duties under the Equality Act 2010. </w:t>
      </w:r>
    </w:p>
    <w:p w14:paraId="024D636C" w14:textId="77777777" w:rsidR="0045700D" w:rsidRPr="00AA65DC" w:rsidRDefault="0045700D" w:rsidP="0045700D">
      <w:pPr>
        <w:pStyle w:val="ListParagraph"/>
        <w:rPr>
          <w:rFonts w:ascii="Arial" w:hAnsi="Arial" w:cs="Arial"/>
          <w:b/>
          <w:bCs/>
          <w:sz w:val="28"/>
          <w:szCs w:val="28"/>
        </w:rPr>
      </w:pPr>
    </w:p>
    <w:p w14:paraId="6DEBD4EA" w14:textId="77777777" w:rsidR="0045700D" w:rsidRPr="00AA65DC" w:rsidRDefault="0045700D" w:rsidP="0045700D">
      <w:pPr>
        <w:pStyle w:val="ListParagraph"/>
        <w:numPr>
          <w:ilvl w:val="1"/>
          <w:numId w:val="1"/>
        </w:numPr>
        <w:ind w:left="567" w:hanging="567"/>
        <w:rPr>
          <w:rFonts w:ascii="Arial" w:hAnsi="Arial" w:cs="Arial"/>
          <w:b/>
          <w:bCs/>
          <w:sz w:val="28"/>
          <w:szCs w:val="28"/>
        </w:rPr>
      </w:pPr>
      <w:r w:rsidRPr="00AA65DC">
        <w:rPr>
          <w:rFonts w:ascii="Arial" w:hAnsi="Arial" w:cs="Arial"/>
          <w:b/>
          <w:bCs/>
          <w:sz w:val="28"/>
          <w:szCs w:val="28"/>
        </w:rPr>
        <w:t>Reasonable Adjustments</w:t>
      </w:r>
    </w:p>
    <w:p w14:paraId="7A909D92" w14:textId="77777777" w:rsidR="006F2960" w:rsidRPr="006F2960" w:rsidRDefault="006F2960" w:rsidP="006F2960">
      <w:pPr>
        <w:ind w:left="567"/>
        <w:rPr>
          <w:rFonts w:ascii="Arial" w:hAnsi="Arial" w:cs="Arial"/>
          <w:sz w:val="28"/>
          <w:szCs w:val="28"/>
        </w:rPr>
      </w:pPr>
      <w:r w:rsidRPr="006F2960">
        <w:rPr>
          <w:rFonts w:ascii="Arial" w:hAnsi="Arial" w:cs="Arial"/>
          <w:sz w:val="28"/>
          <w:szCs w:val="28"/>
        </w:rPr>
        <w:t>Sandwell Council is committed to ensuring that tenants are not placed at a disadvantage during the Home Loss and Disturbance Payment process, particularly those with disabilities or additional support needs. We strive to provide fair and equal access to our services and will carry out Equality Impact Assessments to make sure no one is excluded or unfairly treated.</w:t>
      </w:r>
    </w:p>
    <w:p w14:paraId="18F9E047" w14:textId="77777777" w:rsidR="006F2960" w:rsidRPr="006F2960" w:rsidRDefault="006F2960" w:rsidP="006F2960">
      <w:pPr>
        <w:ind w:left="567"/>
        <w:rPr>
          <w:rFonts w:ascii="Arial" w:hAnsi="Arial" w:cs="Arial"/>
          <w:sz w:val="28"/>
          <w:szCs w:val="28"/>
        </w:rPr>
      </w:pPr>
      <w:r w:rsidRPr="006F2960">
        <w:rPr>
          <w:rFonts w:ascii="Arial" w:hAnsi="Arial" w:cs="Arial"/>
          <w:sz w:val="28"/>
          <w:szCs w:val="28"/>
        </w:rPr>
        <w:t>We understand that everyone’s needs are different, and we will consider reasonable adjustments based on each tenant’s specific circumstances. We will have open conversations with tenants to understand their individual requirements and to agree what is reasonable and appropriate. We will not assume that a tenant does or does not need adjustments, nor will we make assumptions about the type of adjustments required.</w:t>
      </w:r>
    </w:p>
    <w:p w14:paraId="451DCF8C" w14:textId="77777777" w:rsidR="006F2960" w:rsidRPr="006F2960" w:rsidRDefault="006F2960" w:rsidP="006F2960">
      <w:pPr>
        <w:ind w:left="567"/>
        <w:rPr>
          <w:rFonts w:ascii="Arial" w:hAnsi="Arial" w:cs="Arial"/>
          <w:sz w:val="28"/>
          <w:szCs w:val="28"/>
        </w:rPr>
      </w:pPr>
      <w:r w:rsidRPr="006F2960">
        <w:rPr>
          <w:rFonts w:ascii="Arial" w:hAnsi="Arial" w:cs="Arial"/>
          <w:sz w:val="28"/>
          <w:szCs w:val="28"/>
        </w:rPr>
        <w:t>Tenants can request reasonable adjustments at any time during the Home Loss and Disturbance Payment process using any of the following methods:</w:t>
      </w:r>
    </w:p>
    <w:p w14:paraId="23AFF9D7" w14:textId="77777777" w:rsidR="006F2960" w:rsidRPr="006F2960" w:rsidRDefault="006F2960" w:rsidP="006F2960">
      <w:pPr>
        <w:pStyle w:val="ListParagraph"/>
        <w:numPr>
          <w:ilvl w:val="0"/>
          <w:numId w:val="23"/>
        </w:numPr>
        <w:rPr>
          <w:rFonts w:ascii="Arial" w:hAnsi="Arial" w:cs="Arial"/>
          <w:sz w:val="28"/>
          <w:szCs w:val="28"/>
        </w:rPr>
      </w:pPr>
      <w:r w:rsidRPr="006F2960">
        <w:rPr>
          <w:rFonts w:ascii="Arial" w:hAnsi="Arial" w:cs="Arial"/>
          <w:sz w:val="28"/>
          <w:szCs w:val="28"/>
        </w:rPr>
        <w:t>In person</w:t>
      </w:r>
    </w:p>
    <w:p w14:paraId="311067A0" w14:textId="77777777" w:rsidR="006F2960" w:rsidRPr="006F2960" w:rsidRDefault="006F2960" w:rsidP="006F2960">
      <w:pPr>
        <w:pStyle w:val="ListParagraph"/>
        <w:numPr>
          <w:ilvl w:val="0"/>
          <w:numId w:val="23"/>
        </w:numPr>
        <w:rPr>
          <w:rFonts w:ascii="Arial" w:hAnsi="Arial" w:cs="Arial"/>
          <w:sz w:val="28"/>
          <w:szCs w:val="28"/>
        </w:rPr>
      </w:pPr>
      <w:r w:rsidRPr="006F2960">
        <w:rPr>
          <w:rFonts w:ascii="Arial" w:hAnsi="Arial" w:cs="Arial"/>
          <w:sz w:val="28"/>
          <w:szCs w:val="28"/>
        </w:rPr>
        <w:t>In writing (e.g. by email, post or text message)</w:t>
      </w:r>
    </w:p>
    <w:p w14:paraId="5D6439A5" w14:textId="77777777" w:rsidR="006F2960" w:rsidRPr="006F2960" w:rsidRDefault="006F2960" w:rsidP="006F2960">
      <w:pPr>
        <w:pStyle w:val="ListParagraph"/>
        <w:numPr>
          <w:ilvl w:val="0"/>
          <w:numId w:val="23"/>
        </w:numPr>
        <w:rPr>
          <w:rFonts w:ascii="Arial" w:hAnsi="Arial" w:cs="Arial"/>
          <w:sz w:val="28"/>
          <w:szCs w:val="28"/>
        </w:rPr>
      </w:pPr>
      <w:r w:rsidRPr="006F2960">
        <w:rPr>
          <w:rFonts w:ascii="Arial" w:hAnsi="Arial" w:cs="Arial"/>
          <w:sz w:val="28"/>
          <w:szCs w:val="28"/>
        </w:rPr>
        <w:t>By telephone</w:t>
      </w:r>
    </w:p>
    <w:p w14:paraId="69044495" w14:textId="77777777" w:rsidR="006F2960" w:rsidRPr="006F2960" w:rsidRDefault="006F2960" w:rsidP="006F2960">
      <w:pPr>
        <w:pStyle w:val="ListParagraph"/>
        <w:numPr>
          <w:ilvl w:val="0"/>
          <w:numId w:val="23"/>
        </w:numPr>
        <w:rPr>
          <w:rFonts w:ascii="Arial" w:hAnsi="Arial" w:cs="Arial"/>
          <w:sz w:val="28"/>
          <w:szCs w:val="28"/>
        </w:rPr>
      </w:pPr>
      <w:r w:rsidRPr="006F2960">
        <w:rPr>
          <w:rFonts w:ascii="Arial" w:hAnsi="Arial" w:cs="Arial"/>
          <w:sz w:val="28"/>
          <w:szCs w:val="28"/>
        </w:rPr>
        <w:t>Through a family member or advocate, with the tenant’s permission</w:t>
      </w:r>
    </w:p>
    <w:p w14:paraId="63C7F992" w14:textId="77777777" w:rsidR="006F2960" w:rsidRPr="006F2960" w:rsidRDefault="006F2960" w:rsidP="006F2960">
      <w:pPr>
        <w:pStyle w:val="ListParagraph"/>
        <w:numPr>
          <w:ilvl w:val="0"/>
          <w:numId w:val="23"/>
        </w:numPr>
        <w:rPr>
          <w:rFonts w:ascii="Arial" w:hAnsi="Arial" w:cs="Arial"/>
          <w:sz w:val="28"/>
          <w:szCs w:val="28"/>
        </w:rPr>
      </w:pPr>
      <w:r w:rsidRPr="006F2960">
        <w:rPr>
          <w:rFonts w:ascii="Arial" w:hAnsi="Arial" w:cs="Arial"/>
          <w:sz w:val="28"/>
          <w:szCs w:val="28"/>
        </w:rPr>
        <w:t>A member of staff may also propose adjustments where they believe it would support the tenant’s needs</w:t>
      </w:r>
    </w:p>
    <w:p w14:paraId="09BE3008" w14:textId="77777777" w:rsidR="006F2960" w:rsidRPr="006F2960" w:rsidRDefault="006F2960" w:rsidP="006F2960">
      <w:pPr>
        <w:ind w:left="567"/>
        <w:rPr>
          <w:rFonts w:ascii="Arial" w:hAnsi="Arial" w:cs="Arial"/>
          <w:sz w:val="28"/>
          <w:szCs w:val="28"/>
        </w:rPr>
      </w:pPr>
      <w:r w:rsidRPr="006F2960">
        <w:rPr>
          <w:rFonts w:ascii="Arial" w:hAnsi="Arial" w:cs="Arial"/>
          <w:sz w:val="28"/>
          <w:szCs w:val="28"/>
        </w:rPr>
        <w:t>All requests will be handled sensitively and confidentially, and each case will be considered individually. We will listen carefully to the tenant’s needs and will make every reasonable effort to meet their request. If, in rare circumstances, we are unable to agree to a request, we will provide a clear explanation as to why.</w:t>
      </w:r>
    </w:p>
    <w:p w14:paraId="60455C26" w14:textId="77777777" w:rsidR="006F2960" w:rsidRPr="006F2960" w:rsidRDefault="006F2960" w:rsidP="006F2960">
      <w:pPr>
        <w:ind w:left="567"/>
        <w:rPr>
          <w:rFonts w:ascii="Arial" w:hAnsi="Arial" w:cs="Arial"/>
          <w:sz w:val="28"/>
          <w:szCs w:val="28"/>
        </w:rPr>
      </w:pPr>
      <w:r w:rsidRPr="006F2960">
        <w:rPr>
          <w:rFonts w:ascii="Arial" w:hAnsi="Arial" w:cs="Arial"/>
          <w:sz w:val="28"/>
          <w:szCs w:val="28"/>
        </w:rPr>
        <w:t>Wherever possible, we will put adjustments in place without delay, ensuring that tenants are fully supported throughout the Home Loss and Disturbance Payment process.</w:t>
      </w:r>
    </w:p>
    <w:p w14:paraId="5FED1550" w14:textId="5E9865A0" w:rsidR="006F2960" w:rsidRPr="006F2960" w:rsidRDefault="006F2960" w:rsidP="006F2960">
      <w:pPr>
        <w:ind w:left="567"/>
        <w:rPr>
          <w:rFonts w:ascii="Arial" w:hAnsi="Arial" w:cs="Arial"/>
          <w:sz w:val="28"/>
          <w:szCs w:val="28"/>
        </w:rPr>
      </w:pPr>
      <w:r w:rsidRPr="006F2960">
        <w:rPr>
          <w:rFonts w:ascii="Arial" w:hAnsi="Arial" w:cs="Arial"/>
          <w:sz w:val="28"/>
          <w:szCs w:val="28"/>
        </w:rPr>
        <w:lastRenderedPageBreak/>
        <w:t xml:space="preserve">For further information, please refer to Sandwell Council’s </w:t>
      </w:r>
      <w:hyperlink r:id="rId21" w:history="1">
        <w:r w:rsidRPr="006F2960">
          <w:rPr>
            <w:rStyle w:val="Hyperlink"/>
            <w:rFonts w:ascii="Arial" w:hAnsi="Arial" w:cs="Arial"/>
            <w:sz w:val="28"/>
            <w:szCs w:val="28"/>
          </w:rPr>
          <w:t>Reasonable Adjustments Policy</w:t>
        </w:r>
      </w:hyperlink>
      <w:r w:rsidRPr="006F2960">
        <w:rPr>
          <w:rFonts w:ascii="Arial" w:hAnsi="Arial" w:cs="Arial"/>
          <w:sz w:val="28"/>
          <w:szCs w:val="28"/>
        </w:rPr>
        <w:t>.</w:t>
      </w:r>
    </w:p>
    <w:p w14:paraId="3D6DB1F9" w14:textId="77777777" w:rsidR="009B57FA" w:rsidRPr="00AA65DC" w:rsidRDefault="009B57FA" w:rsidP="009B57FA">
      <w:pPr>
        <w:ind w:left="567"/>
        <w:rPr>
          <w:rFonts w:ascii="Arial" w:hAnsi="Arial" w:cs="Arial"/>
          <w:sz w:val="28"/>
          <w:szCs w:val="28"/>
        </w:rPr>
      </w:pPr>
    </w:p>
    <w:p w14:paraId="19576790" w14:textId="55D8770C" w:rsidR="00574EA2" w:rsidRPr="00AA65DC"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8" w:name="_Toc196427208"/>
      <w:r w:rsidRPr="00AA65DC">
        <w:rPr>
          <w:rFonts w:ascii="Arial" w:eastAsiaTheme="majorEastAsia" w:hAnsi="Arial" w:cs="Arial"/>
          <w:b/>
          <w:bCs/>
          <w:color w:val="2F5496" w:themeColor="accent1" w:themeShade="BF"/>
          <w:sz w:val="28"/>
          <w:szCs w:val="28"/>
        </w:rPr>
        <w:t>Monitoring and Review</w:t>
      </w:r>
      <w:bookmarkEnd w:id="18"/>
      <w:r w:rsidRPr="00AA65DC">
        <w:rPr>
          <w:rFonts w:ascii="Arial" w:eastAsiaTheme="majorEastAsia" w:hAnsi="Arial" w:cs="Arial"/>
          <w:b/>
          <w:bCs/>
          <w:color w:val="2F5496" w:themeColor="accent1" w:themeShade="BF"/>
          <w:sz w:val="28"/>
          <w:szCs w:val="28"/>
        </w:rPr>
        <w:t xml:space="preserve"> </w:t>
      </w:r>
    </w:p>
    <w:p w14:paraId="3EF81854" w14:textId="77777777" w:rsidR="003A2A3E" w:rsidRPr="00AA65DC" w:rsidRDefault="003A2A3E" w:rsidP="003A2A3E">
      <w:pPr>
        <w:rPr>
          <w:rFonts w:ascii="Arial" w:hAnsi="Arial" w:cs="Arial"/>
          <w:sz w:val="28"/>
          <w:szCs w:val="28"/>
        </w:rPr>
      </w:pPr>
    </w:p>
    <w:p w14:paraId="184601E0" w14:textId="5EE0FBD1" w:rsidR="003A2A3E" w:rsidRPr="00E7532C" w:rsidRDefault="00E7532C" w:rsidP="00E7532C">
      <w:pPr>
        <w:pStyle w:val="ListParagraph"/>
        <w:numPr>
          <w:ilvl w:val="1"/>
          <w:numId w:val="1"/>
        </w:numPr>
        <w:ind w:left="567" w:hanging="567"/>
        <w:rPr>
          <w:rFonts w:ascii="Arial" w:hAnsi="Arial" w:cs="Arial"/>
          <w:sz w:val="28"/>
          <w:szCs w:val="28"/>
        </w:rPr>
      </w:pPr>
      <w:r w:rsidRPr="00B558AF">
        <w:rPr>
          <w:rFonts w:ascii="Arial" w:hAnsi="Arial" w:cs="Arial"/>
          <w:sz w:val="28"/>
          <w:szCs w:val="28"/>
        </w:rPr>
        <w:t xml:space="preserve">This Policy will be reviewed every </w:t>
      </w:r>
      <w:r>
        <w:rPr>
          <w:rFonts w:ascii="Arial" w:hAnsi="Arial" w:cs="Arial"/>
          <w:sz w:val="28"/>
          <w:szCs w:val="28"/>
        </w:rPr>
        <w:t>five</w:t>
      </w:r>
      <w:r w:rsidRPr="00B558AF">
        <w:rPr>
          <w:rFonts w:ascii="Arial" w:hAnsi="Arial" w:cs="Arial"/>
          <w:sz w:val="28"/>
          <w:szCs w:val="28"/>
        </w:rPr>
        <w:t xml:space="preserve"> years or sooner if there are significant changes in legislation, management, a major incident or if it is no longer suitable. </w:t>
      </w:r>
    </w:p>
    <w:p w14:paraId="29FA15BA" w14:textId="77777777" w:rsidR="003B76F7" w:rsidRPr="00AA65DC" w:rsidRDefault="003B76F7" w:rsidP="003B76F7">
      <w:pPr>
        <w:pStyle w:val="ListParagraph"/>
        <w:ind w:left="1080"/>
        <w:rPr>
          <w:rFonts w:ascii="Arial" w:hAnsi="Arial" w:cs="Arial"/>
          <w:sz w:val="28"/>
          <w:szCs w:val="28"/>
        </w:rPr>
      </w:pPr>
    </w:p>
    <w:p w14:paraId="6FD3179A" w14:textId="6D6848C7" w:rsidR="00574EA2" w:rsidRPr="00AA65DC"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9" w:name="_Toc196427209"/>
      <w:r w:rsidRPr="00AA65DC">
        <w:rPr>
          <w:rFonts w:ascii="Arial" w:eastAsiaTheme="majorEastAsia" w:hAnsi="Arial" w:cs="Arial"/>
          <w:b/>
          <w:bCs/>
          <w:color w:val="2F5496" w:themeColor="accent1" w:themeShade="BF"/>
          <w:sz w:val="28"/>
          <w:szCs w:val="28"/>
        </w:rPr>
        <w:t xml:space="preserve">Policy </w:t>
      </w:r>
      <w:r w:rsidR="00FD71FB" w:rsidRPr="00AA65DC">
        <w:rPr>
          <w:rFonts w:ascii="Arial" w:eastAsiaTheme="majorEastAsia" w:hAnsi="Arial" w:cs="Arial"/>
          <w:b/>
          <w:bCs/>
          <w:color w:val="2F5496" w:themeColor="accent1" w:themeShade="BF"/>
          <w:sz w:val="28"/>
          <w:szCs w:val="28"/>
        </w:rPr>
        <w:t>Document Version Control</w:t>
      </w:r>
      <w:bookmarkEnd w:id="19"/>
      <w:r w:rsidRPr="00AA65DC">
        <w:rPr>
          <w:rFonts w:ascii="Arial" w:eastAsiaTheme="majorEastAsia" w:hAnsi="Arial" w:cs="Arial"/>
          <w:b/>
          <w:bCs/>
          <w:color w:val="2F5496" w:themeColor="accent1" w:themeShade="BF"/>
          <w:sz w:val="28"/>
          <w:szCs w:val="28"/>
        </w:rPr>
        <w:t xml:space="preserve"> </w:t>
      </w:r>
    </w:p>
    <w:p w14:paraId="1B907690" w14:textId="77777777" w:rsidR="00574EA2" w:rsidRPr="00AA65DC" w:rsidRDefault="00574EA2" w:rsidP="00574EA2">
      <w:pPr>
        <w:keepNext/>
        <w:keepLines/>
        <w:spacing w:after="0"/>
        <w:outlineLvl w:val="0"/>
        <w:rPr>
          <w:rFonts w:ascii="Arial" w:eastAsiaTheme="majorEastAsia" w:hAnsi="Arial" w:cs="Arial"/>
          <w:b/>
          <w:bCs/>
          <w:color w:val="2F5496" w:themeColor="accent1" w:themeShade="BF"/>
          <w:sz w:val="28"/>
          <w:szCs w:val="28"/>
        </w:rPr>
      </w:pPr>
    </w:p>
    <w:p w14:paraId="5429745A" w14:textId="34DD834B" w:rsidR="0044074A" w:rsidRPr="005E3B31" w:rsidRDefault="005E3B31" w:rsidP="005E3B31">
      <w:pPr>
        <w:pStyle w:val="ListParagraph"/>
        <w:numPr>
          <w:ilvl w:val="1"/>
          <w:numId w:val="1"/>
        </w:numPr>
        <w:ind w:left="567" w:hanging="709"/>
        <w:rPr>
          <w:rFonts w:ascii="Arial" w:hAnsi="Arial" w:cs="Arial"/>
          <w:sz w:val="28"/>
          <w:szCs w:val="28"/>
        </w:rPr>
      </w:pPr>
      <w:r w:rsidRPr="005E3B31">
        <w:rPr>
          <w:rFonts w:ascii="Arial" w:hAnsi="Arial" w:cs="Arial"/>
          <w:sz w:val="28"/>
          <w:szCs w:val="28"/>
        </w:rPr>
        <w:t xml:space="preserve">This policy will be reviewed every </w:t>
      </w:r>
      <w:r w:rsidRPr="005E3B31">
        <w:rPr>
          <w:rFonts w:ascii="Arial" w:hAnsi="Arial" w:cs="Arial"/>
          <w:b/>
          <w:bCs/>
          <w:sz w:val="28"/>
          <w:szCs w:val="28"/>
        </w:rPr>
        <w:t>five years</w:t>
      </w:r>
      <w:r w:rsidRPr="005E3B31">
        <w:rPr>
          <w:rFonts w:ascii="Arial" w:hAnsi="Arial" w:cs="Arial"/>
          <w:sz w:val="28"/>
          <w:szCs w:val="28"/>
        </w:rPr>
        <w:t>, or sooner if there are any changes in the law that affect how home loss or disturbance payments are managed.</w:t>
      </w:r>
    </w:p>
    <w:tbl>
      <w:tblPr>
        <w:tblStyle w:val="TableGrid"/>
        <w:tblW w:w="9237" w:type="dxa"/>
        <w:tblLook w:val="04A0" w:firstRow="1" w:lastRow="0" w:firstColumn="1" w:lastColumn="0" w:noHBand="0" w:noVBand="1"/>
      </w:tblPr>
      <w:tblGrid>
        <w:gridCol w:w="1417"/>
        <w:gridCol w:w="1421"/>
        <w:gridCol w:w="2986"/>
        <w:gridCol w:w="1564"/>
        <w:gridCol w:w="1849"/>
      </w:tblGrid>
      <w:tr w:rsidR="0044074A" w:rsidRPr="00AA65DC" w14:paraId="5734343F" w14:textId="77777777" w:rsidTr="009B57FA">
        <w:trPr>
          <w:trHeight w:val="748"/>
        </w:trPr>
        <w:tc>
          <w:tcPr>
            <w:tcW w:w="1417" w:type="dxa"/>
          </w:tcPr>
          <w:p w14:paraId="2DEFD950" w14:textId="77777777" w:rsidR="0044074A" w:rsidRPr="00AA65DC" w:rsidRDefault="0044074A" w:rsidP="0044074A">
            <w:pPr>
              <w:spacing w:after="160" w:line="259" w:lineRule="auto"/>
              <w:rPr>
                <w:rFonts w:ascii="Arial" w:hAnsi="Arial" w:cs="Arial"/>
                <w:b/>
                <w:bCs/>
                <w:sz w:val="24"/>
                <w:szCs w:val="24"/>
              </w:rPr>
            </w:pPr>
            <w:r w:rsidRPr="00AA65DC">
              <w:rPr>
                <w:rFonts w:ascii="Arial" w:hAnsi="Arial" w:cs="Arial"/>
                <w:b/>
                <w:bCs/>
                <w:sz w:val="24"/>
                <w:szCs w:val="24"/>
              </w:rPr>
              <w:t>Version</w:t>
            </w:r>
          </w:p>
        </w:tc>
        <w:tc>
          <w:tcPr>
            <w:tcW w:w="1421" w:type="dxa"/>
          </w:tcPr>
          <w:p w14:paraId="65708BFB" w14:textId="77777777" w:rsidR="0044074A" w:rsidRPr="00AA65DC" w:rsidRDefault="0044074A" w:rsidP="0044074A">
            <w:pPr>
              <w:spacing w:after="160" w:line="259" w:lineRule="auto"/>
              <w:rPr>
                <w:rFonts w:ascii="Arial" w:hAnsi="Arial" w:cs="Arial"/>
                <w:b/>
                <w:bCs/>
                <w:sz w:val="24"/>
                <w:szCs w:val="24"/>
              </w:rPr>
            </w:pPr>
            <w:r w:rsidRPr="00AA65DC">
              <w:rPr>
                <w:rFonts w:ascii="Arial" w:hAnsi="Arial" w:cs="Arial"/>
                <w:b/>
                <w:bCs/>
                <w:sz w:val="24"/>
                <w:szCs w:val="24"/>
              </w:rPr>
              <w:t>Date</w:t>
            </w:r>
          </w:p>
        </w:tc>
        <w:tc>
          <w:tcPr>
            <w:tcW w:w="2986" w:type="dxa"/>
          </w:tcPr>
          <w:p w14:paraId="29B705AF" w14:textId="77777777" w:rsidR="0044074A" w:rsidRPr="00AA65DC" w:rsidRDefault="0044074A" w:rsidP="0044074A">
            <w:pPr>
              <w:spacing w:after="160" w:line="259" w:lineRule="auto"/>
              <w:rPr>
                <w:rFonts w:ascii="Arial" w:hAnsi="Arial" w:cs="Arial"/>
                <w:b/>
                <w:bCs/>
                <w:sz w:val="24"/>
                <w:szCs w:val="24"/>
              </w:rPr>
            </w:pPr>
            <w:r w:rsidRPr="00AA65DC">
              <w:rPr>
                <w:rFonts w:ascii="Arial" w:hAnsi="Arial" w:cs="Arial"/>
                <w:b/>
                <w:bCs/>
                <w:sz w:val="24"/>
                <w:szCs w:val="24"/>
              </w:rPr>
              <w:t>Description</w:t>
            </w:r>
          </w:p>
        </w:tc>
        <w:tc>
          <w:tcPr>
            <w:tcW w:w="1564" w:type="dxa"/>
          </w:tcPr>
          <w:p w14:paraId="6D61DAD2" w14:textId="77777777" w:rsidR="0044074A" w:rsidRPr="00AA65DC" w:rsidRDefault="0044074A" w:rsidP="0044074A">
            <w:pPr>
              <w:spacing w:after="160" w:line="259" w:lineRule="auto"/>
              <w:rPr>
                <w:rFonts w:ascii="Arial" w:hAnsi="Arial" w:cs="Arial"/>
                <w:b/>
                <w:bCs/>
                <w:sz w:val="24"/>
                <w:szCs w:val="24"/>
              </w:rPr>
            </w:pPr>
            <w:r w:rsidRPr="00AA65DC">
              <w:rPr>
                <w:rFonts w:ascii="Arial" w:hAnsi="Arial" w:cs="Arial"/>
                <w:b/>
                <w:bCs/>
                <w:sz w:val="24"/>
                <w:szCs w:val="24"/>
              </w:rPr>
              <w:t>Updated By</w:t>
            </w:r>
          </w:p>
        </w:tc>
        <w:tc>
          <w:tcPr>
            <w:tcW w:w="1849" w:type="dxa"/>
          </w:tcPr>
          <w:p w14:paraId="5E1498BB" w14:textId="77777777" w:rsidR="0044074A" w:rsidRPr="00AA65DC" w:rsidRDefault="0044074A" w:rsidP="0044074A">
            <w:pPr>
              <w:spacing w:after="160" w:line="259" w:lineRule="auto"/>
              <w:rPr>
                <w:rFonts w:ascii="Arial" w:hAnsi="Arial" w:cs="Arial"/>
                <w:b/>
                <w:bCs/>
                <w:sz w:val="24"/>
                <w:szCs w:val="24"/>
              </w:rPr>
            </w:pPr>
            <w:r w:rsidRPr="00AA65DC">
              <w:rPr>
                <w:rFonts w:ascii="Arial" w:hAnsi="Arial" w:cs="Arial"/>
                <w:b/>
                <w:bCs/>
                <w:sz w:val="24"/>
                <w:szCs w:val="24"/>
              </w:rPr>
              <w:t>Approved By</w:t>
            </w:r>
          </w:p>
        </w:tc>
      </w:tr>
      <w:tr w:rsidR="0044074A" w:rsidRPr="00AA65DC" w14:paraId="57E58C45" w14:textId="77777777" w:rsidTr="009B57FA">
        <w:trPr>
          <w:trHeight w:val="748"/>
        </w:trPr>
        <w:tc>
          <w:tcPr>
            <w:tcW w:w="1417" w:type="dxa"/>
          </w:tcPr>
          <w:p w14:paraId="08C52776" w14:textId="77777777" w:rsidR="0044074A" w:rsidRPr="00AA65DC" w:rsidRDefault="0044074A" w:rsidP="0044074A">
            <w:pPr>
              <w:spacing w:after="160" w:line="259" w:lineRule="auto"/>
              <w:rPr>
                <w:rFonts w:ascii="Arial" w:hAnsi="Arial" w:cs="Arial"/>
                <w:sz w:val="24"/>
                <w:szCs w:val="24"/>
              </w:rPr>
            </w:pPr>
            <w:r w:rsidRPr="00AA65DC">
              <w:rPr>
                <w:rFonts w:ascii="Arial" w:hAnsi="Arial" w:cs="Arial"/>
                <w:sz w:val="24"/>
                <w:szCs w:val="24"/>
              </w:rPr>
              <w:t>1.0</w:t>
            </w:r>
          </w:p>
        </w:tc>
        <w:tc>
          <w:tcPr>
            <w:tcW w:w="1421" w:type="dxa"/>
          </w:tcPr>
          <w:p w14:paraId="0E8793CA" w14:textId="152B0B05" w:rsidR="0044074A" w:rsidRPr="00AA65DC" w:rsidRDefault="0044074A" w:rsidP="0044074A">
            <w:pPr>
              <w:spacing w:after="160" w:line="259" w:lineRule="auto"/>
              <w:rPr>
                <w:rFonts w:ascii="Arial" w:hAnsi="Arial" w:cs="Arial"/>
                <w:sz w:val="24"/>
                <w:szCs w:val="24"/>
              </w:rPr>
            </w:pPr>
          </w:p>
        </w:tc>
        <w:tc>
          <w:tcPr>
            <w:tcW w:w="2986" w:type="dxa"/>
          </w:tcPr>
          <w:p w14:paraId="023D6F86" w14:textId="5665A9AC" w:rsidR="0044074A" w:rsidRPr="00AA65DC" w:rsidRDefault="0044074A" w:rsidP="0044074A">
            <w:pPr>
              <w:spacing w:after="160" w:line="259" w:lineRule="auto"/>
              <w:rPr>
                <w:rFonts w:ascii="Arial" w:hAnsi="Arial" w:cs="Arial"/>
                <w:sz w:val="24"/>
                <w:szCs w:val="24"/>
              </w:rPr>
            </w:pPr>
          </w:p>
        </w:tc>
        <w:tc>
          <w:tcPr>
            <w:tcW w:w="1564" w:type="dxa"/>
          </w:tcPr>
          <w:p w14:paraId="09EC1191" w14:textId="76C3F39C" w:rsidR="0044074A" w:rsidRPr="00AA65DC" w:rsidRDefault="0044074A" w:rsidP="0044074A">
            <w:pPr>
              <w:spacing w:after="160" w:line="259" w:lineRule="auto"/>
              <w:rPr>
                <w:rFonts w:ascii="Arial" w:hAnsi="Arial" w:cs="Arial"/>
                <w:sz w:val="24"/>
                <w:szCs w:val="24"/>
              </w:rPr>
            </w:pPr>
          </w:p>
        </w:tc>
        <w:tc>
          <w:tcPr>
            <w:tcW w:w="1849" w:type="dxa"/>
          </w:tcPr>
          <w:p w14:paraId="406AAFC2" w14:textId="754BC4A5" w:rsidR="0044074A" w:rsidRPr="00AA65DC" w:rsidRDefault="0044074A" w:rsidP="0044074A">
            <w:pPr>
              <w:spacing w:after="160" w:line="259" w:lineRule="auto"/>
              <w:rPr>
                <w:rFonts w:ascii="Arial" w:hAnsi="Arial" w:cs="Arial"/>
                <w:sz w:val="24"/>
                <w:szCs w:val="24"/>
              </w:rPr>
            </w:pPr>
          </w:p>
        </w:tc>
      </w:tr>
      <w:tr w:rsidR="0044074A" w:rsidRPr="00AA65DC" w14:paraId="4C4030C4" w14:textId="77777777" w:rsidTr="009B57FA">
        <w:trPr>
          <w:trHeight w:val="237"/>
        </w:trPr>
        <w:tc>
          <w:tcPr>
            <w:tcW w:w="1417" w:type="dxa"/>
          </w:tcPr>
          <w:p w14:paraId="1C4305B7" w14:textId="77777777" w:rsidR="0044074A" w:rsidRPr="00AA65DC" w:rsidRDefault="0044074A" w:rsidP="0044074A">
            <w:pPr>
              <w:spacing w:after="160" w:line="259" w:lineRule="auto"/>
              <w:rPr>
                <w:rFonts w:ascii="Arial" w:hAnsi="Arial" w:cs="Arial"/>
                <w:sz w:val="24"/>
                <w:szCs w:val="24"/>
              </w:rPr>
            </w:pPr>
            <w:r w:rsidRPr="00AA65DC">
              <w:rPr>
                <w:rFonts w:ascii="Arial" w:hAnsi="Arial" w:cs="Arial"/>
                <w:sz w:val="24"/>
                <w:szCs w:val="24"/>
              </w:rPr>
              <w:t>2.0</w:t>
            </w:r>
          </w:p>
        </w:tc>
        <w:tc>
          <w:tcPr>
            <w:tcW w:w="1421" w:type="dxa"/>
          </w:tcPr>
          <w:p w14:paraId="523EFE5E" w14:textId="4B37FC81" w:rsidR="0044074A" w:rsidRPr="00AA65DC" w:rsidRDefault="0044074A" w:rsidP="0044074A">
            <w:pPr>
              <w:spacing w:after="160" w:line="259" w:lineRule="auto"/>
              <w:rPr>
                <w:rFonts w:ascii="Arial" w:hAnsi="Arial" w:cs="Arial"/>
                <w:sz w:val="24"/>
                <w:szCs w:val="24"/>
              </w:rPr>
            </w:pPr>
          </w:p>
        </w:tc>
        <w:tc>
          <w:tcPr>
            <w:tcW w:w="2986" w:type="dxa"/>
          </w:tcPr>
          <w:p w14:paraId="55B14187" w14:textId="1E3DFDA2" w:rsidR="0044074A" w:rsidRPr="00AA65DC" w:rsidRDefault="0044074A" w:rsidP="0044074A">
            <w:pPr>
              <w:spacing w:after="160" w:line="259" w:lineRule="auto"/>
              <w:rPr>
                <w:rFonts w:ascii="Arial" w:hAnsi="Arial" w:cs="Arial"/>
                <w:sz w:val="24"/>
                <w:szCs w:val="24"/>
              </w:rPr>
            </w:pPr>
          </w:p>
        </w:tc>
        <w:tc>
          <w:tcPr>
            <w:tcW w:w="1564" w:type="dxa"/>
          </w:tcPr>
          <w:p w14:paraId="0C2BA8AB" w14:textId="0C5E71BC" w:rsidR="0044074A" w:rsidRPr="00AA65DC" w:rsidRDefault="0044074A" w:rsidP="0044074A">
            <w:pPr>
              <w:spacing w:after="160" w:line="259" w:lineRule="auto"/>
              <w:rPr>
                <w:rFonts w:ascii="Arial" w:hAnsi="Arial" w:cs="Arial"/>
                <w:sz w:val="24"/>
                <w:szCs w:val="24"/>
              </w:rPr>
            </w:pPr>
          </w:p>
        </w:tc>
        <w:tc>
          <w:tcPr>
            <w:tcW w:w="1849" w:type="dxa"/>
          </w:tcPr>
          <w:p w14:paraId="01F26CAF" w14:textId="2F5288FF" w:rsidR="0044074A" w:rsidRPr="00AA65DC" w:rsidRDefault="0044074A" w:rsidP="0044074A">
            <w:pPr>
              <w:spacing w:after="160" w:line="259" w:lineRule="auto"/>
              <w:rPr>
                <w:rFonts w:ascii="Arial" w:hAnsi="Arial" w:cs="Arial"/>
                <w:sz w:val="24"/>
                <w:szCs w:val="24"/>
              </w:rPr>
            </w:pPr>
          </w:p>
        </w:tc>
      </w:tr>
    </w:tbl>
    <w:p w14:paraId="72FDE1F3" w14:textId="77777777" w:rsidR="00483D6B" w:rsidRPr="00AA65DC" w:rsidRDefault="00483D6B" w:rsidP="009B57FA">
      <w:pPr>
        <w:rPr>
          <w:sz w:val="20"/>
          <w:szCs w:val="20"/>
        </w:rPr>
      </w:pPr>
    </w:p>
    <w:sectPr w:rsidR="00483D6B" w:rsidRPr="00AA65DC" w:rsidSect="00BD3B65">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04A0" w14:textId="77777777" w:rsidR="008B63DA" w:rsidRDefault="008B63DA" w:rsidP="00BD3B65">
      <w:pPr>
        <w:spacing w:after="0" w:line="240" w:lineRule="auto"/>
      </w:pPr>
      <w:r>
        <w:separator/>
      </w:r>
    </w:p>
  </w:endnote>
  <w:endnote w:type="continuationSeparator" w:id="0">
    <w:p w14:paraId="6233BA44" w14:textId="77777777" w:rsidR="008B63DA" w:rsidRDefault="008B63DA" w:rsidP="00BD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4A3034A4" w14:textId="678ABB96" w:rsidR="00BD3B65" w:rsidRDefault="00BD3B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367B" w14:textId="77777777" w:rsidR="008B63DA" w:rsidRDefault="008B63DA" w:rsidP="00BD3B65">
      <w:pPr>
        <w:spacing w:after="0" w:line="240" w:lineRule="auto"/>
      </w:pPr>
      <w:r>
        <w:separator/>
      </w:r>
    </w:p>
  </w:footnote>
  <w:footnote w:type="continuationSeparator" w:id="0">
    <w:p w14:paraId="1AD7BBF8" w14:textId="77777777" w:rsidR="008B63DA" w:rsidRDefault="008B63DA" w:rsidP="00BD3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93D"/>
    <w:multiLevelType w:val="hybridMultilevel"/>
    <w:tmpl w:val="588A1E3C"/>
    <w:lvl w:ilvl="0" w:tplc="F946AD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85896"/>
    <w:multiLevelType w:val="multilevel"/>
    <w:tmpl w:val="6498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52941"/>
    <w:multiLevelType w:val="hybridMultilevel"/>
    <w:tmpl w:val="9FFAAC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E3D3AEA"/>
    <w:multiLevelType w:val="hybridMultilevel"/>
    <w:tmpl w:val="A3407F48"/>
    <w:lvl w:ilvl="0" w:tplc="20747B8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2653F0A"/>
    <w:multiLevelType w:val="hybridMultilevel"/>
    <w:tmpl w:val="36FEF8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9856CD2"/>
    <w:multiLevelType w:val="hybridMultilevel"/>
    <w:tmpl w:val="086A06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B4344F4"/>
    <w:multiLevelType w:val="multilevel"/>
    <w:tmpl w:val="ED58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374F5"/>
    <w:multiLevelType w:val="hybridMultilevel"/>
    <w:tmpl w:val="75CE03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CEB4030"/>
    <w:multiLevelType w:val="multilevel"/>
    <w:tmpl w:val="461E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00724"/>
    <w:multiLevelType w:val="hybridMultilevel"/>
    <w:tmpl w:val="F8DE174E"/>
    <w:lvl w:ilvl="0" w:tplc="20747B8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4787410"/>
    <w:multiLevelType w:val="hybridMultilevel"/>
    <w:tmpl w:val="997CC8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87B6153"/>
    <w:multiLevelType w:val="hybridMultilevel"/>
    <w:tmpl w:val="1C6A957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3" w15:restartNumberingAfterBreak="0">
    <w:nsid w:val="49CB3ACE"/>
    <w:multiLevelType w:val="multilevel"/>
    <w:tmpl w:val="52D4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E5F63"/>
    <w:multiLevelType w:val="hybridMultilevel"/>
    <w:tmpl w:val="3946BD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B7432C9"/>
    <w:multiLevelType w:val="multilevel"/>
    <w:tmpl w:val="1A60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72F29"/>
    <w:multiLevelType w:val="multilevel"/>
    <w:tmpl w:val="DAB8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3089F"/>
    <w:multiLevelType w:val="hybridMultilevel"/>
    <w:tmpl w:val="EB0832F6"/>
    <w:lvl w:ilvl="0" w:tplc="A6BADAF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C70BDF"/>
    <w:multiLevelType w:val="multilevel"/>
    <w:tmpl w:val="880CAB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A9E0921"/>
    <w:multiLevelType w:val="hybridMultilevel"/>
    <w:tmpl w:val="B4A2572E"/>
    <w:lvl w:ilvl="0" w:tplc="F946AD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6EB32758"/>
    <w:multiLevelType w:val="hybridMultilevel"/>
    <w:tmpl w:val="1F58C1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79620036"/>
    <w:multiLevelType w:val="hybridMultilevel"/>
    <w:tmpl w:val="814826E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C824A6A"/>
    <w:multiLevelType w:val="multilevel"/>
    <w:tmpl w:val="33604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924342">
    <w:abstractNumId w:val="18"/>
  </w:num>
  <w:num w:numId="2" w16cid:durableId="1662345125">
    <w:abstractNumId w:val="2"/>
  </w:num>
  <w:num w:numId="3" w16cid:durableId="502009116">
    <w:abstractNumId w:val="10"/>
  </w:num>
  <w:num w:numId="4" w16cid:durableId="1060327139">
    <w:abstractNumId w:val="3"/>
  </w:num>
  <w:num w:numId="5" w16cid:durableId="1830632842">
    <w:abstractNumId w:val="12"/>
  </w:num>
  <w:num w:numId="6" w16cid:durableId="1268000838">
    <w:abstractNumId w:val="17"/>
  </w:num>
  <w:num w:numId="7" w16cid:durableId="349265136">
    <w:abstractNumId w:val="5"/>
  </w:num>
  <w:num w:numId="8" w16cid:durableId="1800685741">
    <w:abstractNumId w:val="7"/>
  </w:num>
  <w:num w:numId="9" w16cid:durableId="408696758">
    <w:abstractNumId w:val="21"/>
  </w:num>
  <w:num w:numId="10" w16cid:durableId="1498574539">
    <w:abstractNumId w:val="13"/>
  </w:num>
  <w:num w:numId="11" w16cid:durableId="1198617002">
    <w:abstractNumId w:val="14"/>
  </w:num>
  <w:num w:numId="12" w16cid:durableId="476187707">
    <w:abstractNumId w:val="22"/>
  </w:num>
  <w:num w:numId="13" w16cid:durableId="7800751">
    <w:abstractNumId w:val="15"/>
  </w:num>
  <w:num w:numId="14" w16cid:durableId="865018619">
    <w:abstractNumId w:val="4"/>
  </w:num>
  <w:num w:numId="15" w16cid:durableId="42992477">
    <w:abstractNumId w:val="11"/>
  </w:num>
  <w:num w:numId="16" w16cid:durableId="2053188486">
    <w:abstractNumId w:val="9"/>
  </w:num>
  <w:num w:numId="17" w16cid:durableId="1355109829">
    <w:abstractNumId w:val="8"/>
  </w:num>
  <w:num w:numId="18" w16cid:durableId="1006514707">
    <w:abstractNumId w:val="16"/>
  </w:num>
  <w:num w:numId="19" w16cid:durableId="1768767219">
    <w:abstractNumId w:val="6"/>
  </w:num>
  <w:num w:numId="20" w16cid:durableId="2104758525">
    <w:abstractNumId w:val="19"/>
  </w:num>
  <w:num w:numId="21" w16cid:durableId="355156615">
    <w:abstractNumId w:val="0"/>
  </w:num>
  <w:num w:numId="22" w16cid:durableId="1754426776">
    <w:abstractNumId w:val="1"/>
  </w:num>
  <w:num w:numId="23" w16cid:durableId="9123964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22F6E"/>
    <w:rsid w:val="000A36D1"/>
    <w:rsid w:val="000B01DF"/>
    <w:rsid w:val="000B569B"/>
    <w:rsid w:val="00124062"/>
    <w:rsid w:val="00150DF3"/>
    <w:rsid w:val="00236900"/>
    <w:rsid w:val="002D24EC"/>
    <w:rsid w:val="003253F2"/>
    <w:rsid w:val="00331693"/>
    <w:rsid w:val="003337B7"/>
    <w:rsid w:val="0039730E"/>
    <w:rsid w:val="003A1541"/>
    <w:rsid w:val="003A2A3E"/>
    <w:rsid w:val="003B18D2"/>
    <w:rsid w:val="003B76F7"/>
    <w:rsid w:val="003C21C9"/>
    <w:rsid w:val="003D2B21"/>
    <w:rsid w:val="0043435A"/>
    <w:rsid w:val="0044074A"/>
    <w:rsid w:val="0045700D"/>
    <w:rsid w:val="004715CA"/>
    <w:rsid w:val="00483D6B"/>
    <w:rsid w:val="00483FCE"/>
    <w:rsid w:val="00523C75"/>
    <w:rsid w:val="00561839"/>
    <w:rsid w:val="00574EA2"/>
    <w:rsid w:val="00591D4B"/>
    <w:rsid w:val="005E2494"/>
    <w:rsid w:val="005E3B31"/>
    <w:rsid w:val="00604461"/>
    <w:rsid w:val="006172CC"/>
    <w:rsid w:val="00665317"/>
    <w:rsid w:val="006A5415"/>
    <w:rsid w:val="006B0D4B"/>
    <w:rsid w:val="006F2960"/>
    <w:rsid w:val="0071105A"/>
    <w:rsid w:val="00760B54"/>
    <w:rsid w:val="00775A60"/>
    <w:rsid w:val="007B5006"/>
    <w:rsid w:val="007C7824"/>
    <w:rsid w:val="00836D88"/>
    <w:rsid w:val="0085070B"/>
    <w:rsid w:val="00866512"/>
    <w:rsid w:val="008B63DA"/>
    <w:rsid w:val="009448BC"/>
    <w:rsid w:val="009B57FA"/>
    <w:rsid w:val="009E4358"/>
    <w:rsid w:val="00A00C18"/>
    <w:rsid w:val="00AA61DE"/>
    <w:rsid w:val="00AA65DC"/>
    <w:rsid w:val="00AC5E82"/>
    <w:rsid w:val="00AE554F"/>
    <w:rsid w:val="00B003EE"/>
    <w:rsid w:val="00B63737"/>
    <w:rsid w:val="00BA610E"/>
    <w:rsid w:val="00BD3B65"/>
    <w:rsid w:val="00C13F6F"/>
    <w:rsid w:val="00CC1C8F"/>
    <w:rsid w:val="00CC6040"/>
    <w:rsid w:val="00D259C9"/>
    <w:rsid w:val="00D62F6A"/>
    <w:rsid w:val="00DC3EDD"/>
    <w:rsid w:val="00DD7CAE"/>
    <w:rsid w:val="00DE2676"/>
    <w:rsid w:val="00DF05C6"/>
    <w:rsid w:val="00E7532C"/>
    <w:rsid w:val="00E80302"/>
    <w:rsid w:val="00E94940"/>
    <w:rsid w:val="00EA6229"/>
    <w:rsid w:val="00EB19EE"/>
    <w:rsid w:val="00F015C5"/>
    <w:rsid w:val="00F12ED5"/>
    <w:rsid w:val="00F700E2"/>
    <w:rsid w:val="00FC170A"/>
    <w:rsid w:val="00FD71FB"/>
    <w:rsid w:val="00FE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ED7"/>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072">
      <w:bodyDiv w:val="1"/>
      <w:marLeft w:val="0"/>
      <w:marRight w:val="0"/>
      <w:marTop w:val="0"/>
      <w:marBottom w:val="0"/>
      <w:divBdr>
        <w:top w:val="none" w:sz="0" w:space="0" w:color="auto"/>
        <w:left w:val="none" w:sz="0" w:space="0" w:color="auto"/>
        <w:bottom w:val="none" w:sz="0" w:space="0" w:color="auto"/>
        <w:right w:val="none" w:sz="0" w:space="0" w:color="auto"/>
      </w:divBdr>
    </w:div>
    <w:div w:id="88429545">
      <w:bodyDiv w:val="1"/>
      <w:marLeft w:val="0"/>
      <w:marRight w:val="0"/>
      <w:marTop w:val="0"/>
      <w:marBottom w:val="0"/>
      <w:divBdr>
        <w:top w:val="none" w:sz="0" w:space="0" w:color="auto"/>
        <w:left w:val="none" w:sz="0" w:space="0" w:color="auto"/>
        <w:bottom w:val="none" w:sz="0" w:space="0" w:color="auto"/>
        <w:right w:val="none" w:sz="0" w:space="0" w:color="auto"/>
      </w:divBdr>
    </w:div>
    <w:div w:id="542985282">
      <w:bodyDiv w:val="1"/>
      <w:marLeft w:val="0"/>
      <w:marRight w:val="0"/>
      <w:marTop w:val="0"/>
      <w:marBottom w:val="0"/>
      <w:divBdr>
        <w:top w:val="none" w:sz="0" w:space="0" w:color="auto"/>
        <w:left w:val="none" w:sz="0" w:space="0" w:color="auto"/>
        <w:bottom w:val="none" w:sz="0" w:space="0" w:color="auto"/>
        <w:right w:val="none" w:sz="0" w:space="0" w:color="auto"/>
      </w:divBdr>
    </w:div>
    <w:div w:id="784471850">
      <w:bodyDiv w:val="1"/>
      <w:marLeft w:val="0"/>
      <w:marRight w:val="0"/>
      <w:marTop w:val="0"/>
      <w:marBottom w:val="0"/>
      <w:divBdr>
        <w:top w:val="none" w:sz="0" w:space="0" w:color="auto"/>
        <w:left w:val="none" w:sz="0" w:space="0" w:color="auto"/>
        <w:bottom w:val="none" w:sz="0" w:space="0" w:color="auto"/>
        <w:right w:val="none" w:sz="0" w:space="0" w:color="auto"/>
      </w:divBdr>
    </w:div>
    <w:div w:id="840001830">
      <w:bodyDiv w:val="1"/>
      <w:marLeft w:val="0"/>
      <w:marRight w:val="0"/>
      <w:marTop w:val="0"/>
      <w:marBottom w:val="0"/>
      <w:divBdr>
        <w:top w:val="none" w:sz="0" w:space="0" w:color="auto"/>
        <w:left w:val="none" w:sz="0" w:space="0" w:color="auto"/>
        <w:bottom w:val="none" w:sz="0" w:space="0" w:color="auto"/>
        <w:right w:val="none" w:sz="0" w:space="0" w:color="auto"/>
      </w:divBdr>
    </w:div>
    <w:div w:id="895433932">
      <w:bodyDiv w:val="1"/>
      <w:marLeft w:val="0"/>
      <w:marRight w:val="0"/>
      <w:marTop w:val="0"/>
      <w:marBottom w:val="0"/>
      <w:divBdr>
        <w:top w:val="none" w:sz="0" w:space="0" w:color="auto"/>
        <w:left w:val="none" w:sz="0" w:space="0" w:color="auto"/>
        <w:bottom w:val="none" w:sz="0" w:space="0" w:color="auto"/>
        <w:right w:val="none" w:sz="0" w:space="0" w:color="auto"/>
      </w:divBdr>
    </w:div>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789054652">
          <w:marLeft w:val="0"/>
          <w:marRight w:val="0"/>
          <w:marTop w:val="0"/>
          <w:marBottom w:val="0"/>
          <w:divBdr>
            <w:top w:val="none" w:sz="0" w:space="0" w:color="auto"/>
            <w:left w:val="none" w:sz="0" w:space="0" w:color="auto"/>
            <w:bottom w:val="none" w:sz="0" w:space="0" w:color="auto"/>
            <w:right w:val="none" w:sz="0" w:space="0" w:color="auto"/>
          </w:divBdr>
        </w:div>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3807">
      <w:bodyDiv w:val="1"/>
      <w:marLeft w:val="0"/>
      <w:marRight w:val="0"/>
      <w:marTop w:val="0"/>
      <w:marBottom w:val="0"/>
      <w:divBdr>
        <w:top w:val="none" w:sz="0" w:space="0" w:color="auto"/>
        <w:left w:val="none" w:sz="0" w:space="0" w:color="auto"/>
        <w:bottom w:val="none" w:sz="0" w:space="0" w:color="auto"/>
        <w:right w:val="none" w:sz="0" w:space="0" w:color="auto"/>
      </w:divBdr>
    </w:div>
    <w:div w:id="1054044299">
      <w:bodyDiv w:val="1"/>
      <w:marLeft w:val="0"/>
      <w:marRight w:val="0"/>
      <w:marTop w:val="0"/>
      <w:marBottom w:val="0"/>
      <w:divBdr>
        <w:top w:val="none" w:sz="0" w:space="0" w:color="auto"/>
        <w:left w:val="none" w:sz="0" w:space="0" w:color="auto"/>
        <w:bottom w:val="none" w:sz="0" w:space="0" w:color="auto"/>
        <w:right w:val="none" w:sz="0" w:space="0" w:color="auto"/>
      </w:divBdr>
    </w:div>
    <w:div w:id="1585920067">
      <w:bodyDiv w:val="1"/>
      <w:marLeft w:val="0"/>
      <w:marRight w:val="0"/>
      <w:marTop w:val="0"/>
      <w:marBottom w:val="0"/>
      <w:divBdr>
        <w:top w:val="none" w:sz="0" w:space="0" w:color="auto"/>
        <w:left w:val="none" w:sz="0" w:space="0" w:color="auto"/>
        <w:bottom w:val="none" w:sz="0" w:space="0" w:color="auto"/>
        <w:right w:val="none" w:sz="0" w:space="0" w:color="auto"/>
      </w:divBdr>
    </w:div>
    <w:div w:id="19353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andwell.gov.uk/tenanthandbook/downloads/file/2/tenancy-conditions-april-2023" TargetMode="External"/><Relationship Id="rId3" Type="http://schemas.openxmlformats.org/officeDocument/2006/relationships/customXml" Target="../customXml/item3.xml"/><Relationship Id="rId21" Type="http://schemas.openxmlformats.org/officeDocument/2006/relationships/hyperlink" Target="https://www.sandwell.gov.uk/downloads/download/154/reasonable-adjustments-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sandwell.gov.uk/tenanthandbook/" TargetMode="External"/><Relationship Id="rId2" Type="http://schemas.openxmlformats.org/officeDocument/2006/relationships/customXml" Target="../customXml/item2.xml"/><Relationship Id="rId16" Type="http://schemas.openxmlformats.org/officeDocument/2006/relationships/hyperlink" Target="https://www.sandwell.gov.uk/housing/housing-asset-management-compliance-strategy-2025-2030" TargetMode="External"/><Relationship Id="rId20" Type="http://schemas.openxmlformats.org/officeDocument/2006/relationships/hyperlink" Target="https://www.sandwell.gov.uk/housing/property-complianc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ndwell.gov.uk/downloads/download/617/housing-strategy-2023---202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ndwell.gov.uk/leaseholder-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downloads/download/960/council-pla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2.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customXml/itemProps3.xml><?xml version="1.0" encoding="utf-8"?>
<ds:datastoreItem xmlns:ds="http://schemas.openxmlformats.org/officeDocument/2006/customXml" ds:itemID="{30810330-3813-4D59-800F-3103D23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E8826-9668-46B2-BB8B-422E93C28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2104</Words>
  <Characters>11998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2</cp:revision>
  <dcterms:created xsi:type="dcterms:W3CDTF">2025-07-07T10:49:00Z</dcterms:created>
  <dcterms:modified xsi:type="dcterms:W3CDTF">2025-07-07T10:49:00Z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