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592" w:rsidRPr="00CC2592" w:rsidRDefault="00CC2592" w:rsidP="00CC2592">
      <w:pPr>
        <w:autoSpaceDE w:val="0"/>
        <w:autoSpaceDN w:val="0"/>
        <w:adjustRightInd w:val="0"/>
        <w:spacing w:after="0" w:line="240" w:lineRule="auto"/>
        <w:ind w:left="284" w:right="237"/>
        <w:jc w:val="center"/>
        <w:rPr>
          <w:rFonts w:ascii="ArialMT" w:cs="ArialMT"/>
          <w:b/>
          <w:color w:val="000000" w:themeColor="text1"/>
          <w:sz w:val="30"/>
          <w:szCs w:val="24"/>
        </w:rPr>
      </w:pPr>
      <w:r w:rsidRPr="00CC2592">
        <w:rPr>
          <w:rFonts w:ascii="ArialMT" w:cs="ArialMT"/>
          <w:b/>
          <w:color w:val="000000" w:themeColor="text1"/>
          <w:sz w:val="30"/>
          <w:szCs w:val="24"/>
        </w:rPr>
        <w:t>Between</w:t>
      </w:r>
    </w:p>
    <w:p w:rsidR="00CC2592" w:rsidRDefault="00CC2592" w:rsidP="002739F4">
      <w:pPr>
        <w:autoSpaceDE w:val="0"/>
        <w:autoSpaceDN w:val="0"/>
        <w:adjustRightInd w:val="0"/>
        <w:spacing w:after="0" w:line="240" w:lineRule="auto"/>
        <w:ind w:left="284" w:right="237"/>
        <w:rPr>
          <w:rFonts w:ascii="ArialMT" w:cs="ArialMT"/>
          <w:color w:val="1F3864" w:themeColor="accent1" w:themeShade="80"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2965"/>
        <w:gridCol w:w="627"/>
        <w:gridCol w:w="1480"/>
        <w:gridCol w:w="2583"/>
      </w:tblGrid>
      <w:tr w:rsidR="00CC2592" w:rsidTr="00CC2592">
        <w:tc>
          <w:tcPr>
            <w:tcW w:w="3810" w:type="dxa"/>
            <w:gridSpan w:val="2"/>
          </w:tcPr>
          <w:p w:rsidR="00CC2592" w:rsidRPr="00CC2592" w:rsidRDefault="00CC2592" w:rsidP="002739F4">
            <w:pPr>
              <w:autoSpaceDE w:val="0"/>
              <w:autoSpaceDN w:val="0"/>
              <w:adjustRightInd w:val="0"/>
              <w:ind w:right="237"/>
              <w:rPr>
                <w:rFonts w:ascii="ArialMT" w:cs="ArialMT"/>
                <w:b/>
                <w:color w:val="000000" w:themeColor="text1"/>
                <w:sz w:val="24"/>
                <w:szCs w:val="24"/>
              </w:rPr>
            </w:pPr>
            <w:r w:rsidRPr="00CC2592">
              <w:rPr>
                <w:rFonts w:ascii="ArialMT" w:cs="ArialMT"/>
                <w:color w:val="FF0000"/>
                <w:sz w:val="24"/>
                <w:szCs w:val="24"/>
              </w:rPr>
              <w:t>Tenant Name (s)</w:t>
            </w:r>
          </w:p>
        </w:tc>
        <w:tc>
          <w:tcPr>
            <w:tcW w:w="627" w:type="dxa"/>
          </w:tcPr>
          <w:p w:rsidR="00CC2592" w:rsidRPr="00CC2592" w:rsidRDefault="00CC2592" w:rsidP="002739F4">
            <w:pPr>
              <w:autoSpaceDE w:val="0"/>
              <w:autoSpaceDN w:val="0"/>
              <w:adjustRightInd w:val="0"/>
              <w:ind w:right="237"/>
              <w:rPr>
                <w:rFonts w:ascii="ArialMT" w:cs="ArialMT"/>
                <w:b/>
                <w:color w:val="000000" w:themeColor="text1"/>
                <w:sz w:val="24"/>
                <w:szCs w:val="24"/>
              </w:rPr>
            </w:pPr>
            <w:r w:rsidRPr="00CC2592">
              <w:rPr>
                <w:rFonts w:ascii="ArialMT" w:cs="ArialMT"/>
                <w:b/>
                <w:color w:val="000000" w:themeColor="text1"/>
                <w:sz w:val="24"/>
                <w:szCs w:val="24"/>
              </w:rPr>
              <w:t>&amp;</w:t>
            </w:r>
          </w:p>
        </w:tc>
        <w:tc>
          <w:tcPr>
            <w:tcW w:w="4063" w:type="dxa"/>
            <w:gridSpan w:val="2"/>
          </w:tcPr>
          <w:p w:rsidR="00CC2592" w:rsidRPr="00CC2592" w:rsidRDefault="00CC2592" w:rsidP="002739F4">
            <w:pPr>
              <w:autoSpaceDE w:val="0"/>
              <w:autoSpaceDN w:val="0"/>
              <w:adjustRightInd w:val="0"/>
              <w:ind w:right="237"/>
              <w:rPr>
                <w:rFonts w:ascii="ArialMT" w:cs="ArialMT"/>
                <w:color w:val="FF0000"/>
                <w:sz w:val="24"/>
                <w:szCs w:val="24"/>
              </w:rPr>
            </w:pPr>
            <w:r w:rsidRPr="00CC2592">
              <w:rPr>
                <w:rFonts w:ascii="ArialMT" w:cs="ArialMT"/>
                <w:color w:val="FF0000"/>
                <w:sz w:val="24"/>
                <w:szCs w:val="24"/>
              </w:rPr>
              <w:t>Landlord/Agent Name</w:t>
            </w:r>
          </w:p>
        </w:tc>
      </w:tr>
      <w:tr w:rsidR="00CC2592" w:rsidTr="00CC2592">
        <w:tc>
          <w:tcPr>
            <w:tcW w:w="845" w:type="dxa"/>
          </w:tcPr>
          <w:p w:rsidR="00CC2592" w:rsidRPr="00CC2592" w:rsidRDefault="00CC2592" w:rsidP="002739F4">
            <w:pPr>
              <w:autoSpaceDE w:val="0"/>
              <w:autoSpaceDN w:val="0"/>
              <w:adjustRightInd w:val="0"/>
              <w:ind w:right="237"/>
              <w:rPr>
                <w:rFonts w:ascii="ArialMT" w:cs="ArialMT"/>
                <w:color w:val="FF0000"/>
                <w:sz w:val="24"/>
                <w:szCs w:val="24"/>
              </w:rPr>
            </w:pPr>
            <w:r w:rsidRPr="00CC2592">
              <w:rPr>
                <w:rFonts w:ascii="ArialMT" w:cs="ArialMT"/>
                <w:b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ArialMT" w:cs="ArialMT"/>
                <w:b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65" w:type="dxa"/>
          </w:tcPr>
          <w:p w:rsidR="00CC2592" w:rsidRPr="00CC2592" w:rsidRDefault="00CC2592" w:rsidP="002739F4">
            <w:pPr>
              <w:autoSpaceDE w:val="0"/>
              <w:autoSpaceDN w:val="0"/>
              <w:adjustRightInd w:val="0"/>
              <w:ind w:right="237"/>
              <w:rPr>
                <w:rFonts w:ascii="ArialMT" w:cs="ArialMT"/>
                <w:color w:val="FF0000"/>
                <w:sz w:val="24"/>
                <w:szCs w:val="24"/>
              </w:rPr>
            </w:pPr>
            <w:r w:rsidRPr="00CC2592">
              <w:rPr>
                <w:rFonts w:ascii="ArialMT" w:cs="ArialMT"/>
                <w:color w:val="FF0000"/>
                <w:sz w:val="24"/>
                <w:szCs w:val="24"/>
              </w:rPr>
              <w:t>Tenancy Address</w:t>
            </w:r>
          </w:p>
        </w:tc>
        <w:tc>
          <w:tcPr>
            <w:tcW w:w="627" w:type="dxa"/>
          </w:tcPr>
          <w:p w:rsidR="00CC2592" w:rsidRDefault="00CC2592" w:rsidP="002739F4">
            <w:pPr>
              <w:autoSpaceDE w:val="0"/>
              <w:autoSpaceDN w:val="0"/>
              <w:adjustRightInd w:val="0"/>
              <w:ind w:right="237"/>
              <w:rPr>
                <w:rFonts w:ascii="ArialMT" w:cs="ArialMT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80" w:type="dxa"/>
          </w:tcPr>
          <w:p w:rsidR="00CC2592" w:rsidRPr="00CC2592" w:rsidRDefault="00CC2592" w:rsidP="00CC2592">
            <w:pPr>
              <w:autoSpaceDE w:val="0"/>
              <w:autoSpaceDN w:val="0"/>
              <w:adjustRightInd w:val="0"/>
              <w:ind w:right="237"/>
              <w:jc w:val="right"/>
              <w:rPr>
                <w:rFonts w:ascii="ArialMT" w:cs="ArialMT"/>
                <w:b/>
                <w:color w:val="000000" w:themeColor="text1"/>
                <w:sz w:val="24"/>
                <w:szCs w:val="24"/>
              </w:rPr>
            </w:pPr>
            <w:r w:rsidRPr="00CC2592">
              <w:rPr>
                <w:rFonts w:ascii="ArialMT" w:cs="ArialMT"/>
                <w:b/>
                <w:color w:val="000000" w:themeColor="text1"/>
                <w:sz w:val="24"/>
                <w:szCs w:val="24"/>
              </w:rPr>
              <w:t>Landlord of</w:t>
            </w:r>
          </w:p>
        </w:tc>
        <w:tc>
          <w:tcPr>
            <w:tcW w:w="2583" w:type="dxa"/>
          </w:tcPr>
          <w:p w:rsidR="00CC2592" w:rsidRPr="00CC2592" w:rsidRDefault="00CC2592" w:rsidP="002739F4">
            <w:pPr>
              <w:autoSpaceDE w:val="0"/>
              <w:autoSpaceDN w:val="0"/>
              <w:adjustRightInd w:val="0"/>
              <w:ind w:right="237"/>
              <w:rPr>
                <w:rFonts w:ascii="ArialMT" w:cs="ArialMT"/>
                <w:color w:val="FF0000"/>
                <w:sz w:val="24"/>
                <w:szCs w:val="24"/>
              </w:rPr>
            </w:pPr>
            <w:r w:rsidRPr="00CC2592">
              <w:rPr>
                <w:rFonts w:ascii="ArialMT" w:cs="ArialMT"/>
                <w:color w:val="FF0000"/>
                <w:sz w:val="24"/>
                <w:szCs w:val="24"/>
              </w:rPr>
              <w:t>Property Address</w:t>
            </w:r>
          </w:p>
        </w:tc>
      </w:tr>
    </w:tbl>
    <w:p w:rsidR="00CC2592" w:rsidRDefault="00CC2592" w:rsidP="002739F4">
      <w:pPr>
        <w:autoSpaceDE w:val="0"/>
        <w:autoSpaceDN w:val="0"/>
        <w:adjustRightInd w:val="0"/>
        <w:spacing w:after="0" w:line="240" w:lineRule="auto"/>
        <w:ind w:left="284" w:right="237"/>
        <w:rPr>
          <w:rFonts w:ascii="ArialMT" w:cs="ArialMT"/>
          <w:color w:val="1F3864" w:themeColor="accent1" w:themeShade="80"/>
          <w:sz w:val="24"/>
          <w:szCs w:val="24"/>
        </w:rPr>
      </w:pPr>
    </w:p>
    <w:p w:rsidR="00351892" w:rsidRPr="00CC2592" w:rsidRDefault="00351892" w:rsidP="002739F4">
      <w:pPr>
        <w:autoSpaceDE w:val="0"/>
        <w:autoSpaceDN w:val="0"/>
        <w:adjustRightInd w:val="0"/>
        <w:spacing w:after="0" w:line="240" w:lineRule="auto"/>
        <w:ind w:left="284" w:right="237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As a starting point to this agreement, it is acknowledged by all that everyone has the right to live in their own home without undue disruption or disturbance from others.</w:t>
      </w:r>
    </w:p>
    <w:p w:rsidR="00351892" w:rsidRPr="00CC2592" w:rsidRDefault="00351892" w:rsidP="002739F4">
      <w:pPr>
        <w:autoSpaceDE w:val="0"/>
        <w:autoSpaceDN w:val="0"/>
        <w:adjustRightInd w:val="0"/>
        <w:spacing w:after="0" w:line="240" w:lineRule="auto"/>
        <w:ind w:left="284" w:right="237"/>
        <w:rPr>
          <w:rFonts w:ascii="ArialMT" w:cs="ArialMT"/>
          <w:color w:val="1F3864" w:themeColor="accent1" w:themeShade="80"/>
          <w:sz w:val="24"/>
          <w:szCs w:val="24"/>
        </w:rPr>
      </w:pPr>
    </w:p>
    <w:p w:rsidR="00351892" w:rsidRPr="00CC2592" w:rsidRDefault="00351892" w:rsidP="002739F4">
      <w:pPr>
        <w:autoSpaceDE w:val="0"/>
        <w:autoSpaceDN w:val="0"/>
        <w:adjustRightInd w:val="0"/>
        <w:spacing w:after="0" w:line="240" w:lineRule="auto"/>
        <w:ind w:left="284" w:right="237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As a tenant you are expected to keep to the terms of your Tenancy Agreement. You</w:t>
      </w:r>
      <w:r w:rsidR="002739F4"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 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have a responsibility to ensure that you are not acting in a way that is likely to annoy</w:t>
      </w:r>
      <w:r w:rsidR="002739F4"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 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or disturb your neighbours. In terms of your tenancy agreement you are responsible</w:t>
      </w:r>
      <w:r w:rsidR="002739F4"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 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for the behaviour of your dependants, occupants, pets and visitors to your home.</w:t>
      </w:r>
    </w:p>
    <w:p w:rsidR="00351892" w:rsidRPr="00CC2592" w:rsidRDefault="00351892" w:rsidP="002739F4">
      <w:pPr>
        <w:autoSpaceDE w:val="0"/>
        <w:autoSpaceDN w:val="0"/>
        <w:adjustRightInd w:val="0"/>
        <w:spacing w:after="0" w:line="240" w:lineRule="auto"/>
        <w:ind w:left="284" w:right="237"/>
        <w:rPr>
          <w:rFonts w:ascii="ArialMT" w:cs="ArialMT"/>
          <w:color w:val="1F3864" w:themeColor="accent1" w:themeShade="80"/>
          <w:sz w:val="24"/>
          <w:szCs w:val="24"/>
        </w:rPr>
      </w:pPr>
    </w:p>
    <w:p w:rsidR="00351892" w:rsidRPr="00CC2592" w:rsidRDefault="00351892" w:rsidP="002739F4">
      <w:pPr>
        <w:autoSpaceDE w:val="0"/>
        <w:autoSpaceDN w:val="0"/>
        <w:adjustRightInd w:val="0"/>
        <w:spacing w:after="0" w:line="240" w:lineRule="auto"/>
        <w:ind w:left="284" w:right="237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This is not a legally binding document, but this agreement aims to outline your responsibilities as a tenant and to inform you of the conduct expected of you as a tenant.  Any serious incidents will be dealt with under the terms of your tenancy agreement and may involve reference to this signed agreement.</w:t>
      </w:r>
    </w:p>
    <w:p w:rsidR="00351892" w:rsidRPr="00CC2592" w:rsidRDefault="00351892" w:rsidP="0035189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1F3864" w:themeColor="accent1" w:themeShade="80"/>
          <w:sz w:val="24"/>
          <w:szCs w:val="24"/>
        </w:rPr>
      </w:pPr>
    </w:p>
    <w:p w:rsidR="00351892" w:rsidRPr="00CC2592" w:rsidRDefault="00351892" w:rsidP="003518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cs="ArialMT"/>
          <w:b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b/>
          <w:color w:val="1F3864" w:themeColor="accent1" w:themeShade="80"/>
          <w:sz w:val="24"/>
          <w:szCs w:val="24"/>
        </w:rPr>
        <w:t>Being a Good Neighbour:</w:t>
      </w:r>
    </w:p>
    <w:p w:rsidR="00351892" w:rsidRPr="00CC2592" w:rsidRDefault="00351892" w:rsidP="0035189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1F3864" w:themeColor="accent1" w:themeShade="80"/>
          <w:sz w:val="24"/>
          <w:szCs w:val="24"/>
        </w:rPr>
      </w:pPr>
    </w:p>
    <w:p w:rsidR="00351892" w:rsidRPr="00CC2592" w:rsidRDefault="00351892" w:rsidP="00351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Be aware that sound travels </w:t>
      </w:r>
      <w:r w:rsidRPr="00CC2592">
        <w:rPr>
          <w:rFonts w:ascii="ArialMT" w:cs="ArialMT" w:hint="cs"/>
          <w:color w:val="1F3864" w:themeColor="accent1" w:themeShade="80"/>
          <w:sz w:val="24"/>
          <w:szCs w:val="24"/>
        </w:rPr>
        <w:t>–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 do not make loud, persistent noise, particularly in the evening or early morning </w:t>
      </w:r>
      <w:r w:rsidRPr="00CC2592">
        <w:rPr>
          <w:rFonts w:ascii="ArialMT" w:cs="ArialMT" w:hint="cs"/>
          <w:color w:val="1F3864" w:themeColor="accent1" w:themeShade="80"/>
          <w:sz w:val="24"/>
          <w:szCs w:val="24"/>
        </w:rPr>
        <w:t>–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 (examples of this would be playing loud music or using power tools).</w:t>
      </w:r>
    </w:p>
    <w:p w:rsidR="00351892" w:rsidRPr="00CC2592" w:rsidRDefault="00351892" w:rsidP="00351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Be responsible for the behaviour of your children and ensure that they are not causing undue noise or nuisance to neighbours.</w:t>
      </w:r>
    </w:p>
    <w:p w:rsidR="00351892" w:rsidRPr="00CC2592" w:rsidRDefault="00351892" w:rsidP="00351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Keep all pets under control </w:t>
      </w:r>
      <w:proofErr w:type="gramStart"/>
      <w:r w:rsidRPr="00CC2592">
        <w:rPr>
          <w:rFonts w:ascii="ArialMT" w:cs="ArialMT"/>
          <w:color w:val="1F3864" w:themeColor="accent1" w:themeShade="80"/>
          <w:sz w:val="24"/>
          <w:szCs w:val="24"/>
        </w:rPr>
        <w:t>at all times</w:t>
      </w:r>
      <w:proofErr w:type="gramEnd"/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 </w:t>
      </w:r>
      <w:r w:rsidRPr="00CC2592">
        <w:rPr>
          <w:rFonts w:ascii="ArialMT" w:cs="ArialMT" w:hint="cs"/>
          <w:color w:val="1F3864" w:themeColor="accent1" w:themeShade="80"/>
          <w:sz w:val="24"/>
          <w:szCs w:val="24"/>
        </w:rPr>
        <w:t>–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 dogs should be kept on a leash and not allowed to foul in common areas or on other people</w:t>
      </w:r>
      <w:r w:rsidRPr="00CC2592">
        <w:rPr>
          <w:rFonts w:ascii="ArialMT" w:cs="ArialMT" w:hint="cs"/>
          <w:color w:val="1F3864" w:themeColor="accent1" w:themeShade="80"/>
          <w:sz w:val="24"/>
          <w:szCs w:val="24"/>
        </w:rPr>
        <w:t>’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s property.</w:t>
      </w:r>
    </w:p>
    <w:p w:rsidR="00351892" w:rsidRPr="00CC2592" w:rsidRDefault="00351892" w:rsidP="00351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Be responsible for the behaviour of visitors to your home (this includes your children</w:t>
      </w:r>
      <w:r w:rsidRPr="00CC2592">
        <w:rPr>
          <w:rFonts w:ascii="ArialMT" w:cs="ArialMT" w:hint="cs"/>
          <w:color w:val="1F3864" w:themeColor="accent1" w:themeShade="80"/>
          <w:sz w:val="24"/>
          <w:szCs w:val="24"/>
        </w:rPr>
        <w:t>’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s visitors).</w:t>
      </w:r>
    </w:p>
    <w:p w:rsidR="00351892" w:rsidRPr="00CC2592" w:rsidRDefault="00351892" w:rsidP="00351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Do not allow anyone visiting your home, to cause any vandalism in your home or surrounding area.</w:t>
      </w:r>
    </w:p>
    <w:p w:rsidR="00351892" w:rsidRPr="00CC2592" w:rsidRDefault="00351892" w:rsidP="00351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Report any acts of vandalism or damage to the property to me at the earliest opportunity, and to the Police where necessary.</w:t>
      </w:r>
    </w:p>
    <w:p w:rsidR="00351892" w:rsidRPr="00CC2592" w:rsidRDefault="00351892" w:rsidP="00351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Treat all neighbours in a respectful manner.</w:t>
      </w:r>
    </w:p>
    <w:p w:rsidR="00351892" w:rsidRPr="00CC2592" w:rsidRDefault="00351892" w:rsidP="00351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Arrange to have any old furniture or appliances uplifted and removed by the Local Authority as quickly as possible.</w:t>
      </w:r>
    </w:p>
    <w:p w:rsidR="00351892" w:rsidRPr="00CC2592" w:rsidRDefault="00351892" w:rsidP="00351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Do not store flammable items such as petrol, paraffin in or around your home</w:t>
      </w:r>
    </w:p>
    <w:p w:rsidR="00351892" w:rsidRPr="00CC2592" w:rsidRDefault="00351892" w:rsidP="00351892">
      <w:pPr>
        <w:pStyle w:val="ListParagraph"/>
        <w:autoSpaceDE w:val="0"/>
        <w:autoSpaceDN w:val="0"/>
        <w:adjustRightInd w:val="0"/>
        <w:spacing w:after="0" w:line="240" w:lineRule="auto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or shed.</w:t>
      </w:r>
    </w:p>
    <w:p w:rsidR="00351892" w:rsidRPr="00CC2592" w:rsidRDefault="00351892" w:rsidP="00351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If you have a garden, ensure it is maintained on a regular basis.</w:t>
      </w:r>
    </w:p>
    <w:p w:rsidR="00351892" w:rsidRPr="00CC2592" w:rsidRDefault="00351892" w:rsidP="00351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If you have a shared drying area, ensure that other people have equal access</w:t>
      </w:r>
    </w:p>
    <w:p w:rsidR="00351892" w:rsidRPr="00CC2592" w:rsidRDefault="00351892" w:rsidP="00351892">
      <w:pPr>
        <w:pStyle w:val="ListParagraph"/>
        <w:autoSpaceDE w:val="0"/>
        <w:autoSpaceDN w:val="0"/>
        <w:adjustRightInd w:val="0"/>
        <w:spacing w:after="0" w:line="240" w:lineRule="auto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lastRenderedPageBreak/>
        <w:t xml:space="preserve">to this </w:t>
      </w:r>
      <w:r w:rsidRPr="00CC2592">
        <w:rPr>
          <w:rFonts w:ascii="ArialMT" w:cs="ArialMT" w:hint="cs"/>
          <w:color w:val="1F3864" w:themeColor="accent1" w:themeShade="80"/>
          <w:sz w:val="24"/>
          <w:szCs w:val="24"/>
        </w:rPr>
        <w:t>–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 if there is a rota only us the drying area when it is your turn or speak</w:t>
      </w:r>
    </w:p>
    <w:p w:rsidR="00CE0698" w:rsidRPr="00CC2592" w:rsidRDefault="00351892" w:rsidP="00351892">
      <w:pPr>
        <w:pStyle w:val="ListParagraph"/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to your neighbours.</w:t>
      </w:r>
    </w:p>
    <w:p w:rsidR="00351892" w:rsidRPr="00CC2592" w:rsidRDefault="00351892" w:rsidP="00351892">
      <w:pPr>
        <w:pStyle w:val="ListParagraph"/>
        <w:numPr>
          <w:ilvl w:val="0"/>
          <w:numId w:val="1"/>
        </w:numPr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If you have a communal garden or shared stairs, take your turn to cut the grass or clean the stairs.</w:t>
      </w:r>
    </w:p>
    <w:p w:rsidR="00351892" w:rsidRPr="00CC2592" w:rsidRDefault="00351892" w:rsidP="00351892">
      <w:pPr>
        <w:pStyle w:val="ListParagraph"/>
        <w:numPr>
          <w:ilvl w:val="0"/>
          <w:numId w:val="1"/>
        </w:numPr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Ensure that you park considerately and do not block drives or carports and wherever possible, use designated parking spaces.</w:t>
      </w:r>
    </w:p>
    <w:p w:rsidR="00351892" w:rsidRPr="00CC2592" w:rsidRDefault="00351892" w:rsidP="00351892">
      <w:pPr>
        <w:pStyle w:val="ListParagraph"/>
        <w:numPr>
          <w:ilvl w:val="0"/>
          <w:numId w:val="1"/>
        </w:numPr>
        <w:ind w:left="1134" w:right="1088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If your children wish to play in the street, please be mindful of the time, people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’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s belongings and property. Remember roads are for cars and are a dangerous playground.</w:t>
      </w:r>
    </w:p>
    <w:p w:rsidR="00EA3CFC" w:rsidRPr="00EA3CFC" w:rsidRDefault="00EA3CFC" w:rsidP="00351892">
      <w:pPr>
        <w:pStyle w:val="ListParagraph"/>
        <w:numPr>
          <w:ilvl w:val="0"/>
          <w:numId w:val="1"/>
        </w:numPr>
        <w:ind w:left="1134" w:right="1088"/>
        <w:rPr>
          <w:rFonts w:ascii="ArialMT" w:cs="ArialMT"/>
          <w:color w:val="FF0000"/>
          <w:sz w:val="24"/>
          <w:szCs w:val="24"/>
        </w:rPr>
      </w:pPr>
      <w:r w:rsidRPr="00EA3CFC">
        <w:rPr>
          <w:rFonts w:ascii="ArialMT" w:cs="ArialMT"/>
          <w:color w:val="FF0000"/>
          <w:sz w:val="24"/>
          <w:szCs w:val="24"/>
        </w:rPr>
        <w:t>INSERT OR REMOVE ANY ADDITIONAL OR UNREQUIRED CONDITIONS</w:t>
      </w:r>
    </w:p>
    <w:p w:rsidR="00351892" w:rsidRDefault="00351892" w:rsidP="00351892">
      <w:pPr>
        <w:pStyle w:val="ListParagraph"/>
        <w:rPr>
          <w:rFonts w:ascii="ArialMT" w:cs="ArialMT"/>
          <w:sz w:val="24"/>
          <w:szCs w:val="24"/>
        </w:rPr>
      </w:pPr>
    </w:p>
    <w:p w:rsidR="00351892" w:rsidRPr="00CC2592" w:rsidRDefault="00351892" w:rsidP="00351892">
      <w:pPr>
        <w:pStyle w:val="ListParagraph"/>
        <w:numPr>
          <w:ilvl w:val="0"/>
          <w:numId w:val="4"/>
        </w:numPr>
        <w:rPr>
          <w:rFonts w:ascii="ArialMT" w:cs="ArialMT"/>
          <w:b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b/>
          <w:color w:val="1F3864" w:themeColor="accent1" w:themeShade="80"/>
          <w:sz w:val="24"/>
          <w:szCs w:val="24"/>
        </w:rPr>
        <w:t>Breaches of Conduct</w:t>
      </w:r>
    </w:p>
    <w:p w:rsidR="00351892" w:rsidRPr="00CC2592" w:rsidRDefault="00351892" w:rsidP="00351892">
      <w:pPr>
        <w:ind w:left="709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Everyone can play their part in making their home and the surrounding area a better place to live, by considering the impact their lifestyle may have on their neighbours and the environment. Being a good neighbour is about common sense, having consideration for other people and respect for different lifestyles and cultures.</w:t>
      </w:r>
    </w:p>
    <w:p w:rsidR="00351892" w:rsidRPr="00CC2592" w:rsidRDefault="00351892" w:rsidP="00351892">
      <w:pPr>
        <w:ind w:left="709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As your landlord, I aim to </w:t>
      </w:r>
      <w:r w:rsidR="00EA3CFC"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play a part in creating a respectful community and my 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is to resolve neighbour disputes amicably. However, where this fails, the </w:t>
      </w:r>
      <w:r w:rsidR="00EA3CFC"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I will work with the police and the local council 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to restrict unreasonable behaviour, or </w:t>
      </w:r>
      <w:r w:rsidR="00EA3CFC" w:rsidRPr="00CC2592">
        <w:rPr>
          <w:rFonts w:ascii="ArialMT" w:cs="ArialMT"/>
          <w:color w:val="1F3864" w:themeColor="accent1" w:themeShade="80"/>
          <w:sz w:val="24"/>
          <w:szCs w:val="24"/>
        </w:rPr>
        <w:t>take legal action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 seek to gain possession of your home</w:t>
      </w:r>
      <w:r w:rsidR="00EA3CFC"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 if unreasonable behaviour persists or is particularly serious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.</w:t>
      </w:r>
    </w:p>
    <w:p w:rsidR="00351892" w:rsidRPr="00CC2592" w:rsidRDefault="00351892" w:rsidP="00351892">
      <w:pPr>
        <w:pStyle w:val="ListParagraph"/>
        <w:numPr>
          <w:ilvl w:val="0"/>
          <w:numId w:val="4"/>
        </w:numPr>
        <w:rPr>
          <w:rFonts w:ascii="ArialMT" w:cs="ArialMT"/>
          <w:b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b/>
          <w:color w:val="1F3864" w:themeColor="accent1" w:themeShade="80"/>
          <w:sz w:val="24"/>
          <w:szCs w:val="24"/>
        </w:rPr>
        <w:t>Agreement</w:t>
      </w:r>
    </w:p>
    <w:p w:rsidR="00351892" w:rsidRPr="00CC2592" w:rsidRDefault="00351892" w:rsidP="00351892">
      <w:pPr>
        <w:ind w:left="720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>I/We support the Good Neighbour Agreement and agree to abide by its principles.</w:t>
      </w:r>
    </w:p>
    <w:p w:rsidR="00EA3CFC" w:rsidRPr="00CC2592" w:rsidRDefault="00EA3CFC" w:rsidP="00CC2592">
      <w:pPr>
        <w:rPr>
          <w:rFonts w:ascii="ArialMT" w:cs="ArialMT"/>
          <w:color w:val="1F3864" w:themeColor="accent1" w:themeShade="80"/>
          <w:sz w:val="24"/>
          <w:szCs w:val="24"/>
        </w:rPr>
      </w:pPr>
    </w:p>
    <w:p w:rsidR="00351892" w:rsidRPr="00CC2592" w:rsidRDefault="00EA3CFC" w:rsidP="00EA3CFC">
      <w:pPr>
        <w:ind w:firstLine="720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       </w:t>
      </w:r>
      <w:r w:rsidR="00351892" w:rsidRPr="00CC2592">
        <w:rPr>
          <w:rFonts w:ascii="ArialMT" w:cs="ArialMT"/>
          <w:color w:val="1F3864" w:themeColor="accent1" w:themeShade="80"/>
          <w:sz w:val="24"/>
          <w:szCs w:val="24"/>
        </w:rPr>
        <w:t>Signed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 (Tenant)</w:t>
      </w:r>
      <w:r w:rsidR="00351892"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 </w:t>
      </w:r>
      <w:r w:rsidR="00351892" w:rsidRPr="00CC2592">
        <w:rPr>
          <w:rFonts w:ascii="ArialMT" w:cs="ArialMT"/>
          <w:color w:val="1F3864" w:themeColor="accent1" w:themeShade="80"/>
          <w:sz w:val="24"/>
          <w:szCs w:val="24"/>
        </w:rPr>
        <w:t>………………………………………………………………</w:t>
      </w:r>
      <w:r w:rsidR="00351892" w:rsidRPr="00CC2592">
        <w:rPr>
          <w:rFonts w:ascii="ArialMT" w:cs="ArialMT"/>
          <w:color w:val="1F3864" w:themeColor="accent1" w:themeShade="80"/>
          <w:sz w:val="24"/>
          <w:szCs w:val="24"/>
        </w:rPr>
        <w:t>....</w:t>
      </w:r>
    </w:p>
    <w:p w:rsidR="00EA3CFC" w:rsidRPr="00CC2592" w:rsidRDefault="00EA3CFC" w:rsidP="00351892">
      <w:pPr>
        <w:rPr>
          <w:rFonts w:ascii="ArialMT" w:cs="ArialMT"/>
          <w:color w:val="1F3864" w:themeColor="accent1" w:themeShade="80"/>
          <w:sz w:val="24"/>
          <w:szCs w:val="24"/>
        </w:rPr>
      </w:pPr>
    </w:p>
    <w:p w:rsidR="00351892" w:rsidRPr="00CC2592" w:rsidRDefault="00351892" w:rsidP="00EA3CFC">
      <w:pPr>
        <w:ind w:firstLine="720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Signed (Joint Tenant) 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…………………………………………………………………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.</w:t>
      </w:r>
    </w:p>
    <w:p w:rsidR="00EA3CFC" w:rsidRPr="00CC2592" w:rsidRDefault="00EA3CFC" w:rsidP="00351892">
      <w:pPr>
        <w:rPr>
          <w:rFonts w:ascii="ArialMT" w:cs="ArialMT"/>
          <w:color w:val="1F3864" w:themeColor="accent1" w:themeShade="80"/>
          <w:sz w:val="24"/>
          <w:szCs w:val="24"/>
        </w:rPr>
      </w:pPr>
    </w:p>
    <w:p w:rsidR="00351892" w:rsidRPr="00CC2592" w:rsidRDefault="00351892" w:rsidP="00EA3CFC">
      <w:pPr>
        <w:ind w:firstLine="720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Address 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…………………………………………………………………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.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……………………………………………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.</w:t>
      </w:r>
    </w:p>
    <w:p w:rsidR="00EA3CFC" w:rsidRPr="00CC2592" w:rsidRDefault="00EA3CFC" w:rsidP="00351892">
      <w:pPr>
        <w:rPr>
          <w:rFonts w:ascii="ArialMT" w:cs="ArialMT"/>
          <w:color w:val="1F3864" w:themeColor="accent1" w:themeShade="80"/>
          <w:sz w:val="24"/>
          <w:szCs w:val="24"/>
        </w:rPr>
      </w:pPr>
    </w:p>
    <w:p w:rsidR="00351892" w:rsidRPr="00CC2592" w:rsidRDefault="00351892" w:rsidP="00EA3CFC">
      <w:pPr>
        <w:ind w:firstLine="720"/>
        <w:rPr>
          <w:rFonts w:ascii="ArialMT" w:cs="ArialMT"/>
          <w:color w:val="1F3864" w:themeColor="accent1" w:themeShade="80"/>
          <w:sz w:val="24"/>
          <w:szCs w:val="24"/>
        </w:rPr>
      </w:pPr>
      <w:r w:rsidRPr="00CC2592">
        <w:rPr>
          <w:rFonts w:ascii="ArialMT" w:cs="ArialMT"/>
          <w:color w:val="1F3864" w:themeColor="accent1" w:themeShade="80"/>
          <w:sz w:val="24"/>
          <w:szCs w:val="24"/>
        </w:rPr>
        <w:t xml:space="preserve">Date </w:t>
      </w:r>
      <w:r w:rsidRPr="00CC2592">
        <w:rPr>
          <w:rFonts w:ascii="ArialMT" w:cs="ArialMT"/>
          <w:color w:val="1F3864" w:themeColor="accent1" w:themeShade="80"/>
          <w:sz w:val="24"/>
          <w:szCs w:val="24"/>
        </w:rPr>
        <w:t>…………………………………………………………………</w:t>
      </w:r>
    </w:p>
    <w:p w:rsidR="00351892" w:rsidRDefault="00CC2592" w:rsidP="00CC2592">
      <w:r>
        <w:tab/>
      </w:r>
      <w:bookmarkStart w:id="0" w:name="_GoBack"/>
      <w:bookmarkEnd w:id="0"/>
    </w:p>
    <w:sectPr w:rsidR="00351892" w:rsidSect="00CC259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CFC" w:rsidRDefault="00EA3CFC" w:rsidP="00EA3CFC">
      <w:pPr>
        <w:spacing w:after="0" w:line="240" w:lineRule="auto"/>
      </w:pPr>
      <w:r>
        <w:separator/>
      </w:r>
    </w:p>
  </w:endnote>
  <w:endnote w:type="continuationSeparator" w:id="0">
    <w:p w:rsidR="00EA3CFC" w:rsidRDefault="00EA3CFC" w:rsidP="00EA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186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9F4" w:rsidRDefault="002739F4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1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E140C5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0y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5Ti0y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2739F4" w:rsidRDefault="002739F4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39F4" w:rsidRDefault="00273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CFC" w:rsidRDefault="00EA3CFC" w:rsidP="00EA3CFC">
      <w:pPr>
        <w:spacing w:after="0" w:line="240" w:lineRule="auto"/>
      </w:pPr>
      <w:r>
        <w:separator/>
      </w:r>
    </w:p>
  </w:footnote>
  <w:footnote w:type="continuationSeparator" w:id="0">
    <w:p w:rsidR="00EA3CFC" w:rsidRDefault="00EA3CFC" w:rsidP="00EA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thinThickThinSmallGap" w:sz="24" w:space="0" w:color="auto"/>
        <w:insideV w:val="thinThickThinSmallGap" w:sz="24" w:space="0" w:color="auto"/>
      </w:tblBorders>
      <w:shd w:val="clear" w:color="auto" w:fill="D9E2F3" w:themeFill="accent1" w:themeFillTint="33"/>
      <w:tblLook w:val="04A0" w:firstRow="1" w:lastRow="0" w:firstColumn="1" w:lastColumn="0" w:noHBand="0" w:noVBand="1"/>
    </w:tblPr>
    <w:tblGrid>
      <w:gridCol w:w="8906"/>
    </w:tblGrid>
    <w:tr w:rsidR="00EA3CFC" w:rsidTr="00CC2592">
      <w:trPr>
        <w:trHeight w:val="589"/>
      </w:trPr>
      <w:tc>
        <w:tcPr>
          <w:tcW w:w="9016" w:type="dxa"/>
          <w:shd w:val="clear" w:color="auto" w:fill="D9E2F3" w:themeFill="accent1" w:themeFillTint="33"/>
          <w:vAlign w:val="center"/>
        </w:tcPr>
        <w:p w:rsidR="00EA3CFC" w:rsidRPr="00EA3CFC" w:rsidRDefault="00EA3CFC" w:rsidP="00EA3CFC">
          <w:pPr>
            <w:pStyle w:val="Header"/>
            <w:jc w:val="center"/>
            <w:rPr>
              <w:b/>
            </w:rPr>
          </w:pPr>
          <w:r w:rsidRPr="00EA3CFC">
            <w:rPr>
              <w:b/>
              <w:sz w:val="32"/>
            </w:rPr>
            <w:t>GOOD NEIGHBOUR AGREEMENT</w:t>
          </w:r>
        </w:p>
      </w:tc>
    </w:tr>
  </w:tbl>
  <w:p w:rsidR="00EA3CFC" w:rsidRDefault="00EA3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C7D6B"/>
    <w:multiLevelType w:val="hybridMultilevel"/>
    <w:tmpl w:val="FAFC34B0"/>
    <w:lvl w:ilvl="0" w:tplc="7A9AC9E6">
      <w:numFmt w:val="bullet"/>
      <w:lvlText w:val=""/>
      <w:lvlJc w:val="left"/>
      <w:pPr>
        <w:ind w:left="720" w:hanging="360"/>
      </w:pPr>
      <w:rPr>
        <w:rFonts w:ascii="SymbolMT" w:eastAsia="SymbolMT" w:hAnsiTheme="minorHAnsi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A7845"/>
    <w:multiLevelType w:val="hybridMultilevel"/>
    <w:tmpl w:val="6736F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42B8A"/>
    <w:multiLevelType w:val="hybridMultilevel"/>
    <w:tmpl w:val="0BAAF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20550"/>
    <w:multiLevelType w:val="hybridMultilevel"/>
    <w:tmpl w:val="0EAA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92"/>
    <w:rsid w:val="002739F4"/>
    <w:rsid w:val="00351892"/>
    <w:rsid w:val="005A0D90"/>
    <w:rsid w:val="00CC2592"/>
    <w:rsid w:val="00CE0698"/>
    <w:rsid w:val="00EA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8C5D2A"/>
  <w15:chartTrackingRefBased/>
  <w15:docId w15:val="{2BEF486C-5680-4D93-9A75-29EC03FC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FC"/>
  </w:style>
  <w:style w:type="paragraph" w:styleId="Footer">
    <w:name w:val="footer"/>
    <w:basedOn w:val="Normal"/>
    <w:link w:val="FooterChar"/>
    <w:uiPriority w:val="99"/>
    <w:unhideWhenUsed/>
    <w:rsid w:val="00EA3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FC"/>
  </w:style>
  <w:style w:type="table" w:styleId="TableGrid">
    <w:name w:val="Table Grid"/>
    <w:basedOn w:val="TableNormal"/>
    <w:uiPriority w:val="39"/>
    <w:rsid w:val="00EA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C2592"/>
    <w:pPr>
      <w:spacing w:after="0" w:line="240" w:lineRule="auto"/>
    </w:pPr>
    <w:rPr>
      <w:rFonts w:ascii="Arial" w:eastAsia="Calibri" w:hAnsi="Arial" w:cs="Arial"/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MBC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Clarke</dc:creator>
  <cp:keywords/>
  <dc:description/>
  <cp:lastModifiedBy>Andrew Clarke</cp:lastModifiedBy>
  <cp:revision>3</cp:revision>
  <dcterms:created xsi:type="dcterms:W3CDTF">2023-06-27T20:05:00Z</dcterms:created>
  <dcterms:modified xsi:type="dcterms:W3CDTF">2023-06-27T20:41:00Z</dcterms:modified>
</cp:coreProperties>
</file>